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COMMERCIAL CAPITAL FOLLOW OR LEAD GOVERNMENT LUNAR DEMAND? A LEAD-LAG ANALYSIS OF CISLUNAR INVESTMENT CYCLES, 2015 TO 2025</w:t>
      </w:r>
    </w:p>
    <w:p>
      <w:pPr>
        <w:jc w:val="center"/>
      </w:pPr>
    </w:p>
    <w:p>
      <w:pPr>
        <w:jc w:val="center"/>
      </w:pPr>
      <w:r>
        <w:rPr>
          <w:rFonts w:ascii="Times New Roman" w:hAnsi="Times New Roman"/>
          <w:sz w:val="24"/>
        </w:rPr>
        <w:t>by</w:t>
      </w:r>
    </w:p>
    <w:p>
      <w:pPr>
        <w:jc w:val="center"/>
      </w:pPr>
      <w:r>
        <w:rPr>
          <w:rFonts w:ascii="Times New Roman" w:hAnsi="Times New Roman"/>
          <w:b/>
          <w:sz w:val="28"/>
        </w:rPr>
        <w:t>Elias Khan</w:t>
      </w:r>
    </w:p>
    <w:p>
      <w:pPr>
        <w:jc w:val="center"/>
      </w:pPr>
      <w:r>
        <w:rPr>
          <w:rFonts w:ascii="Times New Roman" w:hAnsi="Times New Roman"/>
          <w:sz w:val="24"/>
        </w:rPr>
        <w:t>1B-LUN-112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At the time of writing, no country announces more lunar program demand than the United States. Commercial Lunar Payload Services, the Human Landing System, the Gateway services architecture, and the Lunar Terrain Vehicle Services line add up to a multi-year federal commitment to the surface and near-space of the Moon</w:t>
      </w:r>
      <w:r>
        <w:t xml:space="preserve"> </w:t>
      </w:r>
      <w:hyperlink w:anchor="ref-9">
        <w:r>
          <w:rPr>
            <w:rStyle w:val="Hyperlink"/>
          </w:rPr>
          <w:t xml:space="preserve">[9]</w:t>
        </w:r>
      </w:hyperlink>
      <w:r>
        <w:t xml:space="preserve">. Policy memoranda, architecture papers, and conference proceedings all defend that commitment on one recurring theory: government obligations crowd in commercial capital by serving as a credible anchor tenant for a frontier market that would otherwise lack the risk tolerance to operate at lunar distance [1, 4]. That is not a purely rhetorical claim.</w:t>
      </w:r>
    </w:p>
    <w:p>
      <w:pPr>
        <w:pStyle w:val="BodyText"/>
        <w:spacing w:line="480" w:lineRule="auto"/>
        <w:ind w:firstLine="720"/>
      </w:pPr>
      <w:r>
        <w:t xml:space="preserve">It underwrites the structure of services contracts, sets the cadence of task orders, and carries the case for sustained appropriations through a period in which the major-project portfolio draws continuing scrutiny from the Government Accountability Office for cost growth, schedule slip, and integration risk [6, 15].</w:t>
      </w:r>
    </w:p>
    <w:p>
      <w:pPr>
        <w:pStyle w:val="BodyText"/>
        <w:spacing w:line="480" w:lineRule="auto"/>
        <w:ind w:firstLine="720"/>
      </w:pPr>
      <w:r>
        <w:t xml:space="preserve">Everything turns on whether the anchor-tenant proposition is right as a claim about timing. If it is, the present architecture is roughly correct and the policy task reduces to holding announcement cadence and credibility steady.</w:t>
      </w:r>
    </w:p>
    <w:p>
      <w:pPr>
        <w:pStyle w:val="BodyText"/>
        <w:spacing w:line="480" w:lineRule="auto"/>
        <w:ind w:firstLine="720"/>
      </w:pPr>
      <w:r>
        <w:t xml:space="preserve">If it is wrong, or right only in weak form, then federal procurement should be conditioned on observed commercial commitment rather than the reverse, and the consequences for how the National Aeronautics and Space Administration and its federally funded research and development center partners design the next decade of lunar acquisition are large.</w:t>
      </w:r>
    </w:p>
    <w:p>
      <w:pPr>
        <w:pStyle w:val="BodyText"/>
        <w:spacing w:line="480" w:lineRule="auto"/>
        <w:ind w:firstLine="720"/>
      </w:pPr>
      <w:r>
        <w:t xml:space="preserve">Yet the proposition is rarely tested as a temporal claim. Policy scholarship asserts the direction of causation, the architecture literature bakes it into design assumptions, and the system-dynamics literature models it as a coupled flow without ever estimating the lag from observed data [1, 2, 4]. What results is a body of consequential claims about the cislunar economy that has never faced the discipline of a lead-lag estimate on the actual series of government obligations and private capital flows.</w:t>
      </w:r>
    </w:p>
    <w:p>
      <w:pPr>
        <w:pStyle w:val="BodyText"/>
        <w:spacing w:line="480" w:lineRule="auto"/>
        <w:ind w:firstLine="720"/>
      </w:pPr>
      <w:r>
        <w:t xml:space="preserve">This dissertation supplies that estimate for the United States cislunar segment across the eleven-year window running from 2015 through 2025. It uses a single, falsifiable, pre-registered specification, and it reports the result whether or not that result flatters the dominant policy frame.</w:t>
      </w:r>
    </w:p>
    <w:bookmarkEnd w:id="61"/>
    <w:bookmarkStart w:id="62" w:name="Xecb577496d7c51d623812ca7777dadd7f235ccc"/>
    <w:p>
      <w:pPr>
        <w:pStyle w:val="Heading2"/>
        <w:spacing w:line="480" w:lineRule="auto"/>
      </w:pPr>
      <w:r>
        <w:t xml:space="preserve">1.2 Why the Stakes Are High for NASA and for the Jet Propulsion Laboratory</w:t>
      </w:r>
    </w:p>
    <w:p>
      <w:pPr>
        <w:pStyle w:val="FirstParagraph"/>
        <w:spacing w:line="480" w:lineRule="auto"/>
      </w:pPr>
      <w:r>
        <w:t xml:space="preserve">Two institutions that the candidate’s home federally funded research and development center supports through analysis, architecture, and acquisition advisory work feel these stakes immediately. First is the National Aeronautics and Space Administration itself. Its lunar portfolio is the largest concentration of human exploration obligations since Apollo, and its major-projects portfolio sits under recurring Government Accountability Office assessment for cost and schedule performance [6, 15]. Across the agency’s Congressional Justifications for fiscal years 2015 through 2026</w:t>
      </w:r>
      <w:r>
        <w:t xml:space="preserve"> </w:t>
      </w:r>
      <w:hyperlink w:anchor="ref-9">
        <w:r>
          <w:rPr>
            <w:rStyle w:val="Hyperlink"/>
          </w:rPr>
          <w:t xml:space="preserve">[9]</w:t>
        </w:r>
      </w:hyperlink>
      <w:r>
        <w:t xml:space="preserve">, the named lunar lines carry three distinct architectural arguments at once. They are scientific platforms. They are economic instruments. They are elements of national posture in cislunar space [3, 11]. Only the economic-instrument argument is on trial here. Should lagged federal obligations lead private capital flows the way the anchor-tenant frame requires, the agency can defend a strategy that buys services at lunar distance from a commercial supplier base whose capital formation depends on a continuous federal signal. Should the lead-lag pattern run the other way, or prove null, that same strategy rests on an empirical claim the data do not support, and the agency’s exposure to commercial supplier failure climbs in direct proportion to how heavily the unexamined assumption is leaned on.</w:t>
      </w:r>
    </w:p>
    <w:p>
      <w:pPr>
        <w:pStyle w:val="BodyText"/>
        <w:spacing w:line="480" w:lineRule="auto"/>
        <w:ind w:firstLine="720"/>
      </w:pPr>
      <w:r>
        <w:t xml:space="preserve">The Jet Propulsion Laboratory is the second institution. Across the study period the laboratory has held a particular place in the federal lunar architecture: deep-space program integrator, and source of the robotic precursor capability that anchors the science case for surface activity. Its recompete posture and its capture pipeline for the coming decade rest on a portfolio of lunar and cislunar contributions that are themselves sensitive to whether the surrounding commercial market moves in step with federal demand or trails it. Reference-scenario work on space-environment modeling from The Aerospace Corporation, together with the Massachusetts Institute of Technology decision-support work on continuing supervision of commercial in-space activity, makes the dependency plain: the laboratory’s planning turns on a forecast of commercial activity that is itself a function of the very lead-lag pattern this dissertation estimates [16, 17]. A laboratory operating as deep-space integrator inside a federal architecture predicated on commercial co-investment is structurally exposed to one question. Is the co-investment induced by federal demand, or merely correlated with it?</w:t>
      </w:r>
    </w:p>
    <w:p>
      <w:pPr>
        <w:pStyle w:val="BodyText"/>
        <w:spacing w:line="480" w:lineRule="auto"/>
        <w:ind w:firstLine="720"/>
      </w:pPr>
      <w:r>
        <w:t xml:space="preserve">For the laboratory’s near-decade portfolio strategy, the estimate produced here is not a peripheral result. It is a parameter that strategy depends on.</w:t>
      </w:r>
    </w:p>
    <w:p>
      <w:pPr>
        <w:pStyle w:val="BodyText"/>
        <w:spacing w:line="480" w:lineRule="auto"/>
        <w:ind w:firstLine="720"/>
      </w:pPr>
      <w:r>
        <w:t xml:space="preserve">A third stake is less institutional but no less consequential. The candidate’s home federally funded research and development center supplies analysis to both agencies and has itself contributed to the architecture and traffic-management literature that this dissertation reads as carrying a testable temporal claim [1, 4, 12, 30]. When the architectural literature a center co-authors makes empirical claims the empirical literature has not tested, the center’s credibility as an honest broker on cislunar architecture is what is at issue. Beyond a falsifiable estimate, then, this dissertation offers the center’s analysts a methodological precedent: apply the same discipline to the next cislunar claim that enters the queue.</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cislunar economy sits where two literatures intersect, and to date neither has addressed the other in the way the problem demands. First comes the domain literature on cislunar architecture, space traffic management, and the lunar resource economy. It spans the architecture and stakeholder-coordination work from the Advanced Maui Optical and Space Surveillance Technologies conference [1, 4, 12, 16, 17, 19, 20, 21, 22, 23], the Acta Astronautica system-dynamics modeling of the cislunar resource ecosystem [2, 25], the wider sustainability and strategy work on lunar growth and on the moon-to-Mars traffic-management problem</w:t>
      </w:r>
      <w:r>
        <w:t xml:space="preserve"> </w:t>
      </w:r>
      <w:hyperlink w:anchor="ref-30">
        <w:r>
          <w:rPr>
            <w:rStyle w:val="Hyperlink"/>
          </w:rPr>
          <w:t xml:space="preserve">[30]</w:t>
        </w:r>
      </w:hyperlink>
      <w:r>
        <w:t xml:space="preserve">, recent treatments of lunar surface mobility and instrumentation [13, 14], the evolving governance and risk-landscape literature on the space economy [27, 28], and dedicated studies of lunar resource-market evaluation and mining feasibility [24, 26]. These contributions share a substantive command of the cislunar domain.</w:t>
      </w:r>
    </w:p>
    <w:p>
      <w:pPr>
        <w:pStyle w:val="BodyText"/>
        <w:spacing w:line="480" w:lineRule="auto"/>
        <w:ind w:firstLine="720"/>
      </w:pPr>
      <w:r>
        <w:t xml:space="preserve">They also share, with very few exceptions, one methodological habit that matters here: they treat the temporal relationship between federal demand and commercial capital as a stylized assumption, a forecast input, or a coupled system-dynamics flow, never as a parameter to be estimated from observed quarterly data.</w:t>
      </w:r>
    </w:p>
    <w:p>
      <w:pPr>
        <w:pStyle w:val="BodyText"/>
        <w:spacing w:line="480" w:lineRule="auto"/>
        <w:ind w:firstLine="720"/>
      </w:pPr>
      <w:r>
        <w:t xml:space="preserve">Second comes the econometric method literature on lead-lag estimation, Granger causality testing, vector autoregression, and local projections. Over the past four decades this literature has supplied the standard apparatus for testing whether one observed time series leads or lags another, with well-developed protocols for lag-length selection, impulse-response estimation, structural-break testing, and robustness against ordering and identification assumptions. Mature apparatus, pre-registerable protocols, explicit assumptions. And yet none of it has been brought to the cislunar lead-lag question.</w:t>
      </w:r>
    </w:p>
    <w:p>
      <w:pPr>
        <w:pStyle w:val="BodyText"/>
        <w:spacing w:line="480" w:lineRule="auto"/>
        <w:ind w:firstLine="720"/>
      </w:pPr>
      <w:r>
        <w:t xml:space="preserve">Why the two never meet is straightforward. They share no authors, no venues, and no data conventions. Domain work publishes in Acta Astronautica and at the Advanced Maui Optical and Space Surveillance Technologies conference. Econometric-method work publishes in journals whose readers, as a rule, read neither of those venues. The two communities have run in parallel without ever interrogating each other’s claims. So the gap is not a gap inside either literature. It is the absence of any work that brings econometric method to bear on the cislunar domain claim. Closing that specific gap is the contribution of this dissertation, and it closes it with a single falsifiable estimate rather than a methodological survey or a forecast scenario. Two proximate companions frame the point: the Aerospace Corporation reference-scenario work on space-environment modeling</w:t>
      </w:r>
      <w:r>
        <w:t xml:space="preserve"> </w:t>
      </w:r>
      <w:hyperlink w:anchor="ref-16">
        <w:r>
          <w:rPr>
            <w:rStyle w:val="Hyperlink"/>
          </w:rPr>
          <w:t xml:space="preserve">[16]</w:t>
        </w:r>
      </w:hyperlink>
      <w:r>
        <w:t xml:space="preserve"> </w:t>
      </w:r>
      <w:r>
        <w:t xml:space="preserve">and the Massachusetts Institute of Technology decision-support work on continuing supervision of commercial activity</w:t>
      </w:r>
      <w:r>
        <w:t xml:space="preserve"> </w:t>
      </w:r>
      <w:hyperlink w:anchor="ref-17">
        <w:r>
          <w:rPr>
            <w:rStyle w:val="Hyperlink"/>
          </w:rPr>
          <w:t xml:space="preserve">[17]</w:t>
        </w:r>
      </w:hyperlink>
      <w:r>
        <w:t xml:space="preserve">, both of which require, as inputs, precisely the lead-lag parameter produced here. The result is therefore two things at once: a substantive finding about the cislunar capital cycle, and an instrumental input to the planning architectures that have to consume it.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produces one estimate. It is the sign and statistical significance of the Granger-causal relationship between quarterly United States government lunar program obligations and quarterly private capital flows into cislunar-tagged firms, over 2015 Q1 through 2025 Q4, controlling for aggregate non-lunar space-sector capital flows and for the three-month Treasury bill rate. It is reported three ways: as a Granger-causal F-statistic on the lagged government series in a bivariate vector autoregression with macro-financial controls; as an impulse response function over an eight-quarter horizon with bootstrapped confidence intervals at one thousand replications; and, as a robustness check, as a local-projections estimate following the now-standard Jorda design. Under the null, the lagged coefficients on quarterly government lunar obligations are jointly indistinguishable from zero in the equation for quarterly private capital flows into cislunar-tagged firms, at lags of one through four quarters, controlling for the macro-financial covariates named above. Under the alternative, those lagged coefficients are jointly distinguishable from zero, with a cumulative impulse response that stays positive over the eight-quarter horizon. A symmetric specification tests the reverse direction, so the analysis can separate a leading-government regime, a leading-capital regime, a bidirectional regime, and a null. The rejection region is pre-specified at the conventional five percent level, and the cumulative impulse response is reported with explicit confidence bands so that readers may apply their own threshold without recomputation.</w:t>
      </w:r>
    </w:p>
    <w:p>
      <w:pPr>
        <w:pStyle w:val="BodyText"/>
        <w:spacing w:line="480" w:lineRule="auto"/>
        <w:ind w:firstLine="720"/>
      </w:pPr>
      <w:r>
        <w:t xml:space="preserve">Three conditions make the contribution falsifiable. The rejection region is fixed before estimation. The data series are public and their construction protocol is recorded in a frozen replication archive prior to estimation, drawing on USAspending.gov and FPDS-NG for federal obligations, on the BryceTech Start-Up Space annual report series for private capital</w:t>
      </w:r>
      <w:r>
        <w:t xml:space="preserve"> </w:t>
      </w:r>
      <w:hyperlink w:anchor="ref-7">
        <w:r>
          <w:rPr>
            <w:rStyle w:val="Hyperlink"/>
          </w:rPr>
          <w:t xml:space="preserve">[7]</w:t>
        </w:r>
      </w:hyperlink>
      <w:r>
        <w:t xml:space="preserve">, on the Government Accountability Office assessments of NASA major projects for cross-validation of the obligation series [6, 15], on the National Aeronautics and Space Administration Congressional Justifications for fiscal years 2015 through 2026</w:t>
      </w:r>
      <w:r>
        <w:t xml:space="preserve"> </w:t>
      </w:r>
      <w:hyperlink w:anchor="ref-9">
        <w:r>
          <w:rPr>
            <w:rStyle w:val="Hyperlink"/>
          </w:rPr>
          <w:t xml:space="preserve">[9]</w:t>
        </w:r>
      </w:hyperlink>
      <w:r>
        <w:t xml:space="preserve">, and on the Federal Reserve Bank of St. Louis FRED series TB3MS for the macro-financial control</w:t>
      </w:r>
      <w:r>
        <w:t xml:space="preserve"> </w:t>
      </w:r>
      <w:hyperlink w:anchor="ref-8">
        <w:r>
          <w:rPr>
            <w:rStyle w:val="Hyperlink"/>
          </w:rPr>
          <w:t xml:space="preserve">[8]</w:t>
        </w:r>
      </w:hyperlink>
      <w:r>
        <w:t xml:space="preserve">. And the result is reported in numeric form, which leaves it open to direct replication by any reader with access to the named public sources. On the same quarterly window, the companion paper that anchors this dissertation has already estimated a positive and significant two-quarter lag from federal obligations to private capital using a single-equation lagged ordinary-least-squares specification with heteroskedasticity-consistent standard errors</w:t>
      </w:r>
      <w:r>
        <w:t xml:space="preserve"> </w:t>
      </w:r>
      <w:hyperlink w:anchor="ref-10">
        <w:r>
          <w:rPr>
            <w:rStyle w:val="Hyperlink"/>
          </w:rPr>
          <w:t xml:space="preserve">[10]</w:t>
        </w:r>
      </w:hyperlink>
      <w:r>
        <w:t xml:space="preserve">. What follows generalizes that result inside the vector autoregression framework, subjects it to the structural-break and award-exclusion sensitivities listed in the prospectus, and reports whether the headline survives.</w:t>
      </w:r>
    </w:p>
    <w:p>
      <w:pPr>
        <w:pStyle w:val="BodyText"/>
        <w:spacing w:line="480" w:lineRule="auto"/>
        <w:ind w:firstLine="720"/>
      </w:pPr>
      <w:r>
        <w:t xml:space="preserve">One estimate, then. Not a forecast scenario, not a system-dynamics simulation, not a policy recommendation. The estimate answers a single empirical question. Policy implications wait for the closing chapter, but the contribution to the literature is the estimate itself.</w:t>
      </w:r>
    </w:p>
    <w:bookmarkEnd w:id="64"/>
    <w:bookmarkStart w:id="65" w:name="what-the-estimate-does-not-do"/>
    <w:p>
      <w:pPr>
        <w:pStyle w:val="Heading2"/>
        <w:spacing w:line="480" w:lineRule="auto"/>
      </w:pPr>
      <w:r>
        <w:t xml:space="preserve">1.5 What the Estimate Does Not Do</w:t>
      </w:r>
    </w:p>
    <w:p>
      <w:pPr>
        <w:pStyle w:val="FirstParagraph"/>
        <w:spacing w:line="480" w:lineRule="auto"/>
      </w:pPr>
      <w:r>
        <w:t xml:space="preserve">A doctoral introduction has to delimit its own scope, so three claims are placed explicitly outside the estimate. First, it does not identify a structural mechanism by which government obligations translate into private capital. What the vector autoregression apparatus identifies is a reduced-form lead-lag relationship under the maintained identification assumptions. The candidate’s own view, defended in the companion paper</w:t>
      </w:r>
      <w:r>
        <w:t xml:space="preserve"> </w:t>
      </w:r>
      <w:hyperlink w:anchor="ref-10">
        <w:r>
          <w:rPr>
            <w:rStyle w:val="Hyperlink"/>
          </w:rPr>
          <w:t xml:space="preserve">[10]</w:t>
        </w:r>
      </w:hyperlink>
      <w:r>
        <w:t xml:space="preserve">, is that the mechanism is most plausibly a mix of credible-commitment signaling and direct income transfer to firms that go on to raise capital, with the system-dynamics framing in</w:t>
      </w:r>
      <w:r>
        <w:t xml:space="preserve"> </w:t>
      </w:r>
      <w:hyperlink w:anchor="ref-2">
        <w:r>
          <w:rPr>
            <w:rStyle w:val="Hyperlink"/>
          </w:rPr>
          <w:t xml:space="preserve">[2]</w:t>
        </w:r>
      </w:hyperlink>
      <w:r>
        <w:t xml:space="preserve"> </w:t>
      </w:r>
      <w:r>
        <w:t xml:space="preserve">and</w:t>
      </w:r>
      <w:r>
        <w:t xml:space="preserve"> </w:t>
      </w:r>
      <w:hyperlink w:anchor="ref-25">
        <w:r>
          <w:rPr>
            <w:rStyle w:val="Hyperlink"/>
          </w:rPr>
          <w:t xml:space="preserve">[25]</w:t>
        </w:r>
      </w:hyperlink>
      <w:r>
        <w:t xml:space="preserve"> </w:t>
      </w:r>
      <w:r>
        <w:t xml:space="preserve">as the natural route to a structural-equation treatment. That treatment is not attempted here. Second, the estimate yields no forecast of cislunar capital flows under any policy scenario. The lead-lag parameter describes the 2015 through 2025 window; it is not a counterfactual. Structural-break tests pre-registered at 2020 Q2 and at 2022 Q4 exist to absorb the pandemic shock and the Commercial Lunar Payload Services task-order cadence change, not to project forward. Anyone who uses the estimate as a forecast input owns that use.</w:t>
      </w:r>
    </w:p>
    <w:p>
      <w:pPr>
        <w:pStyle w:val="BodyText"/>
        <w:spacing w:line="480" w:lineRule="auto"/>
        <w:ind w:firstLine="720"/>
      </w:pPr>
      <w:r>
        <w:t xml:space="preserve">Third, the estimate does not adjudicate between the architecture literature and the system-dynamics literature on the substantive question of how the cislunar economy ought to be designed [2, 24, 25, 26, 27, 28, 30]. What it adjudicates is a narrower thing: two empirical claims about the temporal structure of the observed series. The design question is richer, and it is left to the substantive literatures that already take it up.</w:t>
      </w:r>
    </w:p>
    <w:bookmarkEnd w:id="65"/>
    <w:bookmarkStart w:id="66" w:name="roadmap"/>
    <w:p>
      <w:pPr>
        <w:pStyle w:val="Heading2"/>
        <w:spacing w:line="480" w:lineRule="auto"/>
      </w:pPr>
      <w:r>
        <w:t xml:space="preserve">1.6 Roadmap</w:t>
      </w:r>
    </w:p>
    <w:p>
      <w:pPr>
        <w:pStyle w:val="FirstParagraph"/>
        <w:spacing w:line="480" w:lineRule="auto"/>
      </w:pPr>
      <w:r>
        <w:t xml:space="preserve">Seven further chapters follow. Chapter 2 reviews the domain literature on the cislunar economy, with close attention to the anchor-tenant frame in the architecture and traffic-management work [1, 4, 30] and to the system-dynamics treatment of the cislunar ecosystem in</w:t>
      </w:r>
      <w:r>
        <w:t xml:space="preserve"> </w:t>
      </w:r>
      <w:hyperlink w:anchor="ref-2">
        <w:r>
          <w:rPr>
            <w:rStyle w:val="Hyperlink"/>
          </w:rPr>
          <w:t xml:space="preserve">[2]</w:t>
        </w:r>
      </w:hyperlink>
      <w:r>
        <w:t xml:space="preserve"> </w:t>
      </w:r>
      <w:r>
        <w:t xml:space="preserve">and</w:t>
      </w:r>
      <w:r>
        <w:t xml:space="preserve"> </w:t>
      </w:r>
      <w:hyperlink w:anchor="ref-25">
        <w:r>
          <w:rPr>
            <w:rStyle w:val="Hyperlink"/>
          </w:rPr>
          <w:t xml:space="preserve">[25]</w:t>
        </w:r>
      </w:hyperlink>
      <w:r>
        <w:t xml:space="preserve">, marking the precise points at which each embeds an untested temporal claim. Chapter 3 reviews the econometric method literature on Granger causality, vector autoregression, impulse-response estimation, and local projections, and fixes the specific protocols carried into the empirical chapters. Chapter 4 sets out the data construction in detail: the USAspending.gov and FPDS-NG obligation series, the BryceTech Start-Up Space private-capital series with its frozen-roster sensitivity, the FRED macro-financial controls, and the provenance archive that supports replication [6, 7, 8, 9, 15]. Chapter 5 reports the primary vector autoregression estimate, the Granger causality test, and the impulse response functions, with bootstrapped confidence intervals. Chapter 6 reports the four pre-registered sensitivities named in the prospectus: the local-projections robustness check, the frozen-roster sensitivity on the cislunar firm definition, the announcement-versus-obligation comparison, and the Human Landing System award exclusion. Chapter 7 sets the estimate against the companion lagged ordinary-least-squares paper</w:t>
      </w:r>
      <w:r>
        <w:t xml:space="preserve"> </w:t>
      </w:r>
      <w:hyperlink w:anchor="ref-10">
        <w:r>
          <w:rPr>
            <w:rStyle w:val="Hyperlink"/>
          </w:rPr>
          <w:t xml:space="preserve">[10]</w:t>
        </w:r>
      </w:hyperlink>
      <w:r>
        <w:t xml:space="preserve"> </w:t>
      </w:r>
      <w:r>
        <w:t xml:space="preserve">and the published lead-lag literature on adjacent frontier markets, then works through the threats to validity that survive the sensitivities. Chapter 8 returns to the policy and architecture implications for the National Aeronautics and Space Administration, for the Jet Propulsion Laboratory, and for the federally funded research and development centers that advise both, and names the open questions the candidate proposes to pursue next.</w:t>
      </w:r>
    </w:p>
    <w:p>
      <w:pPr>
        <w:pStyle w:val="BodyText"/>
        <w:spacing w:line="480" w:lineRule="auto"/>
        <w:ind w:firstLine="720"/>
      </w:pPr>
      <w:r>
        <w:t xml:space="preserve">The document is built to reward partial reading. A reader who reads only Chapter 1 comes away with the question and the stakes. A reader who takes in Chapters 1 and 5 comes away with the estimate and the headline result. A reader who takes in the whole comes away with the full evidentiary basis on which the estimate rests. Every numeric claim traces to the references named here. No number appears without a citation to its public origin. The candidate’s commitment, registered in this opening chapter and binding on the chapters that follow, is to report the estimate the data produce.</w:t>
      </w:r>
    </w:p>
    <w:bookmarkEnd w:id="66"/>
    <w:bookmarkEnd w:id="67"/>
    <w:bookmarkStart w:id="83" w:name="chapter-2.-literature-review"/>
    <w:p>
      <w:pPr>
        <w:pStyle w:val="Heading1"/>
        <w:spacing w:line="480" w:lineRule="auto"/>
      </w:pPr>
      <w:r>
        <w:t xml:space="preserve">Chapter 2. Literature Review</w:t>
      </w:r>
    </w:p>
    <w:bookmarkStart w:id="68" w:name="purpose-and-organization-of-the-review"/>
    <w:p>
      <w:pPr>
        <w:pStyle w:val="Heading2"/>
        <w:spacing w:line="480" w:lineRule="auto"/>
      </w:pPr>
      <w:r>
        <w:t xml:space="preserve">2.1 Purpose and Organization of the Review</w:t>
      </w:r>
    </w:p>
    <w:p>
      <w:pPr>
        <w:pStyle w:val="FirstParagraph"/>
        <w:spacing w:line="480" w:lineRule="auto"/>
      </w:pPr>
      <w:r>
        <w:t xml:space="preserve">Two literatures anchor this chapter, and despite an evident substantive overlap they remain almost entirely unjoined. First is the technical and policy literature on the cislunar economy: work that describes lunar architectures, traffic-management requirements, resource-industry pathways, surface-mobility systems, situational awareness, governance regimes, and how those engineering and policy artefacts connect to commercial activity. Second is the cliometric and applied-econometric methodology literature that governs the estimation of directional, lagged dependence between two endogenous time series: vector autoregression, Granger causality, local projections, survival analysis, and the panel and event-study designs that have become the workhorse tools of empirical macroeconomic and industrial-organisation research. These two do different jobs. The first articulates a theoretical and qualitative claim about the cislunar economy, namely that government demand leads private capital and that public commitment is the anchor drawing private investors into a frontier market. The second offers the specific estimators that would let that claim be tested as a temporal proposition. At present they do not speak to each other. This chapter aims to characterise each on its own terms, locate the precise interface at which they fail to meet, and motivate the empirical chapters that follow as a contribution toward closing that gap.</w:t>
      </w:r>
    </w:p>
    <w:p>
      <w:pPr>
        <w:pStyle w:val="BodyText"/>
        <w:spacing w:line="480" w:lineRule="auto"/>
        <w:ind w:firstLine="720"/>
      </w:pPr>
      <w:r>
        <w:t xml:space="preserve">Four sections follow this introduction. Section 2.2 reviews the technical cislunar literature around four sub-themes that recur in the corpus: ecosystem and resource-industry modelling, traffic management and situational awareness, governance and risk framing, and surface-systems engineering. Section 2.3 turns to the cliometric and econometric methodology relevant to the lead-lag question, organised around vector autoregression and Granger causality, local projections, survival analysis, and the data-construction practices that define credible empirical work in adjacent industries.</w:t>
      </w:r>
    </w:p>
    <w:p>
      <w:pPr>
        <w:pStyle w:val="BodyText"/>
        <w:spacing w:line="480" w:lineRule="auto"/>
        <w:ind w:firstLine="720"/>
      </w:pPr>
      <w:r>
        <w:t xml:space="preserve">Section 2.4 synthesises the two and identifies the gap the dissertation targets. Section 2.5 closes on what the gap implies for the design of the empirical chapters, and states how the dissertation positions itself within both bodies of work.</w:t>
      </w:r>
    </w:p>
    <w:bookmarkEnd w:id="68"/>
    <w:bookmarkStart w:id="74" w:name="X965b5792988e9221dbf22c956941b13c66b2385"/>
    <w:p>
      <w:pPr>
        <w:pStyle w:val="Heading2"/>
        <w:spacing w:line="480" w:lineRule="auto"/>
      </w:pPr>
      <w:r>
        <w:t xml:space="preserve">2.2 The Domain Literature on the Cislunar Economy</w:t>
      </w:r>
    </w:p>
    <w:bookmarkStart w:id="69" w:name="Xadd647d6af7ad7c51820efe7cd2ca9e9415de8d"/>
    <w:p>
      <w:pPr>
        <w:pStyle w:val="Heading3"/>
        <w:spacing w:line="480" w:lineRule="auto"/>
      </w:pPr>
      <w:r>
        <w:t xml:space="preserve">2.2.1 Ecosystem and Resource-Industry Modelling</w:t>
      </w:r>
    </w:p>
    <w:p>
      <w:pPr>
        <w:pStyle w:val="FirstParagraph"/>
        <w:spacing w:line="480" w:lineRule="auto"/>
      </w:pPr>
      <w:r>
        <w:t xml:space="preserve">System-level thinking about the cislunar economy has a clear intellectual centre of gravity in the system-dynamics modelling tradition exemplified by Chavy-Macdonald and colleagues [2, 25]. Their model formalises government agencies, commercial operators, resource producers, and downstream consumers as coupled stocks and flows, then uses scenario analysis to ask under what conditions a resource industry on the Moon would be self-sustaining rather than perpetually subsidised. Theoretically careful and architecturally rich, the model nonetheless treats the public-private interface as purely structural: government and commercial actors are nodes in a stock-and-flow diagram, and the simulation explores hypothetical parameter regimes rather than empirical relationships estimated from observed government obligations or private capital flows.</w:t>
      </w:r>
    </w:p>
    <w:p>
      <w:pPr>
        <w:pStyle w:val="BodyText"/>
        <w:spacing w:line="480" w:lineRule="auto"/>
        <w:ind w:firstLine="720"/>
      </w:pPr>
      <w:r>
        <w:t xml:space="preserve">Because it specifies what the relevant stocks and flows are, the work is foundational for any later quantitative effort, but it does not estimate the lead-lag structure of the public-private dependency from data. That step is left explicitly open.</w:t>
      </w:r>
    </w:p>
    <w:p>
      <w:pPr>
        <w:pStyle w:val="BodyText"/>
        <w:spacing w:line="480" w:lineRule="auto"/>
        <w:ind w:firstLine="720"/>
      </w:pPr>
      <w:r>
        <w:t xml:space="preserve">McKeown, Dempster, Saydam, and Coulton extend the resource-industry framing in two directions. Their treatment of how potential space-resource markets should be evaluated lays out the conceptual apparatus of mineral economics, mining feasibility, and offtake structure as applied to lunar regolith and volatiles</w:t>
      </w:r>
      <w:r>
        <w:t xml:space="preserve"> </w:t>
      </w:r>
      <w:hyperlink w:anchor="ref-24">
        <w:r>
          <w:rPr>
            <w:rStyle w:val="Hyperlink"/>
          </w:rPr>
          <w:t xml:space="preserve">[24]</w:t>
        </w:r>
      </w:hyperlink>
      <w:r>
        <w:t xml:space="preserve">. A companion paper on placing lunar resources research within mining-feasibility studies pushes that apparatus further, arguing that the methodological standards of terrestrial mining economics, with their explicit treatment of grade, tonnage, recoverable reserves, and capital intensity, should be the baseline for credible claims about a lunar resource industry</w:t>
      </w:r>
      <w:r>
        <w:t xml:space="preserve"> </w:t>
      </w:r>
      <w:hyperlink w:anchor="ref-26">
        <w:r>
          <w:rPr>
            <w:rStyle w:val="Hyperlink"/>
          </w:rPr>
          <w:t xml:space="preserve">[26]</w:t>
        </w:r>
      </w:hyperlink>
      <w:r>
        <w:t xml:space="preserve">. Both papers discipline the language of feasibility, yet neither estimates the empirical relationship between government commitment and private investment in cislunar firms.</w:t>
      </w:r>
    </w:p>
    <w:p>
      <w:pPr>
        <w:pStyle w:val="BodyText"/>
        <w:spacing w:line="480" w:lineRule="auto"/>
        <w:ind w:firstLine="720"/>
      </w:pPr>
      <w:r>
        <w:t xml:space="preserve">What they contribute to the present dissertation is a disciplining vocabulary. They make clear that the cislunar-economy literature already knows it operates on weaker empirical foundations than mature extractive industries, and they name the methodological-transplant problem that the present work addresses in the public-private timing domain.</w:t>
      </w:r>
    </w:p>
    <w:p>
      <w:pPr>
        <w:pStyle w:val="BodyText"/>
        <w:spacing w:line="480" w:lineRule="auto"/>
        <w:ind w:firstLine="720"/>
      </w:pPr>
      <w:r>
        <w:t xml:space="preserve">Trucco, Paravano, and Locatelli set the dynamics of the space-economy risk landscape against the broader set of trends in the sector</w:t>
      </w:r>
      <w:r>
        <w:t xml:space="preserve"> </w:t>
      </w:r>
      <w:hyperlink w:anchor="ref-27">
        <w:r>
          <w:rPr>
            <w:rStyle w:val="Hyperlink"/>
          </w:rPr>
          <w:t xml:space="preserve">[27]</w:t>
        </w:r>
      </w:hyperlink>
      <w:r>
        <w:t xml:space="preserve">. Their analysis catalogues the risk categories that bear on commercial activity and traces how firm exposure to financial, regulatory, technological, and geopolitical risk evolves. Consistent with the broader risk-management literature on infrastructure and energy industries, the treatment nonetheless stays qualitative on the timing question. Going a step further, Zancan, Paravano, Locatelli, and Trucco contrast the legacy-space and new-space governance models, arguing that the shift from cost-plus, milestone-anchored procurement toward services-based, fixed-price contracting has changed the structural incentives of both government sponsors and private investors</w:t>
      </w:r>
      <w:r>
        <w:t xml:space="preserve"> </w:t>
      </w:r>
      <w:hyperlink w:anchor="ref-28">
        <w:r>
          <w:rPr>
            <w:rStyle w:val="Hyperlink"/>
          </w:rPr>
          <w:t xml:space="preserve">[28]</w:t>
        </w:r>
      </w:hyperlink>
      <w:r>
        <w:t xml:space="preserve">. Of the domain literature, theirs comes closest to an explicit characterisation of the public-private interface as a dynamic system, and it raises but does not test the proposition that the new-space governance model changes the lead-lag structure of capital flows.</w:t>
      </w:r>
    </w:p>
    <w:bookmarkEnd w:id="69"/>
    <w:bookmarkStart w:id="70" w:name="Xf477c6d7b21e87f6f1d9f5aff4a39aa2d2fe6fa"/>
    <w:p>
      <w:pPr>
        <w:pStyle w:val="Heading3"/>
        <w:spacing w:line="480" w:lineRule="auto"/>
      </w:pPr>
      <w:r>
        <w:t xml:space="preserve">2.2.2 Traffic Management, Sustainability, and Situational Awareness</w:t>
      </w:r>
    </w:p>
    <w:p>
      <w:pPr>
        <w:pStyle w:val="FirstParagraph"/>
        <w:spacing w:line="480" w:lineRule="auto"/>
      </w:pPr>
      <w:r>
        <w:t xml:space="preserve">A second tributary of the cislunar domain literature treats commercial activity mainly as a forecast input to traffic management, sustainability, and situational-awareness analyses. Reed, Tsamis, and Dailey argue that trusted coordination of space stakeholders, public and private, is the precondition for sustainable traffic management as the population of objects in cislunar space grows [1, 12]. Their analysis explicitly casts government program demand as an anchor that pulls private operators into the architecture, and it builds the case for coordinated stakeholder governance on that anchor-tenant premise. The premise is asserted rather than tested with directional time-series estimators. Bilka, Wright, and Wysack make the architectural case that cislunar growth requires explicit traffic-management infrastructure and that the build-out of that infrastructure will follow rather than lead commercial demand</w:t>
      </w:r>
      <w:r>
        <w:t xml:space="preserve"> </w:t>
      </w:r>
      <w:hyperlink w:anchor="ref-4">
        <w:r>
          <w:rPr>
            <w:rStyle w:val="Hyperlink"/>
          </w:rPr>
          <w:t xml:space="preserve">[4]</w:t>
        </w:r>
      </w:hyperlink>
      <w:r>
        <w:t xml:space="preserve">. They, too, treat private capital as a forecast variable and accept the anchor-tenant frame implicitly. Anilkumar and colleagues develop a multi-actor framework for space traffic management across cislunar and cismartian environments, identifying the policy and architectural gaps that scaling commercial activity will need to close</w:t>
      </w:r>
      <w:r>
        <w:t xml:space="preserve"> </w:t>
      </w:r>
      <w:hyperlink w:anchor="ref-30">
        <w:r>
          <w:rPr>
            <w:rStyle w:val="Hyperlink"/>
          </w:rPr>
          <w:t xml:space="preserve">[30]</w:t>
        </w:r>
      </w:hyperlink>
      <w:r>
        <w:t xml:space="preserve">. Their treatment is normative and integrative, and its empirical structure is once again a forecast in which commercial demand is exogenous. Lifson and colleagues at The Aerospace Corporation construct reference scenarios and supporting inputs for space-environment modelling, providing the standard quantitative backbone for environment models that depend on assumed commercial activity levels</w:t>
      </w:r>
      <w:r>
        <w:t xml:space="preserve"> </w:t>
      </w:r>
      <w:hyperlink w:anchor="ref-16">
        <w:r>
          <w:rPr>
            <w:rStyle w:val="Hyperlink"/>
          </w:rPr>
          <w:t xml:space="preserve">[16]</w:t>
        </w:r>
      </w:hyperlink>
      <w:r>
        <w:t xml:space="preserve">. Careful in the construction of inputs, their work treats the underlying public-private dynamic as a parameter to be supplied rather than estimated.</w:t>
      </w:r>
    </w:p>
    <w:p>
      <w:pPr>
        <w:pStyle w:val="BodyText"/>
        <w:spacing w:line="480" w:lineRule="auto"/>
        <w:ind w:firstLine="720"/>
      </w:pPr>
      <w:r>
        <w:t xml:space="preserve">On the situational-awareness side, the cislunar literature has matured considerably over the last five years. Tomita, Shimane, and Ho address multi-spacecraft predictive sensor tasking for cislunar space situational awareness</w:t>
      </w:r>
      <w:r>
        <w:t xml:space="preserve"> </w:t>
      </w:r>
      <w:hyperlink w:anchor="ref-19">
        <w:r>
          <w:rPr>
            <w:rStyle w:val="Hyperlink"/>
          </w:rPr>
          <w:t xml:space="preserve">[19]</w:t>
        </w:r>
      </w:hyperlink>
      <w:r>
        <w:t xml:space="preserve">. Siew and colleagues report a satellite pattern-of-life identification challenge that establishes a community benchmark for inferring operator behaviour from observed track data</w:t>
      </w:r>
      <w:r>
        <w:t xml:space="preserve"> </w:t>
      </w:r>
      <w:hyperlink w:anchor="ref-20">
        <w:r>
          <w:rPr>
            <w:rStyle w:val="Hyperlink"/>
          </w:rPr>
          <w:t xml:space="preserve">[20]</w:t>
        </w:r>
      </w:hyperlink>
      <w:r>
        <w:t xml:space="preserve">. Putman, McComas, and Faustman develop multi-phenomenology fusion for satellite identification, joining radar, optical, and signals data into integrated identification pipelines</w:t>
      </w:r>
      <w:r>
        <w:t xml:space="preserve"> </w:t>
      </w:r>
      <w:hyperlink w:anchor="ref-21">
        <w:r>
          <w:rPr>
            <w:rStyle w:val="Hyperlink"/>
          </w:rPr>
          <w:t xml:space="preserve">[21]</w:t>
        </w:r>
      </w:hyperlink>
      <w:r>
        <w:t xml:space="preserve">. Vestrand and colleagues at Los Alamos describe a coalition architecture for space traffic management that folds artificial intelligence into the coordination layer</w:t>
      </w:r>
      <w:r>
        <w:t xml:space="preserve"> </w:t>
      </w:r>
      <w:hyperlink w:anchor="ref-23">
        <w:r>
          <w:rPr>
            <w:rStyle w:val="Hyperlink"/>
          </w:rPr>
          <w:t xml:space="preserve">[23]</w:t>
        </w:r>
      </w:hyperlink>
      <w:r>
        <w:t xml:space="preserve">. Smith, Jah, and Wood architect a decision-support system for continuing supervision of commercial in-space servicing, an effort that explicitly bridges the technical and governance domains</w:t>
      </w:r>
      <w:r>
        <w:t xml:space="preserve"> </w:t>
      </w:r>
      <w:hyperlink w:anchor="ref-17">
        <w:r>
          <w:rPr>
            <w:rStyle w:val="Hyperlink"/>
          </w:rPr>
          <w:t xml:space="preserve">[17]</w:t>
        </w:r>
      </w:hyperlink>
      <w:r>
        <w:t xml:space="preserve">. None of these technical contributions estimates the timing of capital flows, and none was designed to. What they establish is the data and inference machinery the cislunar community uses to characterise the operating environment, and they collectively assume rather than test that commercial activity will scale alongside government demand.</w:t>
      </w:r>
    </w:p>
    <w:p>
      <w:pPr>
        <w:pStyle w:val="BodyText"/>
        <w:spacing w:line="480" w:lineRule="auto"/>
        <w:ind w:firstLine="720"/>
      </w:pPr>
      <w:r>
        <w:t xml:space="preserve">Two further contributions belong here. Gerber and colleagues describe the Sprint Advanced Concept Training collaboration as a venue in which public and private operators rehearse the coordination patterns traffic management requires</w:t>
      </w:r>
      <w:r>
        <w:t xml:space="preserve"> </w:t>
      </w:r>
      <w:hyperlink w:anchor="ref-22">
        <w:r>
          <w:rPr>
            <w:rStyle w:val="Hyperlink"/>
          </w:rPr>
          <w:t xml:space="preserve">[22]</w:t>
        </w:r>
      </w:hyperlink>
      <w:r>
        <w:t xml:space="preserve">, and Lachut and Bennett address the technical refinement of solar-radiation-pressure modelling that underpins accurate orbit prediction in the cislunar environment</w:t>
      </w:r>
      <w:r>
        <w:t xml:space="preserve"> </w:t>
      </w:r>
      <w:hyperlink w:anchor="ref-18">
        <w:r>
          <w:rPr>
            <w:rStyle w:val="Hyperlink"/>
          </w:rPr>
          <w:t xml:space="preserve">[18]</w:t>
        </w:r>
      </w:hyperlink>
      <w:r>
        <w:t xml:space="preserve">. Both sit upstream of the lead-lag question, and both are characteristic of how the domain literature treats commercial scaling as an environmental assumption.</w:t>
      </w:r>
    </w:p>
    <w:bookmarkEnd w:id="70"/>
    <w:bookmarkStart w:id="71" w:name="Xb810a5c3acae01f469f375374f9148631c25284"/>
    <w:p>
      <w:pPr>
        <w:pStyle w:val="Heading3"/>
        <w:spacing w:line="480" w:lineRule="auto"/>
      </w:pPr>
      <w:r>
        <w:t xml:space="preserve">2.2.3 Governance, Risk, and the Policy Framing of Demand</w:t>
      </w:r>
    </w:p>
    <w:p>
      <w:pPr>
        <w:pStyle w:val="FirstParagraph"/>
        <w:spacing w:line="480" w:lineRule="auto"/>
      </w:pPr>
      <w:r>
        <w:t xml:space="preserve">Governance and policy make up the third sub-theme. A synthesis from the World Economic Forum and McKinsey &amp; Company asserts that the commercial space sector is outpacing governance and locates several public-private interfaces as the source of the resulting friction [3, 5]. Rhetorically powerful and frequently cited, it nonetheless never distinguishes which side of any specific interface moves first. The Space Economy Papers corpus collected by Stilwell and colleagues at ASCEND, together with the Space Force Association DIME contributions on integrated deterrence and economic statecraft, frames cislunar capital flows as instruments of strategic posture rather than as the outputs of a price-discovery process</w:t>
      </w:r>
      <w:r>
        <w:t xml:space="preserve"> </w:t>
      </w:r>
      <w:hyperlink w:anchor="ref-11">
        <w:r>
          <w:rPr>
            <w:rStyle w:val="Hyperlink"/>
          </w:rPr>
          <w:t xml:space="preserve">[11]</w:t>
        </w:r>
      </w:hyperlink>
      <w:r>
        <w:t xml:space="preserve">. That framing matters: it justifies treating public obligations as policy levers rather than market signals, and it implicitly assumes public commitment leads private deployment. Rarely has the assumption been examined as a falsifiable temporal proposition. Denis and colleagues take the parallel case of Earth-observation systems and markets and characterise the scenarios under which disruptive commercial entry reshapes the public-private balance</w:t>
      </w:r>
      <w:r>
        <w:t xml:space="preserve"> </w:t>
      </w:r>
      <w:hyperlink w:anchor="ref-31">
        <w:r>
          <w:rPr>
            <w:rStyle w:val="Hyperlink"/>
          </w:rPr>
          <w:t xml:space="preserve">[31]</w:t>
        </w:r>
      </w:hyperlink>
      <w:r>
        <w:t xml:space="preserve">. Closer to an industrial-organisation analysis than is typical of the cislunar literature, their treatment implicitly raises the question of whether the lead-lag structure observed in the Earth-observation segment generalises to lunar systems. They do not estimate that structure directly. As for the Government Accountability Office assessments of NASA major projects [6, 15], they supply the canonical public record of programmatic delay, cost growth, and scope change that any quantitative lead-lag analysis must use to construct the obligation series. Indispensable as an institutional record, they are not themselves an analytical literature on the dynamic interface.</w:t>
      </w:r>
    </w:p>
    <w:bookmarkEnd w:id="71"/>
    <w:bookmarkStart w:id="72" w:name="X11ac0632063cb5d422c286ae5f2f3b19e7b8474"/>
    <w:p>
      <w:pPr>
        <w:pStyle w:val="Heading3"/>
        <w:spacing w:line="480" w:lineRule="auto"/>
      </w:pPr>
      <w:r>
        <w:t xml:space="preserve">2.2.4 Surface Systems, Mobility, and the Engineering Frame</w:t>
      </w:r>
    </w:p>
    <w:p>
      <w:pPr>
        <w:pStyle w:val="FirstParagraph"/>
        <w:spacing w:line="480" w:lineRule="auto"/>
      </w:pPr>
      <w:r>
        <w:t xml:space="preserve">The fourth and final sub-theme is the engineering analysis of surface systems, mobility, and power. Franchini and colleagues develop a state-estimation framework for a four-wheeled lunar rover with active articulated suspensions and explicitly frame their work within an emergent lunar economy understood as a private-programme phenomenon</w:t>
      </w:r>
      <w:r>
        <w:t xml:space="preserve"> </w:t>
      </w:r>
      <w:hyperlink w:anchor="ref-13">
        <w:r>
          <w:rPr>
            <w:rStyle w:val="Hyperlink"/>
          </w:rPr>
          <w:t xml:space="preserve">[13]</w:t>
        </w:r>
      </w:hyperlink>
      <w:r>
        <w:t xml:space="preserve">. Mesalam and colleagues describe an americium-fuelled radioisotope Stirling generator intended for lunar surface-mobility systems</w:t>
      </w:r>
      <w:r>
        <w:t xml:space="preserve"> </w:t>
      </w:r>
      <w:hyperlink w:anchor="ref-14">
        <w:r>
          <w:rPr>
            <w:rStyle w:val="Hyperlink"/>
          </w:rPr>
          <w:t xml:space="preserve">[14]</w:t>
        </w:r>
      </w:hyperlink>
      <w:r>
        <w:t xml:space="preserve">. Selvamurgan, Lightsey, and Ho address time-optimal trajectory design for distributed space systems performing in-space transportation in Earth orbit</w:t>
      </w:r>
      <w:r>
        <w:t xml:space="preserve"> </w:t>
      </w:r>
      <w:hyperlink w:anchor="ref-29">
        <w:r>
          <w:rPr>
            <w:rStyle w:val="Hyperlink"/>
          </w:rPr>
          <w:t xml:space="preserve">[29]</w:t>
        </w:r>
      </w:hyperlink>
      <w:r>
        <w:t xml:space="preserve">, the kind of engineering analysis that anchors the cost and reliability assumptions any economic model of cislunar transportation leans on. Like the situational-awareness papers, these contributions sit upstream of the dissertation question: they specify the technologies whose commercial deployment is the underlying object of the capital flows whose timing the present work estimates. They neither estimate nor model that timing. What they do illustrate is the depth of the engineering literature that already conditions the cislunar economy, set against the comparatively shallow empirical literature on that economy’s dynamics.</w:t>
      </w:r>
    </w:p>
    <w:bookmarkEnd w:id="72"/>
    <w:bookmarkStart w:id="73" w:name="summary-of-the-domain-literature"/>
    <w:p>
      <w:pPr>
        <w:pStyle w:val="Heading3"/>
        <w:spacing w:line="480" w:lineRule="auto"/>
      </w:pPr>
      <w:r>
        <w:t xml:space="preserve">2.2.5 Summary of the Domain Literature</w:t>
      </w:r>
    </w:p>
    <w:p>
      <w:pPr>
        <w:pStyle w:val="FirstParagraph"/>
        <w:spacing w:line="480" w:lineRule="auto"/>
      </w:pPr>
      <w:r>
        <w:t xml:space="preserve">Three features run consistently through the domain literature. It is theoretically and architecturally rich. It treats commercial capital and government demand as variables in a coupled system. And it does not estimate the temporal direction of dependence between those variables from observed data. Throughout the corpus the anchor-tenant proposition recurs as an assumption that organises forecasts, architectures, and policy arguments, yet in none of the papers reviewed is it tested as a falsifiable temporal claim. That is the substantive opening to which the methodology literature reviewed next is directly responsive.</w:t>
      </w:r>
    </w:p>
    <w:bookmarkEnd w:id="73"/>
    <w:bookmarkEnd w:id="74"/>
    <w:bookmarkStart w:id="80"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This second body of work concerns directional, lagged dependence between endogenous time series. The review runs compact because the literature is mature and the specific tools this dissertation deploys are stable. Its purpose is to name the precise estimators the dissertation will adopt and to characterise the data-construction and inference practices that mark credible work in adjacent applied domains. Because the refs pool for this dissertation does not include the foundational methodological papers themselves, the review is organised around the operational use of the methods as embodied in the companion empirical papers</w:t>
      </w:r>
      <w:r>
        <w:t xml:space="preserve"> </w:t>
      </w:r>
      <w:hyperlink w:anchor="ref-10">
        <w:r>
          <w:rPr>
            <w:rStyle w:val="Hyperlink"/>
          </w:rPr>
          <w:t xml:space="preserve">[10]</w:t>
        </w:r>
      </w:hyperlink>
      <w:r>
        <w:t xml:space="preserve"> </w:t>
      </w:r>
      <w:r>
        <w:t xml:space="preserve">and as motivated by the substantive literature already reviewed.</w:t>
      </w:r>
    </w:p>
    <w:bookmarkStart w:id="75" w:name="X437a3df42ba8ee3941f6c6be8369dc024656078"/>
    <w:p>
      <w:pPr>
        <w:pStyle w:val="Heading3"/>
        <w:spacing w:line="480" w:lineRule="auto"/>
      </w:pPr>
      <w:r>
        <w:t xml:space="preserve">2.3.1 Vector Autoregression and Granger Causality</w:t>
      </w:r>
    </w:p>
    <w:p>
      <w:pPr>
        <w:pStyle w:val="FirstParagraph"/>
        <w:spacing w:line="480" w:lineRule="auto"/>
      </w:pPr>
      <w:r>
        <w:t xml:space="preserve">For characterising the joint dynamics of macroeconomic and financial time series, the vector autoregression has become the workhorse, and the Granger causality test that operates on its lagged coefficient restrictions is the canonical operational definition of temporal precedence. Operational practice has settled around four conventions. Lag length is chosen by an information criterion, typically the Bayesian information criterion, with the Akaike information criterion reported as a robustness check. Inference on the lagged coefficient restrictions uses a Wald test. Impulse response functions are reported with confidence intervals from a bootstrap procedure, typically with at least 1,000 replications. Structural breaks at known dates are absorbed either by sample splitting or by explicit dummy variables. None of this is an innovation of the present dissertation; it is the methodological background against which the dissertation works. Three features of the apparatus matter for the present application. Its definition of causation rests on predictive content rather than on structural intervention, and the limits of that definition are well understood: Granger causality cannot on its own support claims of structural causation in the sense of a controlled intervention, though it can falsify claims of temporal precedence. It is also sensitive to lag selection and to the ordering of the endogenous variables in impulse-response analysis, and the standard response is to report results across a range of plausible lag specifications and orderings and to characterise the robust subset. Finally, it assumes stationarity in the differenced or detrended series, which conditions the choice of transformation. Companion paper</w:t>
      </w:r>
      <w:r>
        <w:t xml:space="preserve"> </w:t>
      </w:r>
      <w:hyperlink w:anchor="ref-10">
        <w:r>
          <w:rPr>
            <w:rStyle w:val="Hyperlink"/>
          </w:rPr>
          <w:t xml:space="preserve">[10]</w:t>
        </w:r>
      </w:hyperlink>
      <w:r>
        <w:t xml:space="preserve"> </w:t>
      </w:r>
      <w:r>
        <w:t xml:space="preserve">follows these conventions in its single-equation lagged ordinary-least-squares formulation, a restricted case of the bivariate vector autoregression, and the dissertation chapters that estimate the full bivariate model extend that empirical strategy.</w:t>
      </w:r>
    </w:p>
    <w:bookmarkEnd w:id="75"/>
    <w:bookmarkStart w:id="76" w:name="X6573adaae6434143c0d095fb41f4cec8dbb502c"/>
    <w:p>
      <w:pPr>
        <w:pStyle w:val="Heading3"/>
        <w:spacing w:line="480" w:lineRule="auto"/>
      </w:pPr>
      <w:r>
        <w:t xml:space="preserve">2.3.2 Local Projections as a Robustness Estimator</w:t>
      </w:r>
    </w:p>
    <w:p>
      <w:pPr>
        <w:pStyle w:val="FirstParagraph"/>
        <w:spacing w:line="480" w:lineRule="auto"/>
      </w:pPr>
      <w:r>
        <w:t xml:space="preserve">Developed in the macroeconometric literature, the local-projections estimator has become the standard robustness check on impulse response functions derived from vector autoregressions. It estimates the impulse response at each horizon as a separate regression of the response variable at that horizon on the shock variable and a control set, side-stepping the recursive structure of the vector autoregression and its sensitivity to ordering. Less efficient than the vector autoregression when the latter is correctly specified, it is more robust when the lag structure is uncertain. Applied work now routinely reports local-projection impulse responses alongside vector-autoregression impulse responses and reads the agreement between the two as a check on the robustness of the directional finding. The dissertation adopts that practice. What matters for this review is not the technical detail of the estimator but the now-conventional understanding in applied macroeconometrics that jointly reporting vector-autoregression and local-projection responses makes a stronger empirical claim than either alone.</w:t>
      </w:r>
    </w:p>
    <w:bookmarkEnd w:id="76"/>
    <w:bookmarkStart w:id="77" w:name="X5f98cb9e2285492388325369100f701116ecad6"/>
    <w:p>
      <w:pPr>
        <w:pStyle w:val="Heading3"/>
        <w:spacing w:line="480" w:lineRule="auto"/>
      </w:pPr>
      <w:r>
        <w:t xml:space="preserve">2.3.3 Survival Analysis and Event-History Designs</w:t>
      </w:r>
    </w:p>
    <w:p>
      <w:pPr>
        <w:pStyle w:val="FirstParagraph"/>
        <w:spacing w:line="480" w:lineRule="auto"/>
      </w:pPr>
      <w:r>
        <w:t xml:space="preserve">Survival analysis is the third methodological tradition relevant here, and in particular the Cox proportional-hazards model that the companion firm-level paper uses to estimate the time from a documented government anchor signal to a first private raise. Three features make the Cox specification appropriate for this application. It requires no parametric form for the baseline hazard, which is desirable when the baseline rate of capital arrival is poorly characterised. It accommodates right-censoring naturally, which is necessary when some firms in the risk set have not raised by the end of the observation window. And it reports hazard ratios on continuous covariates that admit a direct economic interpretation. The companion paper reports such ratios on log government contract value, log prior private capital, founder government experience, and log team size, and it finds that the dominant accelerant in the sample is prior private capital rather than the magnitude of the government anchor signal. From that finding the dissertation takes a methodological lesson about multi-resolution estimation. The aggregate-flow and firm-level analyses reach compatible but not identical conclusions, and the methodological literature counsels reporting that multi-resolution pattern in full rather than reducing it to a single headline number.</w:t>
      </w:r>
    </w:p>
    <w:bookmarkEnd w:id="77"/>
    <w:bookmarkStart w:id="78" w:name="X4bfb15dc530278499a0396105d14b9e8463bf13"/>
    <w:p>
      <w:pPr>
        <w:pStyle w:val="Heading3"/>
        <w:spacing w:line="480" w:lineRule="auto"/>
      </w:pPr>
      <w:r>
        <w:t xml:space="preserve">2.3.4 Data Construction and the Frozen Replication Archive</w:t>
      </w:r>
    </w:p>
    <w:p>
      <w:pPr>
        <w:pStyle w:val="FirstParagraph"/>
        <w:spacing w:line="480" w:lineRule="auto"/>
      </w:pPr>
      <w:r>
        <w:t xml:space="preserve">A fourth body of practice concerns data construction. Credible empirical work in macroeconomics and industrial organisation has converged on three operational standards. Every series is documented at the level of source, retrieval date, and dataset version. Derived series are produced by code that is preserved and re-runnable. And the analytic dataset is frozen before estimation begins. The dissertation follows all three. Its public obligation series is constructed from USAspending.gov, the Federal Procurement Data System Next Generation feed, the NASA Congressional Justifications, and the Government Accountability Office assessments [6, 9, 15]. Its private-capital series is constructed from the BryceTech Start-Up Space annual report series</w:t>
      </w:r>
      <w:r>
        <w:t xml:space="preserve"> </w:t>
      </w:r>
      <w:hyperlink w:anchor="ref-7">
        <w:r>
          <w:rPr>
            <w:rStyle w:val="Hyperlink"/>
          </w:rPr>
          <w:t xml:space="preserve">[7]</w:t>
        </w:r>
      </w:hyperlink>
      <w:r>
        <w:t xml:space="preserve"> </w:t>
      </w:r>
      <w:r>
        <w:t xml:space="preserve">with disambiguation against public filings and curated commercial databases. Its macro-financial control is the three-month Treasury bill rate from FRED</w:t>
      </w:r>
      <w:r>
        <w:t xml:space="preserve"> </w:t>
      </w:r>
      <w:hyperlink w:anchor="ref-8">
        <w:r>
          <w:rPr>
            <w:rStyle w:val="Hyperlink"/>
          </w:rPr>
          <w:t xml:space="preserve">[8]</w:t>
        </w:r>
      </w:hyperlink>
      <w:r>
        <w:t xml:space="preserve">. Each row carries a source citation and a retrieval date, and the analytic file is frozen before the vector autoregression is fit. No particular freezing protocol is prescribed by the methodological literature, but the convergence of applied-econometric practice around freezing before estimation is now near-universal, and the dissertation adopts that convention as a precondition for credible reporting.</w:t>
      </w:r>
    </w:p>
    <w:bookmarkEnd w:id="78"/>
    <w:bookmarkStart w:id="79" w:name="X9e3b3dd9553566bcf75513343d03e5b99974b4c"/>
    <w:p>
      <w:pPr>
        <w:pStyle w:val="Heading3"/>
        <w:spacing w:line="480" w:lineRule="auto"/>
      </w:pPr>
      <w:r>
        <w:t xml:space="preserve">2.3.5 Threats to Validity in Applied Lead-Lag Estimation</w:t>
      </w:r>
    </w:p>
    <w:p>
      <w:pPr>
        <w:pStyle w:val="FirstParagraph"/>
        <w:spacing w:line="480" w:lineRule="auto"/>
      </w:pPr>
      <w:r>
        <w:t xml:space="preserve">Applied lead-lag work has stabilised around a small set of validity threats that recur across substantive domains. Sample size is the first. A sample of 44 quarterly observations with two endogenous variables and four lags leaves limited degrees of freedom; the standard responses are Bayesian shrinkage priors on the vector-autoregression coefficients and joint reporting of the local-projections impulse response. Definitional drift in the panel population is the second, met by a frozen-roster reconstruction with consistent inclusion criteria. The distinction between announcement and obligation effects is the third; here the standard response is to estimate the model with both a quarter-of-announcement and a quarter-of-obligation series and to report the divergence as a finding rather than a nuisance. Dominance of a small number of large awards is the fourth, met by estimating with and without those awards and reporting the sensitivity. Together these four threats and the responses to them define the operational form of the empirical chapters, and they are stated here as the methodological background against which the dissertation should be read.</w:t>
      </w:r>
    </w:p>
    <w:bookmarkEnd w:id="79"/>
    <w:bookmarkEnd w:id="80"/>
    <w:bookmarkStart w:id="81" w:name="synthesis-and-identification-of-the-gap"/>
    <w:p>
      <w:pPr>
        <w:pStyle w:val="Heading2"/>
        <w:spacing w:line="480" w:lineRule="auto"/>
      </w:pPr>
      <w:r>
        <w:t xml:space="preserve">2.4 Synthesis and Identification of the Gap</w:t>
      </w:r>
    </w:p>
    <w:p>
      <w:pPr>
        <w:pStyle w:val="FirstParagraph"/>
        <w:spacing w:line="480" w:lineRule="auto"/>
      </w:pPr>
      <w:r>
        <w:t xml:space="preserve">Placing Sections 2.2 and 2.3 side by side makes the gap visible. The domain literature on the cislunar economy holds a richly developed theoretical and architectural treatment of the public-private interface but no estimated, directional, temporal characterisation of the dependency between government obligations and private capital flows. The applied methodology literature holds mature, well-understood estimators for exactly that directional, temporal characterisation but has never been brought to bear on cislunar data. Each literature is complete on its own terms. Each is incomplete along the precise axis the other can address.</w:t>
      </w:r>
    </w:p>
    <w:p>
      <w:pPr>
        <w:pStyle w:val="BodyText"/>
        <w:spacing w:line="480" w:lineRule="auto"/>
        <w:ind w:firstLine="720"/>
      </w:pPr>
      <w:r>
        <w:t xml:space="preserve">Three specific failures of joining stand out. The anchor-tenant proposition is asserted across the cislunar policy literature [1, 3, 4, 5, 12] without empirical specification as a falsifiable temporal claim; operationally it is a Granger-causality hypothesis, yet the corpus never states, tests, or rejects it in those terms. The system-dynamics modelling tradition [2, 25] formalises the public-private interface as coupled stocks and flows but does not estimate the parameters of that coupling from observed series, leaving a model consistent with multiple lead-lag regimes and a choice among them unconstrained by data. And the resource-industry and risk literatures [24, 26, 27, 28] discipline the qualitative vocabulary of feasibility and governance without supplying the empirical foundation for any specific quantitative claim about the timing of capital deployment. None of this is a gap inside either literature considered alone; it is a gap at the interface, and the interface is where the dissertation sits.</w:t>
      </w:r>
    </w:p>
    <w:p>
      <w:pPr>
        <w:pStyle w:val="BodyText"/>
        <w:spacing w:line="480" w:lineRule="auto"/>
        <w:ind w:firstLine="720"/>
      </w:pPr>
      <w:r>
        <w:t xml:space="preserve">One subsidiary point of synthesis is worth recording. The companion firm-level survival analysis shows that even at the firm resolution, where the estimator is well understood and the data are reasonably tractable, the dominant accelerant of private capital is prior private capital rather than the magnitude of the government anchor signal. That finding is consistent with the system-dynamics intuition that commercial capital is partly exogenous to government commitment, though it is not yet established as the temporal pattern at the program level. The dissertation reconciles the two resolutions by jointly reporting the aggregate vector autoregression and the firm-level survival model, treating them as complementary rather than as substitutes. Such multi-resolution synthesis is itself a methodological contribution to a domain literature that has rarely operated at more than one resolution at a time. Best characterised, then, the dissertation’s contribution is the empirical operationalisation of a theoretical proposition the cislunar-economy literature has carried as an assumption. Its estimators are taken from the applied methodology literature without methodological novelty. Its data are constructed from public sources by the practices that literature requires. Its substantive contribution is the directional, lagged estimate itself, reported with the robustness and sensitivity apparatus the methodology literature has converged upon. The estimate is consequential because the assumption it tests is consequential. If the anchor-tenant proposition finds empirical support, it gives a quantitative foundation to the policy and architecture arguments built on it. If it does not, the policy and architecture literatures will have to be rewritten.</w:t>
      </w:r>
    </w:p>
    <w:bookmarkEnd w:id="81"/>
    <w:bookmarkStart w:id="82" w:name="implications-for-the-empirical-design"/>
    <w:p>
      <w:pPr>
        <w:pStyle w:val="Heading2"/>
        <w:spacing w:line="480" w:lineRule="auto"/>
      </w:pPr>
      <w:r>
        <w:t xml:space="preserve">2.5 Implications for the Empirical Design</w:t>
      </w:r>
    </w:p>
    <w:p>
      <w:pPr>
        <w:pStyle w:val="FirstParagraph"/>
        <w:spacing w:line="480" w:lineRule="auto"/>
      </w:pPr>
      <w:r>
        <w:t xml:space="preserve">Three implications follow from the review and condition the design of the empirical chapters. The directional claim has to be stated as a falsifiable temporal proposition with a pre-specified rejection region, so the next chapter formalises it as paired Granger-causality hypotheses on the bivariate vector autoregression and reports both directions of the test rather than only the favoured one. The estimator has to be robust to the lag-selection and ordering sensitivities the methodology literature documents, so the empirical chapter reports both vector-autoregression and local-projection responses and characterises the robust subset. And the result has to be reported alongside the firm-level survival evidence, so that the multi-resolution synthesis is part of the contribution rather than a comment on it. The review closes with a position. The cislunar-economy literature has built a substantively important proposition about the public-private interface and carried it forward as a working assumption for a decade. Over a longer horizon, the applied methodology literature has developed the estimators that would let that proposition be tested. No work yet identified in the corpus reviewed here joins the two. The dissertation joins them. The chapters that follow execute that joining.</w:t>
      </w:r>
    </w:p>
    <w:bookmarkEnd w:id="82"/>
    <w:bookmarkEnd w:id="83"/>
    <w:bookmarkStart w:id="91" w:name="Xcfcc00a3ded59aed0c781c16bfc121f2a509603"/>
    <w:p>
      <w:pPr>
        <w:pStyle w:val="Heading1"/>
        <w:spacing w:line="480" w:lineRule="auto"/>
      </w:pPr>
      <w:r>
        <w:t xml:space="preserve">Chapter 3. Theoretical Framework and Hypotheses</w:t>
      </w:r>
    </w:p>
    <w:bookmarkStart w:id="84" w:name="purpose-of-the-chapter"/>
    <w:p>
      <w:pPr>
        <w:pStyle w:val="Heading2"/>
        <w:spacing w:line="480" w:lineRule="auto"/>
      </w:pPr>
      <w:r>
        <w:t xml:space="preserve">3.1 Purpose of the Chapter</w:t>
      </w:r>
    </w:p>
    <w:p>
      <w:pPr>
        <w:pStyle w:val="FirstParagraph"/>
        <w:spacing w:line="480" w:lineRule="auto"/>
      </w:pPr>
      <w:r>
        <w:t xml:space="preserve">One falsifiable claim carries all the empirical work here: a claim about which of two observable cash flows moves first, announced United States government lunar obligations or private capital flowing into firms operating in the cislunar segment. Before any later estimation result can be read as evidence bearing on a policy proposition, a reader needs four things settled. A defensible account of the mechanism that, were it true, would produce a lead-lag relationship in the observed direction. The size that mechanism implies. The lag at which the relationship ought to surface. And the competing mechanisms whose predictions run otherwise.</w:t>
      </w:r>
    </w:p>
    <w:p>
      <w:pPr>
        <w:pStyle w:val="BodyText"/>
        <w:spacing w:line="480" w:lineRule="auto"/>
        <w:ind w:firstLine="720"/>
      </w:pPr>
      <w:r>
        <w:t xml:space="preserve">This chapter settles them. It states the theoretical architecture, works the causal logic up from primitives that hold independent support in the cislunar and wider space-economy literature, and ends with two formally written hypotheses the data then arbitrate.</w:t>
      </w:r>
    </w:p>
    <w:p>
      <w:pPr>
        <w:pStyle w:val="BodyText"/>
        <w:spacing w:line="480" w:lineRule="auto"/>
        <w:ind w:firstLine="720"/>
      </w:pPr>
      <w:r>
        <w:t xml:space="preserve">The chapter moves in three parts. The opening part places the question inside two competing strands of literature on government and commercial behaviour at the public-private interface, marking where the strands part and where that parting turns into a testable temporal proposition. The middle part builds the mechanism formally, casting the cislunar segment as a coupled system where government obligations act as a signal revising the private capital allocator’s posterior over the value of cislunar ventures, and where the delay from signal to response answers to diligence and closing cycles whose length adjacent corporate-finance work documents.</w:t>
      </w:r>
    </w:p>
    <w:p>
      <w:pPr>
        <w:pStyle w:val="BodyText"/>
        <w:spacing w:line="480" w:lineRule="auto"/>
        <w:ind w:firstLine="720"/>
      </w:pPr>
      <w:r>
        <w:t xml:space="preserve">The closing part states the hypotheses, H0 and H1, in symmetric form so the empirical work can tell a leading-government regime from a leading-capital regime from a bidirectional regime from a null, and it fixes the rejection regions each implies for the estimators carried into Chapter 4.</w:t>
      </w:r>
    </w:p>
    <w:bookmarkEnd w:id="84"/>
    <w:bookmarkStart w:id="85" w:name="Xfe429442aedcc0e4940475563e0c3eb380c669d"/>
    <w:p>
      <w:pPr>
        <w:pStyle w:val="Heading2"/>
        <w:spacing w:line="480" w:lineRule="auto"/>
      </w:pPr>
      <w:r>
        <w:t xml:space="preserve">3.2 Two Strands of Literature and the Disagreement Between Them</w:t>
      </w:r>
    </w:p>
    <w:p>
      <w:pPr>
        <w:pStyle w:val="FirstParagraph"/>
        <w:spacing w:line="480" w:lineRule="auto"/>
      </w:pPr>
      <w:r>
        <w:t xml:space="preserve">One strand casts government lunar demand as the anchor tenant of an emerging frontier market. Its locus classicus in the cislunar setting is the architectural reasoning around the Commercial Lunar Payload Services program and its successors, where sustained federal procurement gets defended as a device for crowding in private capital that would otherwise lack the risk appetite to underwrite lunar ventures [1, 4]. Outside the lunar setting the anchor-tenant logic runs back a long way, but inside the cislunar segment it has taken a specific architectural shape. There, announced obligations work as public commitments that cut the perceived risk of private investment by guaranteeing a future revenue stream against which commercial financing can be raised. Its mechanism is signalling, not transfer: even ahead of any disbursement, the announcement revises the private allocator’s belief about the future demand schedule for cislunar services.</w:t>
      </w:r>
    </w:p>
    <w:p>
      <w:pPr>
        <w:pStyle w:val="BodyText"/>
        <w:spacing w:line="480" w:lineRule="auto"/>
        <w:ind w:firstLine="720"/>
      </w:pPr>
      <w:r>
        <w:t xml:space="preserve">At the aggregate quarterly level, the companion paper behind this dissertation has shown that a two-quarter lag from lunar obligations to private cislunar capital fits this signalling reading and fails the strong form of the leading-capital alternative.</w:t>
      </w:r>
    </w:p>
    <w:p>
      <w:pPr>
        <w:pStyle w:val="BodyText"/>
        <w:spacing w:line="480" w:lineRule="auto"/>
        <w:ind w:firstLine="720"/>
      </w:pPr>
      <w:r>
        <w:t xml:space="preserve">A second strand, drawn from system-dynamics modelling of the cislunar resource industry, casts commercial capital as a partly exogenous driver that shapes which government architectures turn feasible to begin with [2, 25]. Here the arrow flips. Capital piling up in the private sector lowers the government’s cost of acquiring cislunar capability, broadens the menu of feasible architectures open to the program manager, and thereby draws out the obligations the anchor-tenant frame treats as given. This framing squares with later feasibility-minded work on lunar resource markets, which makes a commercial customer’s credibility a precondition for calling any lunar resource a bankable asset [24, 26]. Adjacent governance research on the shift from Legacy Space to New Space models finds the same intuition in an institutional-economics key, noting that today’s cislunar segment is marked by initiative migrating from the public to the private side of the interface</w:t>
      </w:r>
      <w:r>
        <w:t xml:space="preserve"> </w:t>
      </w:r>
      <w:hyperlink w:anchor="ref-28">
        <w:r>
          <w:rPr>
            <w:rStyle w:val="Hyperlink"/>
          </w:rPr>
          <w:t xml:space="preserve">[28]</w:t>
        </w:r>
      </w:hyperlink>
      <w:r>
        <w:t xml:space="preserve">. Risk-landscape work in the wider space economy backs this up, showing risk perception now shaped strongly by commercial market signals rather than program signals alone</w:t>
      </w:r>
      <w:r>
        <w:t xml:space="preserve"> </w:t>
      </w:r>
      <w:hyperlink w:anchor="ref-27">
        <w:r>
          <w:rPr>
            <w:rStyle w:val="Hyperlink"/>
          </w:rPr>
          <w:t xml:space="preserve">[27]</w:t>
        </w:r>
      </w:hyperlink>
      <w:r>
        <w:t xml:space="preserve">.</w:t>
      </w:r>
    </w:p>
    <w:p>
      <w:pPr>
        <w:pStyle w:val="BodyText"/>
        <w:spacing w:line="480" w:lineRule="auto"/>
        <w:ind w:firstLine="720"/>
      </w:pPr>
      <w:r>
        <w:t xml:space="preserve">A third, weaker proposition runs across syntheses of the space economy and reads best as a null hypothesis in narrative dress. Its content is that commercialisation is outrunning governance, without saying which side of the interface moves first [3, 5]. Put formally, it holds that the lead-lag estimator should return a coefficient indistinguishable from zero at every non-trivial lag in either direction, the apparent contemporaneity chalked up to a common third factor moving both series together. On one observable the three strands part: the sign and lag of the cross-correlation between quarterly government lunar obligations and quarterly private capital flows into cislunar firms, conditional on plausible controls. The anchor-tenant frame predicts a positive coefficient at a lag of one to four quarters running from obligations to capital, the modal lag near two quarters given the documented diligence and closing cycle of cislunar venture transactions. The leading-capital frame predicts a positive coefficient at a lag of one to four quarters running from capital to obligations, the modal lag perhaps longer given federal procurement cadence. The null predicts no significant coefficient either way once controls enter. Mutually exclusive in the sign and direction of the lag, jointly exhaustive of the empirically relevant possibilities, these three predictions are what the dissertation puts to the test.</w:t>
      </w:r>
    </w:p>
    <w:bookmarkEnd w:id="85"/>
    <w:bookmarkStart w:id="86" w:name="X3c18a80b8de140ab5f4e340896995426bf28242"/>
    <w:p>
      <w:pPr>
        <w:pStyle w:val="Heading2"/>
        <w:spacing w:line="480" w:lineRule="auto"/>
      </w:pPr>
      <w:r>
        <w:t xml:space="preserve">3.3 Primitive Assumptions of the Theoretical Framework</w:t>
      </w:r>
    </w:p>
    <w:p>
      <w:pPr>
        <w:pStyle w:val="FirstParagraph"/>
        <w:spacing w:line="480" w:lineRule="auto"/>
      </w:pPr>
      <w:r>
        <w:t xml:space="preserve">Turning the strands above into a mechanism that yields a directional, lagged prediction takes four primitive assumptions. Each gets stated, justified against the available cislunar and adjacent literature, and carried forward as a maintained assumption rather than a parameter to estimate.</w:t>
      </w:r>
    </w:p>
    <w:p>
      <w:pPr>
        <w:pStyle w:val="BodyText"/>
        <w:spacing w:line="480" w:lineRule="auto"/>
        <w:ind w:firstLine="720"/>
      </w:pPr>
      <w:r>
        <w:t xml:space="preserve">The first is informational. Announced federal lunar obligations reach private capital markets in the quarter of announcement, with no material delay. Backing this is the release schedule of the relevant procurement notices through USAspending.gov, the Federal Procurement Data System Next Generation, and the public solicitations of the Commercial Lunar Payload Services and Human Landing System programs. Its corollary is that the quarter of announcement and the quarter of obligation can stand as the same observational unit for the lead-lag estimator, without introducing measurement error of an order that would flip inferential sign. The second is behavioural. Private capital allocators in the cislunar segment read announced obligations as a Bayesian signal revising their posterior over the future revenue schedule of cislunar firms. This restates the anchor-tenant signalling argument formally, and it is the assumption tying the literature in [1, 4] to a magnitude prediction for the estimator. It asks no allocator to treat obligations as a perfect signal, only that the signal be informative in the technical sense, so the posterior moves toward the announcement. Adjacent work on the architecture of decision support for in-space servicing and on the governance of commercial space activity strengthens its plausibility, documenting that private participants in adjacent segments do fold government signals into their investment decisions [17, 28].</w:t>
      </w:r>
    </w:p>
    <w:p>
      <w:pPr>
        <w:pStyle w:val="BodyText"/>
        <w:spacing w:line="480" w:lineRule="auto"/>
        <w:ind w:firstLine="720"/>
      </w:pPr>
      <w:r>
        <w:t xml:space="preserve">The third is institutional. The delay between an announced obligation and the closing of a private capital event at a recipient firm answers to the diligence and closing cycle of the venture and growth-equity transactions typical of the cislunar segment. That cycle shows up in the BryceTech Start-Up Space series at firm-event resolution and in the SEC Form D filings accompanying the larger raises</w:t>
      </w:r>
      <w:r>
        <w:t xml:space="preserve"> </w:t>
      </w:r>
      <w:hyperlink w:anchor="ref-7">
        <w:r>
          <w:rPr>
            <w:rStyle w:val="Hyperlink"/>
          </w:rPr>
          <w:t xml:space="preserve">[7]</w:t>
        </w:r>
      </w:hyperlink>
      <w:r>
        <w:t xml:space="preserve">. Its modal length runs one to two quarters for transactions already in advanced diligence when the signal lands, and longer for transactions the signal itself sets off. For the estimator, the implication is that a signalling mechanism should surface at a modal lag near two quarters, with non-trivial mass at one quarter and at three to four quarters. The fourth is macroeconomic. The wider space-investment cycle and the cost of short-term capital confound the obligations-to-capital relationship and must be controlled. The non-lunar space-sector capital series and the FRED three-month Treasury bill rate serve as the canonical controls [7, 8]. Once these are partialled out, the assumption holds, the residual variation in lunar-tagged private capital flows can be attributed to the lunar-specific signal channel rather than to common drivers of the whole space-investment cycle.</w:t>
      </w:r>
    </w:p>
    <w:bookmarkEnd w:id="86"/>
    <w:bookmarkStart w:id="87" w:name="the-mechanism-in-formal-terms"/>
    <w:p>
      <w:pPr>
        <w:pStyle w:val="Heading2"/>
        <w:spacing w:line="480" w:lineRule="auto"/>
      </w:pPr>
      <w:r>
        <w:t xml:space="preserve">3.4 The Mechanism in Formal Terms</w:t>
      </w:r>
    </w:p>
    <w:p>
      <w:pPr>
        <w:pStyle w:val="FirstParagraph"/>
        <w:spacing w:line="480" w:lineRule="auto"/>
      </w:pPr>
      <w:r>
        <w:t xml:space="preserve">The four primitives compose into a mechanism stated most economically as a stylised signalling model. Let G(t) denote the log of announced quarterly federal lunar obligations in quarter t, in millions of constant dollars, and let K(t) denote the log of quarterly private capital flows into cislunar-tagged firms in the same quarter, in the same units. Let Z(t) denote a vector of controls holding the log of non-lunar space-sector capital flows and the three-month Treasury bill rate. Consistent with the anchor-tenant signalling argument, the maintained reduced form has K(t) generated by a process where G(t-1) and G(t-2) enter with positive weight, Z(t) enters with weights that soak up the common cycle, and a stochastic disturbance with conventional properties takes the residual. That stylised reduced form turns the signalling argument into a magnitude prediction. The signal is the announced obligation. The response is the shift in private capital flows the allocator’s revised posterior brings on. The lag is the diligence and closing cycle. The control vector partials out the common cycle and the cost of capital. Bivariate by design at the level of the lead-lag estimator, the reduced form is bivariate because the question in view is about the direction and magnitude of a single relationship, not about a full structural model of the cislunar segment. A full structural treatment of the segment is feasible in the system-dynamics tradition of</w:t>
      </w:r>
      <w:r>
        <w:t xml:space="preserve"> </w:t>
      </w:r>
      <w:hyperlink w:anchor="ref-2">
        <w:r>
          <w:rPr>
            <w:rStyle w:val="Hyperlink"/>
          </w:rPr>
          <w:t xml:space="preserve">[2]</w:t>
        </w:r>
      </w:hyperlink>
      <w:r>
        <w:t xml:space="preserve"> </w:t>
      </w:r>
      <w:r>
        <w:t xml:space="preserve">and</w:t>
      </w:r>
      <w:r>
        <w:t xml:space="preserve"> </w:t>
      </w:r>
      <w:hyperlink w:anchor="ref-25">
        <w:r>
          <w:rPr>
            <w:rStyle w:val="Hyperlink"/>
          </w:rPr>
          <w:t xml:space="preserve">[25]</w:t>
        </w:r>
      </w:hyperlink>
      <w:r>
        <w:t xml:space="preserve">, but the present design’s value lies exactly in not demanding a full structural model to settle one narrowly defined empirical question.</w:t>
      </w:r>
    </w:p>
    <w:p>
      <w:pPr>
        <w:pStyle w:val="BodyText"/>
        <w:spacing w:line="480" w:lineRule="auto"/>
        <w:ind w:firstLine="720"/>
      </w:pPr>
      <w:r>
        <w:t xml:space="preserve">Symmetric in form is the leading-capital alternative. Under it, the maintained reduced form trades the roles of G and K, so G(t) is generated by a process where K(t-1) and K(t-2) enter with positive weight. A different institutional cycle sets the lag: federal procurement cadence rather than venture diligence. Its modal lag is therefore expected to run longer, on the order of three to four quarters, though the cross-correlation should stay positive and material at non-trivial lags.</w:t>
      </w:r>
    </w:p>
    <w:p>
      <w:pPr>
        <w:pStyle w:val="BodyText"/>
        <w:spacing w:line="480" w:lineRule="auto"/>
        <w:ind w:firstLine="720"/>
      </w:pPr>
      <w:r>
        <w:t xml:space="preserve">The null is the joint statement that the lagged coefficients are indistinguishable from zero in both directions once the controls enter. It does not hold that no relationship exists between the two series. It holds only that whatever relationship exists is soaked up by the common cycle and the short-rate path, leaving no residual lunar-specific lead-lag signal to detect. This is what the strong syntheses [3, 5] boil down to once their narrative content is turned into a magnitude statement. The mechanism carries one further prediction, examined as a robustness rather than part of the headline test. If the signalling channel is the live one, the relationship should hold up against excluding the largest single award, the Human Landing System Option A, and against imposing structural breaks at the pandemic shock and at the announced cadence change in Commercial Lunar Payload Services task orders. Should the relationship collapse once the largest award drops out, the headline estimate is manufactured mechanically by a few large events rather than by the broader signalling channel the anchor-tenant frame needs.</w:t>
      </w:r>
    </w:p>
    <w:bookmarkEnd w:id="87"/>
    <w:bookmarkStart w:id="88" w:name="X7d7b910040e8d3ddf7f8811e2f22fedf4c2bf5e"/>
    <w:p>
      <w:pPr>
        <w:pStyle w:val="Heading2"/>
        <w:spacing w:line="480" w:lineRule="auto"/>
      </w:pPr>
      <w:r>
        <w:t xml:space="preserve">3.5 Connection to the Companion Papers and to the Firm-Level Evidence</w:t>
      </w:r>
    </w:p>
    <w:p>
      <w:pPr>
        <w:pStyle w:val="FirstParagraph"/>
        <w:spacing w:line="480" w:lineRule="auto"/>
      </w:pPr>
      <w:r>
        <w:t xml:space="preserve">This mechanism is the one the companion lagged-OLS paper examined at the aggregate quarterly level and the one the companion survival-analysis paper examined at the firm level. At the aggregate level, the first returns a positive, statistically distinguishable two-quarter lag coefficient with a multiplier above unity, fitting the anchor-tenant signalling reading. At the firm level, the second returns a positive but non-significant point estimate on log government contract value alongside a dominant positive effect of prior private capital, fitting a path-dependent fundraising process where capital follows capital and government signals matter at the margin. The two do not contradict. They sit at different levels of analysis. The aggregate paper asks whether the announced flow of lunar obligations leads the announced flow of private capital; the firm paper asks whether the size of a single government anchor signal quickens the next private raise for a given recipient firm, conditional on what that firm already raised. Any complete theoretical account has to hold both, and the framework above does so by making the signal channel live at the segment level while letting prior firm-level capital rule at the firm level through a path-dependence channel this dissertation does not model formally.</w:t>
      </w:r>
    </w:p>
    <w:p>
      <w:pPr>
        <w:pStyle w:val="BodyText"/>
        <w:spacing w:line="480" w:lineRule="auto"/>
        <w:ind w:firstLine="720"/>
      </w:pPr>
      <w:r>
        <w:t xml:space="preserve">In two further respects the framework absorbs the wider space-economy and cislunar governance literature. The strand casting cislunar space traffic management and the wider governance of cislunar activity as conditioning factors on the value of cislunar firms [4, 30] fits treating government obligations as the modal observable the private allocator uses to update beliefs about the institutional environment. And the strand documenting how commercial market signals shape the risk landscape of the wider space economy [27, 28] fits the symmetric leading-capital alternative, which is why the dissertation tests that alternative in symmetric form rather than treating the anchor-tenant frame as the only hypothesis worth a look.</w:t>
      </w:r>
    </w:p>
    <w:bookmarkEnd w:id="88"/>
    <w:bookmarkStart w:id="89" w:name="formal-hypotheses"/>
    <w:p>
      <w:pPr>
        <w:pStyle w:val="Heading2"/>
        <w:spacing w:line="480" w:lineRule="auto"/>
      </w:pPr>
      <w:r>
        <w:t xml:space="preserve">3.6 Formal Hypotheses</w:t>
      </w:r>
    </w:p>
    <w:p>
      <w:pPr>
        <w:pStyle w:val="FirstParagraph"/>
        <w:spacing w:line="480" w:lineRule="auto"/>
      </w:pPr>
      <w:r>
        <w:t xml:space="preserve">Two formally written hypotheses fall out of the framework, which the empirical work then arbitrates. They are stated for the obligations-to-capital direction, on the understanding that a symmetric pair in the capital-to-obligations direction runs in parallel and appears in Chapter 5 as the means of telling the leading-capital and bidirectional regimes from the leading-government and null regimes.</w:t>
      </w:r>
    </w:p>
    <w:p>
      <w:pPr>
        <w:pStyle w:val="BodyText"/>
        <w:spacing w:line="480" w:lineRule="auto"/>
        <w:ind w:firstLine="720"/>
      </w:pPr>
      <w:r>
        <w:t xml:space="preserve">H0: Announced United States government lunar obligations, measured quarterly over 2015 Q1 through 2025 Q4, do not Granger-cause private capital flows into cislunar-tagged firms at lags of one to four quarters, controlling for aggregate non-lunar space-sector capital flows and the FRED three-month Treasury bill rate. Equivalently, the joint Wald restriction that the lagged coefficients on log obligations in the reduced-form equation for log private capital are equal to zero is not rejected at conventional significance.</w:t>
      </w:r>
    </w:p>
    <w:p>
      <w:pPr>
        <w:pStyle w:val="BodyText"/>
        <w:spacing w:line="480" w:lineRule="auto"/>
        <w:ind w:firstLine="720"/>
      </w:pPr>
      <w:r>
        <w:t xml:space="preserve">H1: Announced United States government lunar obligations, measured as in H0, Granger-cause private capital flows into cislunar-tagged firms at one or more lags of one to four quarters, with a positive cumulative impulse response over an eight-quarter horizon. Equivalently, the joint Wald restriction is rejected at conventional significance, the sign of the cumulative impulse response is positive, and the modal lag at which the relationship manifests lies in the one-to-three-quarter window predicted by the diligence and closing cycle of cislunar venture transactions. These hypotheses are written so that the rejection region for H0 is the union of the leading-government regime and the bidirectional regime, while the symmetric capital-to-obligations test tells the two apart. Failure to reject H0, together with failure to reject the symmetric null, backs the null regime where neither series leads the other once controls enter. Rejection of H0, together with failure to reject the symmetric null, backs the leading-government regime the anchor-tenant frame predicts. Failure to reject H0, together with rejection of the symmetric null, backs the leading-capital regime the system-dynamics frame predicts [2, 25]. Rejection of H0, together with rejection of the symmetric null, backs the bidirectional regime where both series enter each other’s reduced forms with non-trivial weight.</w:t>
      </w:r>
    </w:p>
    <w:p>
      <w:pPr>
        <w:pStyle w:val="BodyText"/>
        <w:spacing w:line="480" w:lineRule="auto"/>
        <w:ind w:firstLine="720"/>
      </w:pPr>
      <w:r>
        <w:t xml:space="preserve">The dissertation’s contribution is to deliver a single estimate of which of these four regimes the 2015 to 2025 cislunar capital cycle backs most strongly, conditional on the controls and the sensitivities specified in Chapter 4. The chapter ahead specifies the estimators, the lag-selection procedure, the structural-break treatment, and the sensitivities that operationalise the hypotheses stated here.</w:t>
      </w:r>
    </w:p>
    <w:bookmarkEnd w:id="89"/>
    <w:bookmarkStart w:id="90" w:name="summary"/>
    <w:p>
      <w:pPr>
        <w:pStyle w:val="Heading2"/>
        <w:spacing w:line="480" w:lineRule="auto"/>
      </w:pPr>
      <w:r>
        <w:t xml:space="preserve">3.7 Summary</w:t>
      </w:r>
    </w:p>
    <w:p>
      <w:pPr>
        <w:pStyle w:val="FirstParagraph"/>
        <w:spacing w:line="480" w:lineRule="auto"/>
      </w:pPr>
      <w:r>
        <w:t xml:space="preserve">This chapter has built the theoretical framework carrying the empirical work. Two strands of cislunar and space-economy literature offer opposed predictions on which of government lunar obligations and private capital flows moves first. The anchor-tenant signalling frame [1, 4] predicts a positive lead from obligations to capital at a modal lag near two quarters; the system-dynamics frame [2, 25] predicts the reverse. A weaker proposition embedded in space-economy syntheses [3, 5] reads best as a null. Four primitive assumptions, informational, behavioural, institutional, and macroeconomic, compose into a stylised reduced form yielding a magnitude prediction for each frame. Stated symmetrically, the hypotheses H0 and H1 let the empirical work arbitrate among the four candidate regimes (leading government, leading capital, bidirectional, null) on joint Wald restrictions and the sign and magnitude of cumulative impulse responses. The empirical implementation of these hypotheses is the subject of Chapter 4.</w:t>
      </w:r>
    </w:p>
    <w:bookmarkEnd w:id="90"/>
    <w:bookmarkEnd w:id="91"/>
    <w:bookmarkStart w:id="100" w:name="chapter-4.-data-and-measurement"/>
    <w:p>
      <w:pPr>
        <w:pStyle w:val="Heading1"/>
        <w:spacing w:line="480" w:lineRule="auto"/>
      </w:pPr>
      <w:r>
        <w:t xml:space="preserve">Chapter 4. Data and Measurement</w:t>
      </w:r>
    </w:p>
    <w:bookmarkStart w:id="92" w:name="overview-and-purpose-of-the-chapter"/>
    <w:p>
      <w:pPr>
        <w:pStyle w:val="Heading2"/>
        <w:spacing w:line="480" w:lineRule="auto"/>
      </w:pPr>
      <w:r>
        <w:t xml:space="preserve">4.1 Overview and Purpose of the Chapter</w:t>
      </w:r>
    </w:p>
    <w:p>
      <w:pPr>
        <w:pStyle w:val="FirstParagraph"/>
        <w:spacing w:line="480" w:lineRule="auto"/>
      </w:pPr>
      <w:r>
        <w:t xml:space="preserve">Both analytical papers of the dissertation stand on the data described here, and this chapter lays that groundwork out in full. Whether announced United States government lunar demand runs ahead of or behind private capital flowing into cislunar-focused firms across the 2015 to 2025 window, which is the prospectus question, becomes a sharp question only when the underlying series are built with care. A single governing principle, set in the prospectus and honoured in both papers, therefore shapes what follows: no observation may enter an estimator unless it traces back to a public primary record, no step from that record to the analytic series may go unstated, and any cell that is illustrative or interpolated must wear a flag at the row level [1, 4, 6, 7]. Two exercises anchor the chapter. Paper 1 carries the first, a quarterly aggregate-flow analysis across 44 observations from 2015 quarter one through 2025 quarter four, where lunar-tagged private capital is the outcome and the lagged NASA lunar obligation is the predictor that matters. Paper 2 carries the second, a firm-level survival analysis covering 30 cislunar firms active between 2017 and 2025, where the duration of interest is the gap between a firm’s first documented government anchor signal and its next disclosed private capital event.</w:t>
      </w:r>
    </w:p>
    <w:p>
      <w:pPr>
        <w:pStyle w:val="BodyText"/>
        <w:spacing w:line="480" w:lineRule="auto"/>
        <w:ind w:firstLine="720"/>
      </w:pPr>
      <w:r>
        <w:t xml:space="preserve">Shared primary sources described in section 4.3 feed both, resolved at unlike units of analysis, and the layout below is meant to keep the resulting measurement choices in plain view.</w:t>
      </w:r>
    </w:p>
    <w:p>
      <w:pPr>
        <w:pStyle w:val="BodyText"/>
        <w:spacing w:line="480" w:lineRule="auto"/>
        <w:ind w:firstLine="720"/>
      </w:pPr>
      <w:r>
        <w:t xml:space="preserve">What comes next tracks the usual order of a data and measurement section in a quantitative dissertation. Units of analysis and sampling frames for each paper occupy Section 4.2. Authoritative public sources, together with the retrieval discipline applied to each, occupy Section 4.3. A variable-by-variable account of how the dependent and independent series are built occupies Section 4.4. Controls and why each belongs occupy Section 4.5. Coding rules, transformations, and the handling of right-censoring in the survival design occupy Section 4.6. And the threats to measurement validity, with the sensitivities held back for the empirical chapters, occupy Section 4.7.</w:t>
      </w:r>
    </w:p>
    <w:bookmarkEnd w:id="92"/>
    <w:bookmarkStart w:id="93" w:name="units-of-analysis-and-sampling-frames"/>
    <w:p>
      <w:pPr>
        <w:pStyle w:val="Heading2"/>
        <w:spacing w:line="480" w:lineRule="auto"/>
      </w:pPr>
      <w:r>
        <w:t xml:space="preserve">4.2 Units of Analysis and Sampling Frames</w:t>
      </w:r>
    </w:p>
    <w:p>
      <w:pPr>
        <w:pStyle w:val="FirstParagraph"/>
        <w:spacing w:line="480" w:lineRule="auto"/>
      </w:pPr>
      <w:r>
        <w:t xml:space="preserve">Two units of analysis were built into the design deliberately. The aggregate-flow paper works at the calendar quarter; the survival paper works at the firm placed at risk. Neither substitutes for the other, and the lead-lag inference literature says outright that program-level and firm-level signals can point in opposite directions across one and the same window. Running both is a choice, then, and not duplication</w:t>
      </w:r>
      <w:r>
        <w:t xml:space="preserve"> </w:t>
      </w:r>
      <w:hyperlink w:anchor="ref-10">
        <w:r>
          <w:rPr>
            <w:rStyle w:val="Hyperlink"/>
          </w:rPr>
          <w:t xml:space="preserve">[10]</w:t>
        </w:r>
      </w:hyperlink>
      <w:r>
        <w:t xml:space="preserve">. Paper 1 draws its sampling frame from every fiscal quarter between 2015 quarter one and 2025 quarter four, which after the differencing steps of section 4.6 comes to 44 observations. Missingness costs no quarter its place in the panel. Where a figure was never published at quarterly resolution, namely across four 2025 quarters and a handful of within-quarter splits in older BryceTech vintages, the affected cell wears an illustrative mark. Fewer than fifteen percent of cell-level provenance entries across the 44-quarter panel carry that mark, and the share is stated openly so a reader can find every interpolated cell in the replication archive.</w:t>
      </w:r>
    </w:p>
    <w:p>
      <w:pPr>
        <w:pStyle w:val="BodyText"/>
        <w:spacing w:line="480" w:lineRule="auto"/>
        <w:ind w:firstLine="720"/>
      </w:pPr>
      <w:r>
        <w:t xml:space="preserve">Paper 2 draws its frame from firms that carry both a documented lunar-relevant NASA anchor signal between 2017 and 2025 and an observable private-capital outcome through 2026. Exactly thirty firms clear both bars. Left out are pure subcontractors that never won a primary award, along with academic recipients of lunar-relevant funding whose corporate form rules out a discrete equity raise. Three of the thirty, Lockheed Martin Space, Bradford Space, and Skycorp, sit in the risk set as right-censored: a parent or non-profit structure rules out a discrete equity raise inside the censoring window, and keeping them holds the proportional-hazards interpretation intact by carrying their contribution to the partial likelihood up to the censoring date. Why the survival window opens at the 2017 floor rather than the 2015 floor that Paper 1 uses comes down to a practical limit. Firm-level resolution rich enough to code survival first appears in the 2017 vintage of the BryceTech lunar-tagged roster</w:t>
      </w:r>
      <w:r>
        <w:t xml:space="preserve"> </w:t>
      </w:r>
      <w:hyperlink w:anchor="ref-7">
        <w:r>
          <w:rPr>
            <w:rStyle w:val="Hyperlink"/>
          </w:rPr>
          <w:t xml:space="preserve">[7]</w:t>
        </w:r>
      </w:hyperlink>
      <w:r>
        <w:t xml:space="preserve">. Noting the two-year offset here keeps the cross-paper comparisons of Chapter 6 from reading too much into the apparent gap.</w:t>
      </w:r>
    </w:p>
    <w:bookmarkEnd w:id="93"/>
    <w:bookmarkStart w:id="94" w:name="authoritative-public-sources"/>
    <w:p>
      <w:pPr>
        <w:pStyle w:val="Heading2"/>
        <w:spacing w:line="480" w:lineRule="auto"/>
      </w:pPr>
      <w:r>
        <w:t xml:space="preserve">4.3 Authoritative Public Sources</w:t>
      </w:r>
    </w:p>
    <w:p>
      <w:pPr>
        <w:pStyle w:val="FirstParagraph"/>
        <w:spacing w:line="480" w:lineRule="auto"/>
      </w:pPr>
      <w:r>
        <w:t xml:space="preserve">Four classes of public source underpin the dissertation, and each is set out below with its retrieval discipline and its place in the analytic pipeline.</w:t>
      </w:r>
    </w:p>
    <w:p>
      <w:pPr>
        <w:pStyle w:val="BodyText"/>
        <w:spacing w:line="480" w:lineRule="auto"/>
        <w:ind w:firstLine="720"/>
      </w:pPr>
      <w:r>
        <w:t xml:space="preserve">NASA budgetary documents come first. Program-level obligations on the lunar lines that matter, namely Commercial Lunar Payload Services, the Human Landing System, the Gateway, and Lunar Terrain Vehicle Services, are recorded canonically in the Congressional Justifications for fiscal years 2015 through 2026</w:t>
      </w:r>
      <w:r>
        <w:t xml:space="preserve"> </w:t>
      </w:r>
      <w:hyperlink w:anchor="ref-9">
        <w:r>
          <w:rPr>
            <w:rStyle w:val="Hyperlink"/>
          </w:rPr>
          <w:t xml:space="preserve">[9]</w:t>
        </w:r>
      </w:hyperlink>
      <w:r>
        <w:t xml:space="preserve">. Every such justification is pulled as a versioned PDF at release and lodged in the replication archive with a retrieval date and a document hash. Because those documents report budget authority and outlays only at fiscal-year granularity, reaching the quarterly resolution Paper 1 needs relies on the within-year obligation pattern from each line’s apportionment schedule, with any residual squared against the year-end actuals. Government Accountability Office assessments of NASA major projects come second, in particular reports GAO-23-106021, GAO-24-106767, and GAO-25-107591 [5, 6]. They offer an independent external check on the program-level obligation series and its milestone schedule, and they supply most of the anchor-signal coding used in Paper 2. Each functions as a primary record for identifying firm-level anchors, above all the named contractors on Human Landing System Option A and Option B, the roster of Commercial Lunar Payload Services task-order awardees, and any Tipping Point selection landing inside the survival window.</w:t>
      </w:r>
    </w:p>
    <w:p>
      <w:pPr>
        <w:pStyle w:val="BodyText"/>
        <w:spacing w:line="480" w:lineRule="auto"/>
        <w:ind w:firstLine="720"/>
      </w:pPr>
      <w:r>
        <w:t xml:space="preserve">The BryceTech Start-Up Space annual report series comes third, running from 2016 through 2025 and used here under the lunar-tagged subset convention</w:t>
      </w:r>
      <w:r>
        <w:t xml:space="preserve"> </w:t>
      </w:r>
      <w:hyperlink w:anchor="ref-7">
        <w:r>
          <w:rPr>
            <w:rStyle w:val="Hyperlink"/>
          </w:rPr>
          <w:t xml:space="preserve">[7]</w:t>
        </w:r>
      </w:hyperlink>
      <w:r>
        <w:t xml:space="preserve">. It logs firm-level investment events across the commercial space sector and marks lunar-focused firms within the wider investment dataset. This is the very dataset the World Economic Forum and McKinsey syntheses lean on in the prospectus and in both papers [3, 5]. When a firm’s tag proves ambiguous from one vintage to the next, disambiguation runs against Securities and Exchange Commission Form D filings and Crunchbase public records, and the resolution rule goes into the replication archive.</w:t>
      </w:r>
    </w:p>
    <w:p>
      <w:pPr>
        <w:pStyle w:val="BodyText"/>
        <w:spacing w:line="480" w:lineRule="auto"/>
        <w:ind w:firstLine="720"/>
      </w:pPr>
      <w:r>
        <w:t xml:space="preserve">Broken out to quarterly resolution by reported event date, this lunar-tagged subset becomes the outcome series in Paper 1 and the private-capital outcome in Paper 2.</w:t>
      </w:r>
    </w:p>
    <w:p>
      <w:pPr>
        <w:pStyle w:val="BodyText"/>
        <w:spacing w:line="480" w:lineRule="auto"/>
        <w:ind w:firstLine="720"/>
      </w:pPr>
      <w:r>
        <w:t xml:space="preserve">Macro-financial reference series from the Federal Reserve Bank of St. Louis come fourth. Series TB3MS, the Three-Month Treasury Bill Secondary Market Rate, is pulled at quarterly average frequency across the 2015 to 2025 window</w:t>
      </w:r>
      <w:r>
        <w:t xml:space="preserve"> </w:t>
      </w:r>
      <w:hyperlink w:anchor="ref-8">
        <w:r>
          <w:rPr>
            <w:rStyle w:val="Hyperlink"/>
          </w:rPr>
          <w:t xml:space="preserve">[8]</w:t>
        </w:r>
      </w:hyperlink>
      <w:r>
        <w:t xml:space="preserve">. Paper 1 uses it as the short-rate control, and Chapter 5 reads it as an absorber of cyclical movement rather than as a structural cost-of-capital parameter, exactly as Paper 1 states.</w:t>
      </w:r>
    </w:p>
    <w:p>
      <w:pPr>
        <w:pStyle w:val="BodyText"/>
        <w:spacing w:line="480" w:lineRule="auto"/>
        <w:ind w:firstLine="720"/>
      </w:pPr>
      <w:r>
        <w:t xml:space="preserve">A residual reference layer arrives from the Acta Astronautica work on the cislunar resource industry and from the wider space-economy corpus. None of it feeds an estimator. Chapter 2 uses it to motivate the lead-lag hypotheses, and it returns in Chapters 5 and 6 to frame how the estimated coefficients are discussed [2, 11, 24, 25, 26].</w:t>
      </w:r>
    </w:p>
    <w:bookmarkEnd w:id="94"/>
    <w:bookmarkStart w:id="95" w:name="construction-of-the-principal-series"/>
    <w:p>
      <w:pPr>
        <w:pStyle w:val="Heading2"/>
        <w:spacing w:line="480" w:lineRule="auto"/>
      </w:pPr>
      <w:r>
        <w:t xml:space="preserve">4.4 Construction of the Principal Series</w:t>
      </w:r>
    </w:p>
    <w:p>
      <w:pPr>
        <w:pStyle w:val="FirstParagraph"/>
        <w:spacing w:line="480" w:lineRule="auto"/>
      </w:pPr>
      <w:r>
        <w:t xml:space="preserve">Paper 1’s outcome series is quarterly private capital flowing into cislunar-tagged firms, denominated in millions of United States dollars, and it is assembled in three moves. To begin, the lunar-tagged subset of the BryceTech Start-Up Space dataset is pulled for every vintage from 2016 through 2025. Next, each firm-level event inside that subset is placed in a calendar quarter by its reported event date; when only a year is reported, the event goes to the quarter that agrees with the firm’s announcement record after a cross-check against the Form D filing date.</w:t>
      </w:r>
    </w:p>
    <w:p>
      <w:pPr>
        <w:pStyle w:val="BodyText"/>
        <w:spacing w:line="480" w:lineRule="auto"/>
        <w:ind w:firstLine="720"/>
      </w:pPr>
      <w:r>
        <w:t xml:space="preserve">Finally, the per-quarter event values are added to yield the quarterly aggregate. Provenance travels with the result at the row level: every quarter logs how many events contributed, which BryceTech vintage supplied them, and whether any event that quarter needed the disambiguation rule named above.</w:t>
      </w:r>
    </w:p>
    <w:p>
      <w:pPr>
        <w:pStyle w:val="BodyText"/>
        <w:spacing w:line="480" w:lineRule="auto"/>
        <w:ind w:firstLine="720"/>
      </w:pPr>
      <w:r>
        <w:t xml:space="preserve">Paper 1’s key predictor is NASA lunar program obligations lagged one and two quarters, likewise in millions of United States dollars. It grows out of the Congressional Justifications for fiscal years 2015 through 2026 and holds to the program-line definitions those justifications use: Commercial Lunar Payload Services, the Human Landing System, the Gateway, and Lunar Terrain Vehicle Services</w:t>
      </w:r>
      <w:r>
        <w:t xml:space="preserve"> </w:t>
      </w:r>
      <w:hyperlink w:anchor="ref-9">
        <w:r>
          <w:rPr>
            <w:rStyle w:val="Hyperlink"/>
          </w:rPr>
          <w:t xml:space="preserve">[9]</w:t>
        </w:r>
      </w:hyperlink>
      <w:r>
        <w:t xml:space="preserve">. Fiscal-year totals from the justifications are split into fiscal quarters via each line’s apportionment schedule, then shifted from fiscal to calendar quarters so the series lines up with BryceTech. To validate that split, GAO assessments are checked against the documented milestone cadence on Human Landing System Option A, Option B, and the Commercial Lunar Payload Services task orders [5, 6]. Paper 2’s outcome is different in kind: the months elapsed between a firm’s first documented government anchor signal and its next disclosed private capital event, coded one firm at a time. A firm’s anchor signal is whichever of four categories occurs earliest, namely a Commercial Lunar Payload Services task order, a Human Landing System award, a Tipping Point selection, or a named lunar-relevant partnership logged in NASA Acquisition Office postings and confirmed against the GAO assessments [6, 15]. Its private-capital outcome is the first disclosed equity event after the anchor date, sourced from Crunchbase, PitchBook, and Securities and Exchange Commission filings (S-1, S-4, 10-K). Any firm with no disclosed equity event inside thirty-six months of the anchor is right-censored at the thirty-six-month boundary.</w:t>
      </w:r>
    </w:p>
    <w:p>
      <w:pPr>
        <w:pStyle w:val="BodyText"/>
        <w:spacing w:line="480" w:lineRule="auto"/>
        <w:ind w:firstLine="720"/>
      </w:pPr>
      <w:r>
        <w:t xml:space="preserve">Four firm-level covariates populate Paper 2. Log government contract value takes the natural logarithm of one plus the disclosed dollar value of the anchor signal in millions of United States dollars, scaled so that one unit answers to a 2.7-fold rise in disclosed award value. Log prior private capital takes the natural logarithm of one plus the firm’s cumulative private capital raised before the anchor date, in millions of dollars, sourced from BryceTech and the firm-level disclosures noted above. Founder government experience is a binary flag set to one whenever at least one founder or named senior executive at the anchor date has documented prior service at NASA, the Department of Defense, or a federal acquisition role, checked against executive biographies and publicly disclosed organisational histories. Log team size takes the natural logarithm of one plus the firm’s disclosed headcount at the anchor date, read from public filings or, absent those, from the headcount in the nearest BryceTech vintage.</w:t>
      </w:r>
    </w:p>
    <w:bookmarkEnd w:id="95"/>
    <w:bookmarkStart w:id="96" w:name="controls"/>
    <w:p>
      <w:pPr>
        <w:pStyle w:val="Heading2"/>
        <w:spacing w:line="480" w:lineRule="auto"/>
      </w:pPr>
      <w:r>
        <w:t xml:space="preserve">4.5 Controls</w:t>
      </w:r>
    </w:p>
    <w:p>
      <w:pPr>
        <w:pStyle w:val="FirstParagraph"/>
        <w:spacing w:line="480" w:lineRule="auto"/>
      </w:pPr>
      <w:r>
        <w:t xml:space="preserve">The aggregate-flow paper admits two controls. One is contemporaneous non-lunar commercial space capital, formed by subtracting the lunar-tagged subset from the BryceTech aggregate Start-Up Space total each quarter</w:t>
      </w:r>
      <w:r>
        <w:t xml:space="preserve"> </w:t>
      </w:r>
      <w:hyperlink w:anchor="ref-7">
        <w:r>
          <w:rPr>
            <w:rStyle w:val="Hyperlink"/>
          </w:rPr>
          <w:t xml:space="preserve">[7]</w:t>
        </w:r>
      </w:hyperlink>
      <w:r>
        <w:t xml:space="preserve">. It picks up the wider cyclical rhythm of commercial space investment and soaks up whatever co-movement in the outcome reflects sector-wide allocation swings rather than a lunar-specific reaction to government obligations. The other is the FRED three-month Treasury bill rate, series TB3MS, at quarterly average frequency</w:t>
      </w:r>
      <w:r>
        <w:t xml:space="preserve"> </w:t>
      </w:r>
      <w:hyperlink w:anchor="ref-8">
        <w:r>
          <w:rPr>
            <w:rStyle w:val="Hyperlink"/>
          </w:rPr>
          <w:t xml:space="preserve">[8]</w:t>
        </w:r>
      </w:hyperlink>
      <w:r>
        <w:t xml:space="preserve">, which enters contemporaneously. Paper 1 treats its coefficient as an absorber of the 2020 to 2024 rate path set against the parallel climb in lunar program obligations, not as a structural cost-of-capital parameter. No macro-financial control enters the Paper 2 partial likelihood. There the hazard model leans on the firm-level covariates above and on the implicit stratification the proportional-hazards form supplies, letting the baseline hazard soak up common time-varying shocks inside the 2017 to 2025 window. A stratified-baseline extension by mission class, that is lander, rover, communications, or in-situ resource utilisation, waits for the Chapter 6 sensitivity analyses, as Paper 2 flags and as section 4.7 restates among the validity threats.</w:t>
      </w:r>
    </w:p>
    <w:bookmarkEnd w:id="96"/>
    <w:bookmarkStart w:id="97" w:name="Xbd906d310bedc4812b4eec715fe34f1a60d68b4"/>
    <w:p>
      <w:pPr>
        <w:pStyle w:val="Heading2"/>
        <w:spacing w:line="480" w:lineRule="auto"/>
      </w:pPr>
      <w:r>
        <w:t xml:space="preserve">4.6 Coding Rules, Transformations, and Censoring</w:t>
      </w:r>
    </w:p>
    <w:p>
      <w:pPr>
        <w:pStyle w:val="FirstParagraph"/>
        <w:spacing w:line="480" w:lineRule="auto"/>
      </w:pPr>
      <w:r>
        <w:t xml:space="preserve">Three transformation rules hold across the board. To start, every dollar series is stated in millions of United States dollars and left undeflated, on two grounds: the 2015 to 2025 window holds no price-level shift big enough to swamp the lag structure under study, and Paper 1’s outcome is itself a nominal disclosure taken from the BryceTech vintages. Stating the nominal-dollar choice here forestalls any inference that a deflation step went missing. Next, right-skewed continuous covariates, specifically disclosed government award value and cumulative prior private capital, enter the survival specification as the log of one plus the value in millions of dollars; that log-of-one-plus form keeps zero-valued covariate observations contributing to the partial likelihood and steadies the numerics against one outlier, namely the 2,890-million-dollar Human Landing System Option A award to SpaceX. Finally, the binary indicators in the survival specification, namely the founder government experience flag, register one only where the documenting record is clear and zero otherwise; any ambiguous biography is coded zero and marked for review in the replication archive.</w:t>
      </w:r>
    </w:p>
    <w:p>
      <w:pPr>
        <w:pStyle w:val="BodyText"/>
        <w:spacing w:line="480" w:lineRule="auto"/>
        <w:ind w:firstLine="720"/>
      </w:pPr>
      <w:r>
        <w:t xml:space="preserve">Right-censoring in Paper 2 falls at thirty-six months from the anchor date. That rule is administrative, not informative: the thirty-six-month boundary marks the edge of the data window, not anything about a firm’s economic condition. The three structurally censored cases from section 4.2 are right-censored at the anchor date plus thirty-six months, which keeps their partial-likelihood contribution intact up to that boundary. Paper 1 runs on quarterly differences of the log obligation and log capital series in the variants shown in the empirical chapter, and on level series in the headline specification of Paper 1 itself. Chapter 5 shows both variants together so the lag estimates read against level and difference alike. Lag length in the headline Paper 1 specification is one and two quarters, a choice tied to the documented diligence and closing cycle of the commercial venture transactions in the BryceTech series and to the covariate logic set out in section 4.4. Longer-lag sensitivities the prospectus foresaw, namely Bayesian information criterion lag selection and a four-quarter robustness window, wait for the dissertation chapter that consolidates the two papers.</w:t>
      </w:r>
    </w:p>
    <w:bookmarkEnd w:id="97"/>
    <w:bookmarkStart w:id="98" w:name="threats-to-measurement-validity"/>
    <w:p>
      <w:pPr>
        <w:pStyle w:val="Heading2"/>
        <w:spacing w:line="480" w:lineRule="auto"/>
      </w:pPr>
      <w:r>
        <w:t xml:space="preserve">4.7 Threats to Measurement Validity</w:t>
      </w:r>
    </w:p>
    <w:p>
      <w:pPr>
        <w:pStyle w:val="FirstParagraph"/>
        <w:spacing w:line="480" w:lineRule="auto"/>
      </w:pPr>
      <w:r>
        <w:t xml:space="preserve">Four threats are met at the measurement stage instead of being deferred to inference. One is definitional drift in the lunar tag across BryceTech vintages. Its sectoral taxonomy has been refined across the 2016 through 2025 vintages, so a firm tagged lunar in one may carry a different sectoral tag in another. To handle the drift, a consistent firm list is rebuilt ex post and the headline Paper 1 specification is re-run on that fixed roster as a Chapter 5 sensitivity. Documenting the frozen-roster sensitivity here lets a reader audit the reconstruction rule ahead of the result. Another is telling announcement effects apart from obligation effects. A private investor sees a federal lunar obligation either when the program announcement publishes or when the obligation posts to the budgetary documents, and those two moments need not share a quarter. Paper 1 handles the split by reporting the headline specification on the quarter-of-obligation series and holding a quarter-of-announcement re-estimation for Chapter 5, with both series built when the Paper 1 dataset freezes so the re-estimation calls for no fresh collection.</w:t>
      </w:r>
    </w:p>
    <w:p>
      <w:pPr>
        <w:pStyle w:val="BodyText"/>
        <w:spacing w:line="480" w:lineRule="auto"/>
        <w:ind w:firstLine="720"/>
      </w:pPr>
      <w:r>
        <w:t xml:space="preserve">A third is the outsized weight of a few large awards. Human Landing System awards especially can manufacture lead-lag co-movement at the program level, since they top both the obligation series and, through the contractor’s later fundraising, the lunar-tagged capital series. To meet this, Paper 1 is re-estimated with the Human Landing System award sequence dropped, reported as a Chapter 5 sensitivity in keeping with the prospectus commitment.</w:t>
      </w:r>
    </w:p>
    <w:p>
      <w:pPr>
        <w:pStyle w:val="BodyText"/>
        <w:spacing w:line="480" w:lineRule="auto"/>
        <w:ind w:firstLine="720"/>
      </w:pPr>
      <w:r>
        <w:t xml:space="preserve">The fourth is the small-sample limit in Paper 2. At 30 firms and 22 events, the proportional-hazards specification struggles to separate covariates whose signals overlap. The Chapter 6 sensitivity analyses answer this with a stratified-baseline extension by mission class and a time-varying covariate extension on the prior-capital series, both built to squeeze more from the existing risk set without stretching the sampling frame past the publicly observable lunar firms. One residual measurement point concerns how the broader cislunar architecture literature and the space-economy syntheses that motivate the lead-lag hypothesis are treated [1, 2, 3, 4, 11, 25]. None of it feeds an estimator, so in the strict sense none of it creates a measurement risk. Its job is to frame the hypothesis and to justify the chosen lag structure and the covariate set whose controls section 4.5 lays out. This chapter marks the line between framing literature and analytic dataset plainly, so no reader infers a channel by which the literature could have moved the coefficients.</w:t>
      </w:r>
    </w:p>
    <w:bookmarkEnd w:id="98"/>
    <w:bookmarkStart w:id="99" w:name="provenance-and-replication-archive"/>
    <w:p>
      <w:pPr>
        <w:pStyle w:val="Heading2"/>
        <w:spacing w:line="480" w:lineRule="auto"/>
      </w:pPr>
      <w:r>
        <w:t xml:space="preserve">4.8 Provenance and Replication Archive</w:t>
      </w:r>
    </w:p>
    <w:p>
      <w:pPr>
        <w:pStyle w:val="FirstParagraph"/>
        <w:spacing w:line="480" w:lineRule="auto"/>
      </w:pPr>
      <w:r>
        <w:t xml:space="preserve">At a single retrieval date, ahead of estimating either paper, the replication archive freezes the four source classes of section 4.3. Congressional Justifications, GAO assessments, BryceTech vintages, and the FRED series all sit there as versioned files bearing retrieval dates and document hashes. Paper 1’s dataset ships as one comma-separated file carrying row-level source citation and the illustrative flag described in section 4.2, its four contributing source classes being those set out in section 4.3, described earlier. Paper 2’s ships as one comma-separated file carrying row-level source citation, the censoring flag of section 4.6, and the covariates that section 4.4, above, log-transforms. That archive is how the prospectus promise gets operational teeth: the contribution is falsifiable because the series are public and the rejection region is fixed in advance. One methodological caution ends the chapter. Nowhere does the dissertation claim that publicly observable lunar firms exhaust the relevant cislunar population, nor that the lunar-tagged BryceTech subset equals the true universe of lunar capital deployments. Its claim is narrower: the constructed series can be reproduced from the cited primary records, the moves from record to series are stated, and the resulting dataset carries the lead-lag estimation of the chapters ahead. Measurement done this carefully is what makes the inferential claims in Chapter 5 and Chapter 6 possible, and it stands on its own as an analytic contribution to a literature where the cislunar capital cycle has more often been asserted than measured [1, 2, 3, 4, 25, 27].</w:t>
      </w:r>
    </w:p>
    <w:bookmarkEnd w:id="99"/>
    <w:bookmarkEnd w:id="100"/>
    <w:bookmarkStart w:id="110" w:name="chapter-5.-methods-and-identification"/>
    <w:p>
      <w:pPr>
        <w:pStyle w:val="Heading1"/>
        <w:spacing w:line="480" w:lineRule="auto"/>
      </w:pPr>
      <w:r>
        <w:t xml:space="preserve">Chapter 5. Methods and Identification</w:t>
      </w:r>
    </w:p>
    <w:bookmarkStart w:id="101" w:name="overview-of-the-estimation-strategy"/>
    <w:p>
      <w:pPr>
        <w:pStyle w:val="Heading2"/>
        <w:spacing w:line="480" w:lineRule="auto"/>
      </w:pPr>
      <w:r>
        <w:t xml:space="preserve">5.1 Overview of the Estimation Strategy</w:t>
      </w:r>
    </w:p>
    <w:p>
      <w:pPr>
        <w:pStyle w:val="FirstParagraph"/>
        <w:spacing w:line="480" w:lineRule="auto"/>
      </w:pPr>
      <w:r>
        <w:t xml:space="preserve">Here the dissertation sets out the empirical machinery that converts its lead-lag question into a falsifiable number. What is at stake is whether quarterly United States government lunar program obligations Granger-cause private capital flowing into cislunar-focused firms across the 2015 Q1 through 2025 Q4 window, or whether causation runs the other way, once the broader space-investment cycle and short-term macro-financial conditions are held fixed. Three layers make up the strategy. Each confronts an identification risk the others leave open, and each yields a standalone result, so a reader can tell where the inference holds firm and where it hinges on a modeling choice.</w:t>
      </w:r>
    </w:p>
    <w:p>
      <w:pPr>
        <w:pStyle w:val="BodyText"/>
        <w:spacing w:line="480" w:lineRule="auto"/>
        <w:ind w:firstLine="720"/>
      </w:pPr>
      <w:r>
        <w:t xml:space="preserve">Layer one is a single-equation lagged ordinary least squares regression, inherited from the companion paper p1, kept as the accessible headline specification and as the yardstick against which the multi-equation estimators are measured</w:t>
      </w:r>
      <w:r>
        <w:t xml:space="preserve"> </w:t>
      </w:r>
      <w:hyperlink w:anchor="ref-10">
        <w:r>
          <w:rPr>
            <w:rStyle w:val="Hyperlink"/>
          </w:rPr>
          <w:t xml:space="preserve">[10]</w:t>
        </w:r>
      </w:hyperlink>
      <w:r>
        <w:t xml:space="preserve">. Layer two, the primary estimator, is a bivariate vector autoregression in quarterly first differences of log obligations and log private capital, with exogenous controls for the non-lunar space-investment series and the three-month Treasury bill rate, and with Granger causality tests and bootstrap impulse response functions bolted on. Layer three is the Jorda local projections estimator, deployed to stress-test the vector autoregression, because local projections deliver consistent impulse responses even when the vector autoregression’s lag specification is wrong. From there the chapter lays out the firm-level Cox proportional-hazards estimator that rounds out the aggregate work, borrowing the companion paper p2 design</w:t>
      </w:r>
      <w:r>
        <w:t xml:space="preserve"> </w:t>
      </w:r>
      <w:hyperlink w:anchor="ref-10">
        <w:r>
          <w:rPr>
            <w:rStyle w:val="Hyperlink"/>
          </w:rPr>
          <w:t xml:space="preserve">[10]</w:t>
        </w:r>
      </w:hyperlink>
      <w:r>
        <w:t xml:space="preserve">, and closes with a structural-break and exclusion-sensitivity protocol the headline lead-lag estimate has to clear before it counts as a positive result. Validity threats are catalogued at the chapter’s end, each with a stated bound.</w:t>
      </w:r>
    </w:p>
    <w:p>
      <w:pPr>
        <w:pStyle w:val="BodyText"/>
        <w:spacing w:line="480" w:lineRule="auto"/>
        <w:ind w:firstLine="720"/>
      </w:pPr>
      <w:r>
        <w:t xml:space="preserve">These four layers, single-equation, vector autoregression, local projections, and Cox, do not repeat one another. Under different assumptions they pin down different objects. Single-equation gives the conditional mean of private capital given lagged government obligations, on the premise that those lags are strictly exogenous. Vector autoregression gives a joint dynamic system where both series are endogenous and the cross-lag coefficients can face a Granger non-causality test in either direction. Local projections gives horizon-by-horizon impulse responses that shrug off lag-length misspecification.</w:t>
      </w:r>
    </w:p>
    <w:p>
      <w:pPr>
        <w:pStyle w:val="BodyText"/>
        <w:spacing w:line="480" w:lineRule="auto"/>
        <w:ind w:firstLine="720"/>
      </w:pPr>
      <w:r>
        <w:t xml:space="preserve">Cox gives a firm-level hazard ratio that pools over the same anchor signals feeding the program-level obligations series. Any finding that clears all four is far stronger than one leaning on a single layer.</w:t>
      </w:r>
    </w:p>
    <w:bookmarkEnd w:id="101"/>
    <w:bookmarkStart w:id="102" w:name="X821b2783ee70189351eed01585adba2d82a7105"/>
    <w:p>
      <w:pPr>
        <w:pStyle w:val="Heading2"/>
        <w:spacing w:line="480" w:lineRule="auto"/>
      </w:pPr>
      <w:r>
        <w:t xml:space="preserve">5.2 Variable Construction and Transformations</w:t>
      </w:r>
    </w:p>
    <w:p>
      <w:pPr>
        <w:pStyle w:val="FirstParagraph"/>
        <w:spacing w:line="480" w:lineRule="auto"/>
      </w:pPr>
      <w:r>
        <w:t xml:space="preserve">In the aggregate estimators the outcome is the quarterly total of private capital raised by cislunar-tagged firms, in millions of nominal United States dollars, drawn from the BryceTech Start-Up Space series and split to quarters by reported event date</w:t>
      </w:r>
      <w:r>
        <w:t xml:space="preserve"> </w:t>
      </w:r>
      <w:hyperlink w:anchor="ref-7">
        <w:r>
          <w:rPr>
            <w:rStyle w:val="Hyperlink"/>
          </w:rPr>
          <w:t xml:space="preserve">[7]</w:t>
        </w:r>
      </w:hyperlink>
      <w:r>
        <w:t xml:space="preserve">. Its principal predictor is quarterly NASA lunar program obligations in matching units, pulled from USAspending.gov bulk award downloads filtered to NASA as awarding agency and to the program activity codes tied to Artemis, the Human Landing System, Gateway, the Commercial Lunar Payload Services program, and Lunar Terrain Vehicle Services, resolved to task-order granularity via FPDS-NG and cross-validated against the NASA Congressional Justifications and the Government Accountability Office assessments of major projects [9, 6, 15].</w:t>
      </w:r>
    </w:p>
    <w:p>
      <w:pPr>
        <w:pStyle w:val="BodyText"/>
        <w:spacing w:line="480" w:lineRule="auto"/>
        <w:ind w:firstLine="720"/>
      </w:pPr>
      <w:r>
        <w:t xml:space="preserve">The non-lunar space-investment control is the BryceTech aggregate stripped of the lunar-tagged subset, taken as the residual once lunar firms drop out so the control cannot mechanically overlap the outcome</w:t>
      </w:r>
      <w:r>
        <w:t xml:space="preserve"> </w:t>
      </w:r>
      <w:hyperlink w:anchor="ref-7">
        <w:r>
          <w:rPr>
            <w:rStyle w:val="Hyperlink"/>
          </w:rPr>
          <w:t xml:space="preserve">[7]</w:t>
        </w:r>
      </w:hyperlink>
      <w:r>
        <w:t xml:space="preserve">. The macro-financial control is the FRED three-month Treasury bill rate, series TB3MS, at quarterly average</w:t>
      </w:r>
      <w:r>
        <w:t xml:space="preserve"> </w:t>
      </w:r>
      <w:hyperlink w:anchor="ref-8">
        <w:r>
          <w:rPr>
            <w:rStyle w:val="Hyperlink"/>
          </w:rPr>
          <w:t xml:space="preserve">[8]</w:t>
        </w:r>
      </w:hyperlink>
      <w:r>
        <w:t xml:space="preserve">.</w:t>
      </w:r>
    </w:p>
    <w:p>
      <w:pPr>
        <w:pStyle w:val="BodyText"/>
        <w:spacing w:line="480" w:lineRule="auto"/>
        <w:ind w:firstLine="720"/>
      </w:pPr>
      <w:r>
        <w:t xml:space="preserve">Every flow variable enters the vector autoregression and the local projections estimator in log first differences, written as the first difference of the natural log of one plus the level in millions of dollars, a form that keeps quarters with a zero or near-zero reading in the sample rather than dropping them. To stay comparable with the companion paper p1, whose headline two-quarter lag coefficient was quoted in dollar-on-dollar units, the single-equation lagged ordinary least squares specification stays in levels</w:t>
      </w:r>
      <w:r>
        <w:t xml:space="preserve"> </w:t>
      </w:r>
      <w:hyperlink w:anchor="ref-10">
        <w:r>
          <w:rPr>
            <w:rStyle w:val="Hyperlink"/>
          </w:rPr>
          <w:t xml:space="preserve">[10]</w:t>
        </w:r>
      </w:hyperlink>
      <w:r>
        <w:t xml:space="preserve">. The interest-rate series stays in levels too, since differencing a stationary policy rate across a short window degrades its information content relative to the levels series investors actually watch in real time. Ahead of any estimation, each series faces a stationarity check. Augmented Dickey-Fuller and Phillips-Perron tests are reported with their five-percent critical values. When a series cannot reject the unit-root null in levels, its first difference is taken and the test is repeated. The lagged ordinary least squares specification stays in levels whatever the test returns, with the caveat that any inference from it rides on the assumptions of the original companion-paper design rather than on the unit-root behavior of the series.</w:t>
      </w:r>
    </w:p>
    <w:bookmarkEnd w:id="102"/>
    <w:bookmarkStart w:id="103" w:name="X7ea7fd642628f8d6d6ffc45ce3b658124bff4b4"/>
    <w:p>
      <w:pPr>
        <w:pStyle w:val="Heading2"/>
        <w:spacing w:line="480" w:lineRule="auto"/>
      </w:pPr>
      <w:r>
        <w:t xml:space="preserve">5.3 The Single-Equation Lagged Ordinary Least Squares Benchmark</w:t>
      </w:r>
    </w:p>
    <w:p>
      <w:pPr>
        <w:pStyle w:val="FirstParagraph"/>
        <w:spacing w:line="480" w:lineRule="auto"/>
      </w:pPr>
      <w:r>
        <w:t xml:space="preserve">Lifted straight from the companion paper p1</w:t>
      </w:r>
      <w:r>
        <w:t xml:space="preserve"> </w:t>
      </w:r>
      <w:hyperlink w:anchor="ref-10">
        <w:r>
          <w:rPr>
            <w:rStyle w:val="Hyperlink"/>
          </w:rPr>
          <w:t xml:space="preserve">[10]</w:t>
        </w:r>
      </w:hyperlink>
      <w:r>
        <w:t xml:space="preserve">, the single-equation specification appears here as a benchmark, not the headline. Private cislunar capital in quarter t regresses on the one- and two-quarter lags of NASA lunar obligations, the contemporaneous non-lunar space-capital series, and the contemporaneous three-month Treasury bill rate. Standard errors take the heteroskedasticity-consistent HC1 form. What the estimator returns is a marginal shift in quarterly private capital, in millions of dollars, per one-million-dollar shift in the predictor of interest. It is reported for two reasons. It reads most easily for a policy audience, and the companion paper p1 has already shown that the two-quarter lag of government obligations lands a positive and statistically significant coefficient of 1.27</w:t>
      </w:r>
      <w:r>
        <w:t xml:space="preserve"> </w:t>
      </w:r>
      <w:hyperlink w:anchor="ref-10">
        <w:r>
          <w:rPr>
            <w:rStyle w:val="Hyperlink"/>
          </w:rPr>
          <w:t xml:space="preserve">[10]</w:t>
        </w:r>
      </w:hyperlink>
      <w:r>
        <w:t xml:space="preserve">. Even so, the benchmark is necessary without being sufficient. It assumes government obligations are strictly exogenous to private capital, and the system-dynamics account of the cislunar resource industry rejects that assumption on theory [2, 25]. Whatever inference from this layer holds up in the vector autoregression and local projections layers earns greater confidence; whatever fails to hold up is flagged as a caution.</w:t>
      </w:r>
    </w:p>
    <w:bookmarkEnd w:id="103"/>
    <w:bookmarkStart w:id="104" w:name="X90ffd9e506cbdda045cc33481a24999101987cd"/>
    <w:p>
      <w:pPr>
        <w:pStyle w:val="Heading2"/>
        <w:spacing w:line="480" w:lineRule="auto"/>
      </w:pPr>
      <w:r>
        <w:t xml:space="preserve">5.4 The Bivariate Vector Autoregression with Exogenous Controls</w:t>
      </w:r>
    </w:p>
    <w:p>
      <w:pPr>
        <w:pStyle w:val="FirstParagraph"/>
        <w:spacing w:line="480" w:lineRule="auto"/>
      </w:pPr>
      <w:r>
        <w:t xml:space="preserve">Serving as the primary aggregate estimator is a bivariate vector autoregression in the first differences of log obligations and log private capital, with the non-lunar space-investment series and the three-month Treasury bill rate carried as exogenous regressors. Lag length follows the Bayesian information criterion, with the Akaike information criterion offered as a check. The lag-length grid runs one through four quarters, the span the companion paper p1 tied to venture diligence and closing cycles</w:t>
      </w:r>
      <w:r>
        <w:t xml:space="preserve"> </w:t>
      </w:r>
      <w:hyperlink w:anchor="ref-10">
        <w:r>
          <w:rPr>
            <w:rStyle w:val="Hyperlink"/>
          </w:rPr>
          <w:t xml:space="preserve">[10]</w:t>
        </w:r>
      </w:hyperlink>
      <w:r>
        <w:t xml:space="preserve"> </w:t>
      </w:r>
      <w:r>
        <w:t xml:space="preserve">and the span the prospectus fixed in advance as the rejection region</w:t>
      </w:r>
      <w:r>
        <w:t xml:space="preserve"> </w:t>
      </w:r>
      <w:hyperlink w:anchor="ref-10">
        <w:r>
          <w:rPr>
            <w:rStyle w:val="Hyperlink"/>
          </w:rPr>
          <w:t xml:space="preserve">[10]</w:t>
        </w:r>
      </w:hyperlink>
      <w:r>
        <w:t xml:space="preserve">. To test Granger non-causality from government obligations to private capital, a Wald restriction sets the lagged obligation coefficients in the private-capital equation jointly to zero. That same step runs the symmetric test from private capital to government obligations, so the analysis can sort four regimes apart: government leads capital, capital leads government, bidirectional feedback, and the null of no Granger causality either way. Rejection thresholds sit at five percent for each direction in advance, with a Holm-Bonferroni correction across the two tests to keep the joint inference from inflating the family-wise error rate.</w:t>
      </w:r>
    </w:p>
    <w:p>
      <w:pPr>
        <w:pStyle w:val="BodyText"/>
        <w:spacing w:line="480" w:lineRule="auto"/>
        <w:ind w:firstLine="720"/>
      </w:pPr>
      <w:r>
        <w:t xml:space="preserve">Over an eight-quarter horizon, impulse response functions trace an orthogonalized one-standard-deviation shock to each endogenous series. The Cholesky ordering puts government obligations first, on the maintained view that federal procurement cadence within a quarter is set independently of contemporaneous private capital flows. How the impulse responses hold under the reversed ordering is reported as a sensitivity. Confidence intervals come from a residual bootstrap at 1,000 replications, applied to the centered residuals to keep the contemporaneous correlation across the two endogenous equations intact.</w:t>
      </w:r>
    </w:p>
    <w:p>
      <w:pPr>
        <w:pStyle w:val="BodyText"/>
        <w:spacing w:line="480" w:lineRule="auto"/>
        <w:ind w:firstLine="720"/>
      </w:pPr>
      <w:r>
        <w:t xml:space="preserve">Estimation uses the same 44 quarterly observations as the companion paper p1, and the effective sample size after differencing and lag inclusion travels alongside every result. The degrees-of-freedom pinch is not cosmetic. Take 44 quarters, subtract the first difference, subtract the maximum lag, subtract the four exogenous regressors, and a thin identification budget remains, which the chapter refuses to gloss over. Should the unrestricted vector autoregression burn through that budget, the Bayesian shrinkage prior of section 5.6 comes into play.</w:t>
      </w:r>
    </w:p>
    <w:bookmarkEnd w:id="104"/>
    <w:bookmarkStart w:id="105" w:name="X179667ff19a37d8c9587a4bbd5684bedf359be8"/>
    <w:p>
      <w:pPr>
        <w:pStyle w:val="Heading2"/>
        <w:spacing w:line="480" w:lineRule="auto"/>
      </w:pPr>
      <w:r>
        <w:t xml:space="preserve">5.5 The Jorda Local Projections Robustness Layer</w:t>
      </w:r>
    </w:p>
    <w:p>
      <w:pPr>
        <w:pStyle w:val="FirstParagraph"/>
        <w:spacing w:line="480" w:lineRule="auto"/>
      </w:pPr>
      <w:r>
        <w:t xml:space="preserve">Deployed as a robustness check, the Jorda local projections estimator moves horizon by horizon. At each horizon h from zero to eight quarters, private capital at quarter t plus h regresses on the contemporaneous shock to government obligations recovered from the vector autoregression first-stage residuals, on own lags of both endogenous series, and on the exogenous controls. An impulse response function traced this way needs the vector autoregression lag specification to be right only through the first-stage residual. The payoff is robustness to exactly the lag-length misspecification the vector autoregression cannot dismiss at a sample of forty-four quarters. Should the vector autoregression impulse response and the local projections impulse response concur on the sign and timing of private capital’s reaction to a government obligation shock, the inference is reported with confidence. Should they part ways, the chapter shows both and treats the lead-lag claim as contingent on the design choice rather than settled. Confidence intervals on the local projections use Newey-West with a bandwidth of the horizon plus one, sized to soak up the moving-average structure the horizon-specific regressor brings in.</w:t>
      </w:r>
    </w:p>
    <w:bookmarkEnd w:id="105"/>
    <w:bookmarkStart w:id="106" w:name="Xb300ce22a9ab89dc9efc8d2d22e076f14db6ab7"/>
    <w:p>
      <w:pPr>
        <w:pStyle w:val="Heading2"/>
        <w:spacing w:line="480" w:lineRule="auto"/>
      </w:pPr>
      <w:r>
        <w:t xml:space="preserve">5.6 Bayesian Shrinkage as a Degrees-of-Freedom Backstop</w:t>
      </w:r>
    </w:p>
    <w:p>
      <w:pPr>
        <w:pStyle w:val="FirstParagraph"/>
        <w:spacing w:line="480" w:lineRule="auto"/>
      </w:pPr>
      <w:r>
        <w:t xml:space="preserve">To guard against the small-sample variance inflation the degrees-of-freedom budget invites, a Minnesota-style prior is laid over the vector autoregression coefficients. It pulls own-lag coefficients toward unity in the levels specification and toward zero in the first-difference specification, and pulls cross-lag coefficients toward zero in both, with shrinkage tightness picked by an out-of-sample one-step-ahead forecast root-mean-square-error criterion trained on the first thirty-two quarters and tested on the last twelve. Its result sits beside the unrestricted result. Granger causality inference appears in both, and the chapter records the lead-lag claim as supported only when the two return the same directional verdict.</w:t>
      </w:r>
    </w:p>
    <w:bookmarkEnd w:id="106"/>
    <w:bookmarkStart w:id="107" w:name="Xe2e2329ff63d594c46a47e3394a95833da187c8"/>
    <w:p>
      <w:pPr>
        <w:pStyle w:val="Heading2"/>
        <w:spacing w:line="480" w:lineRule="auto"/>
      </w:pPr>
      <w:r>
        <w:t xml:space="preserve">5.7 Firm-Level Cox Proportional-Hazards Complement</w:t>
      </w:r>
    </w:p>
    <w:p>
      <w:pPr>
        <w:pStyle w:val="FirstParagraph"/>
        <w:spacing w:line="480" w:lineRule="auto"/>
      </w:pPr>
      <w:r>
        <w:t xml:space="preserve">Rounding out the aggregate flow estimators is a firm-level Cox proportional-hazards estimator that pools the same anchor signals through a different lens. Its risk set is the thirty cislunar firms from the companion paper p2</w:t>
      </w:r>
      <w:r>
        <w:t xml:space="preserve"> </w:t>
      </w:r>
      <w:hyperlink w:anchor="ref-10">
        <w:r>
          <w:rPr>
            <w:rStyle w:val="Hyperlink"/>
          </w:rPr>
          <w:t xml:space="preserve">[10]</w:t>
        </w:r>
      </w:hyperlink>
      <w:r>
        <w:t xml:space="preserve">, each entering when its first documented government anchor signal lands and leaving at its first private-capital event or at right-censoring at thirty-six months. For firm i at time t, conditional on the covariate vector, the hazard is modeled as an unspecified baseline hazard times the exponential of a linear index in log disclosed government contract value, log prior private capital accumulation, founder government experience, and log team size at the anchor date. Two things the aggregate layers cannot reach make the Cox layer necessary. First, aggregate series hide within-firm heterogeneity in how fast an anchor signal turns into a private raise, and the companion paper p2 found that heterogeneity to be the dominant feature of the firm-level data</w:t>
      </w:r>
      <w:r>
        <w:t xml:space="preserve"> </w:t>
      </w:r>
      <w:hyperlink w:anchor="ref-10">
        <w:r>
          <w:rPr>
            <w:rStyle w:val="Hyperlink"/>
          </w:rPr>
          <w:t xml:space="preserve">[10]</w:t>
        </w:r>
      </w:hyperlink>
      <w:r>
        <w:t xml:space="preserve">. Second, the Cox layer lets the analysis probe whether the aggregate Granger result rides on a few large-award firms, the Human Landing System sequence in particular, or whether the lead-lag pattern holds across the wider cross-section. A sensitivity that removes the Human Landing System awards runs beside the headline estimate, and the matching exclusion runs in the aggregate vector autoregression, taken up next.</w:t>
      </w:r>
    </w:p>
    <w:bookmarkEnd w:id="107"/>
    <w:bookmarkStart w:id="108" w:name="X02d10a6b79f39adf8911dd38e9ab0715baa3679"/>
    <w:p>
      <w:pPr>
        <w:pStyle w:val="Heading2"/>
        <w:spacing w:line="480" w:lineRule="auto"/>
      </w:pPr>
      <w:r>
        <w:t xml:space="preserve">5.8 Structural-Break and Exclusion Sensitivities</w:t>
      </w:r>
    </w:p>
    <w:p>
      <w:pPr>
        <w:pStyle w:val="FirstParagraph"/>
        <w:spacing w:line="480" w:lineRule="auto"/>
      </w:pPr>
      <w:r>
        <w:t xml:space="preserve">Two structural breaks are registered in advance. One sits at 2020 Q2 to absorb the pandemic shock and the sharp repricing of risk capital in its wake. The other sits at 2022 Q4 to absorb the announced cadence change in the Commercial Lunar Payload Services task-order sequence. Each break faces a Chow restriction on the vector autoregression coefficients across the surrounding window and enters the local projections specification as a dummy and a dummy-times-lag interaction. Only if sign and significance clear both breaks does the lead-lag estimate count as robust. Three exclusion sensitivities follow. The first re-runs the vector autoregression and the Cox model with the Human Landing System award sequence removed, answering the prospectus worry that a few large awards can conjure spurious Granger causality by sheer dollar weight. The second re-runs on a frozen roster of cislunar firms rebuilt ex post from the union of BryceTech vintages, answering the definitional drift in what counts as a cislunar firm from year to year. The third re-runs with an announcement-date series swapped in for the obligation-date series, so the chapter can prise the announcement’s signal effect apart from the obligation’s cash-flow effect, a split the single-equation specification cannot make.</w:t>
      </w:r>
    </w:p>
    <w:p>
      <w:pPr>
        <w:pStyle w:val="BodyText"/>
        <w:spacing w:line="480" w:lineRule="auto"/>
        <w:ind w:firstLine="720"/>
      </w:pPr>
      <w:r>
        <w:t xml:space="preserve">To count as a positive result the headline lead-lag claim has to clear all three exclusions; a claim that clears two of three is reported with the failing sensitivity named in the chapter abstract.</w:t>
      </w:r>
    </w:p>
    <w:bookmarkEnd w:id="108"/>
    <w:bookmarkStart w:id="109" w:name="X1d189e0776bd0a9225211f020d00b109bd29bed"/>
    <w:p>
      <w:pPr>
        <w:pStyle w:val="Heading2"/>
        <w:spacing w:line="480" w:lineRule="auto"/>
      </w:pPr>
      <w:r>
        <w:t xml:space="preserve">5.9 Threats to Validity and How Each Is Bounded</w:t>
      </w:r>
    </w:p>
    <w:p>
      <w:pPr>
        <w:pStyle w:val="FirstParagraph"/>
        <w:spacing w:line="480" w:lineRule="auto"/>
      </w:pPr>
      <w:r>
        <w:t xml:space="preserve">Six validity threats are taken up in sequence, each with a stated bound and a stated reporting protocol.</w:t>
      </w:r>
    </w:p>
    <w:p>
      <w:pPr>
        <w:pStyle w:val="BodyText"/>
        <w:spacing w:line="480" w:lineRule="auto"/>
        <w:ind w:firstLine="720"/>
      </w:pPr>
      <w:r>
        <w:t xml:space="preserve">Small-sample variance inflation opens the list. Forty-four quarters, two endogenous variables, and a lag structure of one to four quarters leave a thin identification budget. Its bound is twofold: the Bayesian shrinkage layer of section 5.6, which swaps a little downward bias for a large cut in variance, and the local projections layer of section 5.5, which does not need the vector autoregression lag specification to be right. The chapter reports the headline result only when unrestricted and shrinkage vector autoregression agree on direction and the local projections impulse response agrees on the sign at horizons two through four. Omitted-variable bias from a third factor moving both government obligations and private capital within one quarter is next. Candidate confounders are the broader space-investment cycle, the cost of capital, and the geopolitical risk premium implied by the integrated-deterrence and economic-statecraft framing of the cislunar competition with peer powers</w:t>
      </w:r>
      <w:r>
        <w:t xml:space="preserve"> </w:t>
      </w:r>
      <w:hyperlink w:anchor="ref-11">
        <w:r>
          <w:rPr>
            <w:rStyle w:val="Hyperlink"/>
          </w:rPr>
          <w:t xml:space="preserve">[11]</w:t>
        </w:r>
      </w:hyperlink>
      <w:r>
        <w:t xml:space="preserve">. The first two enter as exogenous controls. The third is bounded by the 2022 Q4 structural-break test and by a sensitivity that adds a constructed news-based geopolitical risk index, with the headline counted robust only if lead-lag sign and significance survive the addition.</w:t>
      </w:r>
    </w:p>
    <w:p>
      <w:pPr>
        <w:pStyle w:val="BodyText"/>
        <w:spacing w:line="480" w:lineRule="auto"/>
        <w:ind w:firstLine="720"/>
      </w:pPr>
      <w:r>
        <w:t xml:space="preserve">Definitional drift in what counts as a cislunar firm across BryceTech reporting vintages is third. Its bound is the frozen-roster sensitivity of section 5.8, which rebuilds one fixed firm list from the union of vintages and re-estimates on it. Any divergence between headline and frozen-roster estimate is reported and left unhidden.</w:t>
      </w:r>
    </w:p>
    <w:p>
      <w:pPr>
        <w:pStyle w:val="BodyText"/>
        <w:spacing w:line="480" w:lineRule="auto"/>
        <w:ind w:firstLine="720"/>
      </w:pPr>
      <w:r>
        <w:t xml:space="preserve">The outsized weight of a few large awards is fourth. The Human Landing System sequence in particular has the dollar mass to drive a spurious Granger result through scale alone, apart from any genuine lead-lag pattern. Its bound is the Human Landing System exclusion sensitivity of section 5.8 in both aggregate and Cox specifications, with the headline counted robust only if sign and significance survive.</w:t>
      </w:r>
    </w:p>
    <w:p>
      <w:pPr>
        <w:pStyle w:val="BodyText"/>
        <w:spacing w:line="480" w:lineRule="auto"/>
        <w:ind w:firstLine="720"/>
      </w:pPr>
      <w:r>
        <w:t xml:space="preserve">The announcement-versus-obligation distinction is fifth. The companion paper p1 single-equation specification cannot say whether the two-quarter lag is a signaling effect firing at the announcement date or a cash-flow effect firing at the obligation date</w:t>
      </w:r>
      <w:r>
        <w:t xml:space="preserve"> </w:t>
      </w:r>
      <w:hyperlink w:anchor="ref-10">
        <w:r>
          <w:rPr>
            <w:rStyle w:val="Hyperlink"/>
          </w:rPr>
          <w:t xml:space="preserve">[10]</w:t>
        </w:r>
      </w:hyperlink>
      <w:r>
        <w:t xml:space="preserve">. Its bound is the announcement-date sensitivity of section 5.8, run in the vector autoregression specification, with the two timing series entered apart and their relative magnitudes reported. Sixth is the simultaneity the system-dynamics account of the cislunar resource industry would forecast, in which government and private actors form a coupled stock-and-flow system whose contemporaneous co-movement no observational time series can identify on its own [2, 25]. Its bound is partial. The vector autoregression Granger test, the local projections at non-zero horizons, and the Cox firm-level evidence at staggered entry dates together address the simultaneity at the lag structure the prospectus set in advance. The chapter does not claim to identify a structural contemporaneous relationship and reports the lead-lag estimate strictly as reduced-form temporal precedence. A companion structural identification, using a system of equations or an instrument to separate the contemporaneous channels, is held for future work and named plainly as that.</w:t>
      </w:r>
    </w:p>
    <w:p>
      <w:pPr>
        <w:pStyle w:val="BodyText"/>
        <w:spacing w:line="480" w:lineRule="auto"/>
        <w:ind w:firstLine="720"/>
      </w:pPr>
      <w:r>
        <w:t xml:space="preserve">The chapter ends by restating its bar: the headline lead-lag estimate counts as a positive result only when it clears the four sensitivity protocols of section 5.8 and when unrestricted vector autoregression, shrinkage vector autoregression, and local projections impulse response agree on sign and timing. Any result that fails a protocol is reported with the failing protocol named in the abstract, and the policy reading in the concluding chapter is bounded to match.</w:t>
      </w:r>
    </w:p>
    <w:bookmarkEnd w:id="109"/>
    <w:bookmarkEnd w:id="110"/>
    <w:bookmarkStart w:id="117" w:name="chapter-6.-results"/>
    <w:p>
      <w:pPr>
        <w:pStyle w:val="Heading1"/>
        <w:spacing w:line="480" w:lineRule="auto"/>
      </w:pPr>
      <w:r>
        <w:t xml:space="preserve">Chapter 6. Results</w:t>
      </w:r>
    </w:p>
    <w:bookmarkStart w:id="111" w:name="orientation"/>
    <w:p>
      <w:pPr>
        <w:pStyle w:val="Heading2"/>
        <w:spacing w:line="480" w:lineRule="auto"/>
      </w:pPr>
      <w:r>
        <w:t xml:space="preserve">6.1 Orientation</w:t>
      </w:r>
    </w:p>
    <w:p>
      <w:pPr>
        <w:pStyle w:val="FirstParagraph"/>
        <w:spacing w:line="480" w:lineRule="auto"/>
      </w:pPr>
      <w:r>
        <w:t xml:space="preserve">Here the dissertation lays out the estimation results that speak to its central lead-lag question. Two complementary specifications carry the chapter. One is the aggregate quarterly flow model, fit by ordinary least squares with heteroskedasticity-consistent standard errors on 44 quarterly observations from 2015 Q1 through 2025 Q4</w:t>
      </w:r>
      <w:r>
        <w:t xml:space="preserve"> </w:t>
      </w:r>
      <w:hyperlink w:anchor="ref-10">
        <w:r>
          <w:rPr>
            <w:rStyle w:val="Hyperlink"/>
          </w:rPr>
          <w:t xml:space="preserve">[10]</w:t>
        </w:r>
      </w:hyperlink>
      <w:r>
        <w:t xml:space="preserve">. The other is a firm-level Cox proportional-hazards model of the gap between a documented government anchor signal and the next disclosed private capital event, fit across 30 cislunar firms active between 2017 and 2025. Between them they look at one theoretical question from two vantage points. The aggregate model asks whether dollars of government obligation, lagged appropriately, statistically run ahead of dollars of private capital. The firm-level model asks whether the size of a given anchor signal quickens the next private raise for its recipient, conditional on what that firm had already raised, the background of its leadership, and its operating scale.</w:t>
      </w:r>
    </w:p>
    <w:p>
      <w:pPr>
        <w:pStyle w:val="BodyText"/>
        <w:spacing w:line="480" w:lineRule="auto"/>
        <w:ind w:firstLine="720"/>
      </w:pPr>
      <w:r>
        <w:t xml:space="preserve">Appendix A holds the estimator output tables and the underlying figures; this chapter stays with the substantive reading of the numbers and the methodological caveats they carry.</w:t>
      </w:r>
    </w:p>
    <w:p>
      <w:pPr>
        <w:pStyle w:val="BodyText"/>
        <w:spacing w:line="480" w:lineRule="auto"/>
        <w:ind w:firstLine="720"/>
      </w:pPr>
      <w:r>
        <w:t xml:space="preserve">Its layout runs thus. Section 6.2 sets out the aggregate lagged-OLS results in full, coefficient magnitudes, precision, and model fit alike. Section 6.3 draws the substantive reading of those aggregate estimates against the prior anchor-tenant and leading-capital hypotheses. Section 6.4 sets out the Cox proportional-hazards results at the firm level, with hazard ratios stated explicitly. Section 6.5 reads those firm-level results and marks where they agree and disagree with the aggregate model. Section 6.6 folds the two estimators into a single reading of the lead-lag direction and notes the conditions under which that reading should be revisited.</w:t>
      </w:r>
    </w:p>
    <w:bookmarkEnd w:id="111"/>
    <w:bookmarkStart w:id="112" w:name="Xd32e2fbbb06468bb18a6970b1d215b7050e3ac8"/>
    <w:p>
      <w:pPr>
        <w:pStyle w:val="Heading2"/>
        <w:spacing w:line="480" w:lineRule="auto"/>
      </w:pPr>
      <w:r>
        <w:t xml:space="preserve">6.2 Aggregate quarterly flows: lagged ordinary least squares estimates</w:t>
      </w:r>
    </w:p>
    <w:p>
      <w:pPr>
        <w:pStyle w:val="FirstParagraph"/>
        <w:spacing w:line="480" w:lineRule="auto"/>
      </w:pPr>
      <w:r>
        <w:t xml:space="preserve">Quarterly private capital flows into cislunar-tagged firms, in millions of United States dollars, regress on the one-quarter and two-quarter lags of NASA lunar program obligations, on the contemporaneous non-lunar commercial space capital series as a control for the wider space-investment cycle, and on the contemporaneous three-month Treasury bill rate as a short-rate macro-financial control [7, 8, 9]. Forty-four quarterly observations make up the sample. Standard errors take the heteroskedasticity-consistent HC1 form. Fit runs high. The coefficient of determination is 0.99985, the adjusted coefficient of determination 0.99984. On the joint hypothesis that all slopes vanish, the F-statistic is 376,807 with a p-value below 10 to the minus 88. Uncommon in time-series work, these figures call for comment before any single coefficient is read. Three data features produce them. Both the obligations series and the private-capital series climb sharply across the sample on the Artemis ramp</w:t>
      </w:r>
      <w:r>
        <w:t xml:space="preserve"> </w:t>
      </w:r>
      <w:hyperlink w:anchor="ref-9">
        <w:r>
          <w:rPr>
            <w:rStyle w:val="Hyperlink"/>
          </w:rPr>
          <w:t xml:space="preserve">[9]</w:t>
        </w:r>
      </w:hyperlink>
      <w:r>
        <w:t xml:space="preserve">. The non-lunar space-capital control picks up a further slice of secular space-sector growth. And the short-rate control picks up a parallel cyclical pattern over the 2020 to 2024 monetary tightening cycle. Together, a handful of trending and cyclical regressors span nearly all the variation in the outcome.</w:t>
      </w:r>
    </w:p>
    <w:p>
      <w:pPr>
        <w:pStyle w:val="BodyText"/>
        <w:spacing w:line="480" w:lineRule="auto"/>
        <w:ind w:firstLine="720"/>
      </w:pPr>
      <w:r>
        <w:t xml:space="preserve">The chapter does not treat the size of R-squared as evidence of causal explanatory power; it stands as a descriptive trait of the joint trajectories and as a caution that precision in this specification comes from co-trending rather than from independent quarter-to-quarter movement.</w:t>
      </w:r>
    </w:p>
    <w:p>
      <w:pPr>
        <w:pStyle w:val="BodyText"/>
        <w:spacing w:line="480" w:lineRule="auto"/>
        <w:ind w:firstLine="720"/>
      </w:pPr>
      <w:r>
        <w:t xml:space="preserve">Each of the four estimated coefficients follows in turn.</w:t>
      </w:r>
    </w:p>
    <w:p>
      <w:pPr>
        <w:pStyle w:val="BodyText"/>
        <w:spacing w:line="480" w:lineRule="auto"/>
        <w:ind w:firstLine="720"/>
      </w:pPr>
      <w:r>
        <w:t xml:space="preserve">For the intercept the estimate is 24.107 in millions of dollars per quarter, standard error 8.530, p-value 0.0047. Small against the scale of the outcome across the sample, it bears no direct theoretical meaning in this specification, since it soaks up whatever baseline private cislunar capital a quarter would show with no government obligations, no non-lunar space-sector capital, and a Treasury bill rate of zero, a combination outside the support of the data. Its significance is stated for transparency and should not read as a substantive finding. For the one-quarter lag of government obligations the estimate is minus 0.1204 in millions of dollars of private capital per million of obligations, standard error 0.1129, p-value 0.2866. Small, negative, and at conventional levels indistinguishable from zero, it lends no support to the idea that a dollar of government obligation in quarter t-1 lifts private capital in quarter t. Its negative sign sits substantively near zero and should not read as crowding-out at one quarter; the standard error rivals the point estimate in size and the p-value lands well beyond any conventional rejection region.</w:t>
      </w:r>
    </w:p>
    <w:p>
      <w:pPr>
        <w:pStyle w:val="BodyText"/>
        <w:spacing w:line="480" w:lineRule="auto"/>
        <w:ind w:firstLine="720"/>
      </w:pPr>
      <w:r>
        <w:t xml:space="preserve">The reading is that one quarter is too short a horizon to catch the diligence and closing cycles governing private capital deployment in the venture and growth-equity transactions the BryceTech Start-Up Space series catalogues</w:t>
      </w:r>
      <w:r>
        <w:t xml:space="preserve"> </w:t>
      </w:r>
      <w:hyperlink w:anchor="ref-7">
        <w:r>
          <w:rPr>
            <w:rStyle w:val="Hyperlink"/>
          </w:rPr>
          <w:t xml:space="preserve">[7]</w:t>
        </w:r>
      </w:hyperlink>
      <w:r>
        <w:t xml:space="preserve">.</w:t>
      </w:r>
    </w:p>
    <w:p>
      <w:pPr>
        <w:pStyle w:val="BodyText"/>
        <w:spacing w:line="480" w:lineRule="auto"/>
        <w:ind w:firstLine="720"/>
      </w:pPr>
      <w:r>
        <w:t xml:space="preserve">For the two-quarter lag of government obligations the estimate is 1.2651, standard error 0.1130, p-value below 0.0001. This is the coefficient the theory cares about. At the margin, a one-million-dollar rise in NASA lunar obligations tracks a 1.27-million-dollar rise in private cislunar capital two quarters later, with the wider space-capital cycle and the short rate held fixed. Large in absolute terms, tightly measured given the heteroskedasticity-consistent variance, it lands more than ten estimated standard errors above zero. Within the specification the null rejection is decisive.</w:t>
      </w:r>
    </w:p>
    <w:p>
      <w:pPr>
        <w:pStyle w:val="BodyText"/>
        <w:spacing w:line="480" w:lineRule="auto"/>
        <w:ind w:firstLine="720"/>
      </w:pPr>
      <w:r>
        <w:t xml:space="preserve">For the contemporaneous non-lunar commercial space capital series the estimate is minus 0.0827 in millions of dollars of cislunar private capital per million of non-lunar space-sector capital, standard error 0.0111, p-value below 0.0001. Small in absolute value and negative, read as a partial association inside a fixed quarter it points to a mild substitution: a marginal extra dollar into the wider non-lunar space sector tracks a small decrement of capital into the cislunar segment, with government obligations and the short rate held fixed. Its substantive reading is bounded. Built by subtraction from a single aggregate source, the non-lunar series inherits any definitional drift in the BryceTech tagging convention</w:t>
      </w:r>
      <w:r>
        <w:t xml:space="preserve"> </w:t>
      </w:r>
      <w:hyperlink w:anchor="ref-7">
        <w:r>
          <w:rPr>
            <w:rStyle w:val="Hyperlink"/>
          </w:rPr>
          <w:t xml:space="preserve">[7]</w:t>
        </w:r>
      </w:hyperlink>
      <w:r>
        <w:t xml:space="preserve">. Its negative sign fits a fixed venture-allocation pool reapportioned between lunar-tagged and non-lunar opportunities once federal obligations are announced. It does not on its own establish a substitution mechanism, and its magnitude runs small next to the lagged-obligations coefficient.</w:t>
      </w:r>
    </w:p>
    <w:p>
      <w:pPr>
        <w:pStyle w:val="BodyText"/>
        <w:spacing w:line="480" w:lineRule="auto"/>
        <w:ind w:firstLine="720"/>
      </w:pPr>
      <w:r>
        <w:t xml:space="preserve">For the three-month Treasury bill rate the estimate is 20.859 in millions of dollars of cislunar private capital per percentage point of the short rate, standard error 3.198, p-value below 0.0001. The sign is positive and the t-statistic clears six. Precise as it is, this estimate is substantively delicate. Read literally, each one percentage point rise in the three-month Treasury bill rate would track an extra 20.9 million dollars of quarterly private capital into cislunar firms, inverting the standard finance-theoretic prediction that higher risk-free rates raise the cost of equity capital and pull flows away from long-duration risky ventures. That literal reading holds no water as a structural cost-of-capital effect. Better read, the estimate absorbs the parallel cyclical pattern of the 2020 to 2024 rate path against the contemporaneous ramp in NASA lunar appropriations and the matching private capital deployment cycle. In a window ruled by a single monetary tightening episode running alongside the Artemis appropriations ramp, the short rate here works as a control mopping up the secular cyclical component, not as an estimate of a structural parameter. The dissertation prints the coefficient in Appendix A for completeness and treats it as a nuisance control in the substantive story.</w:t>
      </w:r>
    </w:p>
    <w:bookmarkEnd w:id="112"/>
    <w:bookmarkStart w:id="113" w:name="X6333cc5455431375df9a552731ed771130c3144"/>
    <w:p>
      <w:pPr>
        <w:pStyle w:val="Heading2"/>
        <w:spacing w:line="480" w:lineRule="auto"/>
      </w:pPr>
      <w:r>
        <w:t xml:space="preserve">6.3 Interpretation of the aggregate estimates</w:t>
      </w:r>
    </w:p>
    <w:p>
      <w:pPr>
        <w:pStyle w:val="FirstParagraph"/>
        <w:spacing w:line="480" w:lineRule="auto"/>
      </w:pPr>
      <w:r>
        <w:t xml:space="preserve">Where the theory bites is the contrast between the one-quarter lag coefficient of minus 0.1204, indistinguishable from zero, and the two-quarter lag coefficient of 1.2651, tightly measured and large. Internally that pattern fits a delay in which government announcements take roughly two quarters to feed through into private capital. Its proximate mechanism is institutional. Venture and growth-equity transactions in commercial space run through a diligence cycle of several months, a syndication process spilling past a single quarter, and a documentation-and-closing window that adds weeks more. One quarter cannot span that sequence; two quarters roughly matches the median gap between a credible government anchor signal and a closed equity round in the firm-level dataset behind the companion firm-level study of Section 6.4</w:t>
      </w:r>
      <w:r>
        <w:t xml:space="preserve"> </w:t>
      </w:r>
      <w:hyperlink w:anchor="ref-10">
        <w:r>
          <w:rPr>
            <w:rStyle w:val="Hyperlink"/>
          </w:rPr>
          <w:t xml:space="preserve">[10]</w:t>
        </w:r>
      </w:hyperlink>
      <w:r>
        <w:t xml:space="preserve">.</w:t>
      </w:r>
    </w:p>
    <w:p>
      <w:pPr>
        <w:pStyle w:val="BodyText"/>
        <w:spacing w:line="480" w:lineRule="auto"/>
        <w:ind w:firstLine="720"/>
      </w:pPr>
      <w:r>
        <w:t xml:space="preserve">Magnitude reads clearly too. A point estimate of 1.27 says a marginal dollar of government obligation tracks somewhat more than a dollar of later private capital into the cislunar segment two quarters on. That fits the anchor-tenant framing in the policy and architecture literature [1, 4]. It cuts against the strong form of the leading-capital view, which would put the lagged-obligations coefficient at zero or negative once contemporaneous controls enter. It also fits, broadly, the directional claim in system-dynamics models of the cislunar resource industry that government and commercial actors couple through positive feedback, though those models stop short of estimating the lead-lag structure from data [2, 25]. The wider space-economy syntheses that assert without estimation that commercialization outpaces governance [3, 5, 11] go untested by the present specification, yet the sign and magnitude of the two-quarter lag suggest that, at least within the United States cislunar segment over 2015 to 2025, the public-private interface runs with government leading capital rather than the reverse.</w:t>
      </w:r>
    </w:p>
    <w:p>
      <w:pPr>
        <w:pStyle w:val="BodyText"/>
        <w:spacing w:line="480" w:lineRule="auto"/>
        <w:ind w:firstLine="720"/>
      </w:pPr>
      <w:r>
        <w:t xml:space="preserve">Several caveats attach. A high R-squared signals the lagged-obligation coefficient is identified off the comovement of three trending series, not off independent quarter-to-quarter variation. So the estimate hangs on the sample window and on the absence of structural breaks this specification does not absorb. The point estimate may move materially under the pre-registered structural break tests at 2020 Q2 and 2022 Q4, and under the sensitivity dropping the Human Landing System award sequence. Those sensitivities wait for the analytic chapter ahead. This chapter reports the headline estimate as the aggregate specification’s central result and states plainly that it is conditional on the controls used and on the linear functional form the single-equation lagged-OLS estimator imposes. A second substantive read comes from the non-lunar space-capital control. Its negative sign, small as it is, fits a venture-allocation channel where marginal private capital reshuffles inside the wider commercial space sector rather than entering it ex nihilo. On that reading, the anchor-tenant effect the lagged-obligations coefficient documents works partly by reapportioning a partly fixed pool of risk capital toward the cislunar segment in the quarters after a government signal, not by drawing in capital that would not otherwise touch space-sector investing. Its small magnitude marks that reallocation channel as modest, though its precision rules out a null effect within this specification.</w:t>
      </w:r>
    </w:p>
    <w:bookmarkEnd w:id="113"/>
    <w:bookmarkStart w:id="114" w:name="Xd23c0c5733324b7bdaf6893f74d9a26ffa955fa"/>
    <w:p>
      <w:pPr>
        <w:pStyle w:val="Heading2"/>
        <w:spacing w:line="480" w:lineRule="auto"/>
      </w:pPr>
      <w:r>
        <w:t xml:space="preserve">6.4 Firm-level survival model: Cox proportional-hazards estimates</w:t>
      </w:r>
    </w:p>
    <w:p>
      <w:pPr>
        <w:pStyle w:val="FirstParagraph"/>
        <w:spacing w:line="480" w:lineRule="auto"/>
      </w:pPr>
      <w:r>
        <w:t xml:space="preserve">Working at the individual cislunar firm rather than at aggregate quarterly flows, the firm-level model takes up the same lead-lag question. Its estimator is the Cox proportional-hazards model, fit by partial likelihood with Breslow handling of tied event times. Its risk set is 30 firms carrying a documented lunar-relevant NASA anchor signal between 2017 and 2025 and an observable private capital outcome through 2026. Of the 30, twenty-two reach the event of interest, defined as the first disclosed private capital event after the anchor signal. Eight are right-censored at a 36-month window or at the structural censoring conventions the data documentation notes. Its covariate vector holds the log of disclosed government contract value, the log of prior private capital accumulated before the anchor signal, an indicator for founder prior government experience, and the log of team size at the anchor date [6, 15].</w:t>
      </w:r>
    </w:p>
    <w:p>
      <w:pPr>
        <w:pStyle w:val="BodyText"/>
        <w:spacing w:line="480" w:lineRule="auto"/>
        <w:ind w:firstLine="720"/>
      </w:pPr>
      <w:r>
        <w:t xml:space="preserve">Estimated coefficients read on the log-hazard scale, their exponentials as hazard ratios. Above zero, a covariate quickens the arrival of private capital relative to the baseline hazard; below zero, it slows it. The baseline hazard goes unspecified.</w:t>
      </w:r>
    </w:p>
    <w:p>
      <w:pPr>
        <w:pStyle w:val="BodyText"/>
        <w:spacing w:line="480" w:lineRule="auto"/>
        <w:ind w:firstLine="720"/>
      </w:pPr>
      <w:r>
        <w:t xml:space="preserve">For log government contract value the estimate is 0.2584, standard error 0.1594, p-value 0.1051. Its implied hazard ratio, exp(0.2584), is about 1.295. A one-unit rise on the natural-log scale, roughly a 2.7-fold rise in disclosed contract value, tracks about a 30 percent quickening in the arrival of private capital. Positive and in line with the anchor-tenant view, its p-value of 0.1051 nonetheless sits just past the conventional five-percent bar for null rejection at this sample size. The directional read is allowed; the statistical claim stays qualified. For log prior private capital the estimate is 0.6974, standard error 0.2070, p-value 0.0008. The hazard ratio, exp(0.6974), is about 2.009. A one-unit rise on the natural-log scale, roughly a 2.7-fold rise in accumulated private capital before the anchor signal, tracks roughly a doubling of the hazard of a later private raise. This is the tightest-measured coefficient in the firm-level model, clearing the null at the one-tenth-percent level. Substantively, firms that had already drawn private capital before the government signal reach their next raise about twice as fast per log unit of accumulated capital. The pattern fits a path-dependent fundraising process in which prior capital commitments act as private signals to the market, compounding with, and in this sample dominating, the public signal the NASA award carries.</w:t>
      </w:r>
    </w:p>
    <w:p>
      <w:pPr>
        <w:pStyle w:val="BodyText"/>
        <w:spacing w:line="480" w:lineRule="auto"/>
        <w:ind w:firstLine="720"/>
      </w:pPr>
      <w:r>
        <w:t xml:space="preserve">For the founder government experience indicator the estimate is 0.0445, standard error 0.7295, p-value 0.9514. The hazard ratio, exp(0.0445), is about 1.046, indistinguishable from one. Once log contract value, log prior capital, and log team size are partialled out, the indicator carries essentially no extra signal. The result runs against the practitioner intuition that ex-government leadership shortens the diligence cycle for cislunar firms, at least in this sample and conditional on the other covariates. Its standard error is large in absolute terms, a sign the binary coding is coarse and that partial covariance with prior capital and with contract value is likely swallowing what would otherwise be a positive estimate. So the chapter reports the null as a within-specification finding and explicitly declines to read it as evidence that government experience is irrelevant to fundraising across the wider cislunar segment. For log team size the estimate is minus 0.6195, standard error 0.2412, p-value 0.0102. The hazard ratio, exp(-0.6195), is about 0.538. A one-unit rise on the natural-log scale of team size at the anchor date, roughly a 2.7-fold rise in headcount, tracks about a 46 percent cut in the hazard of a later private raise. Distinguishable from zero at the one-percent level, it says larger firms at the anchor date wait longer for their next round than smaller firms in the same risk set. That fits a maturity-and-burn-rate reading. A larger organization needs a larger, slower-to-syndicate equity check, meets a more tangled diligence environment because its prior shareholder base is itself more tangled, and more often raises at a later stage where the venture syndicate ecosystem thins out.</w:t>
      </w:r>
    </w:p>
    <w:bookmarkEnd w:id="114"/>
    <w:bookmarkStart w:id="115" w:name="X23301e18592ccf3ef613d9a8c06d39a9e472543"/>
    <w:p>
      <w:pPr>
        <w:pStyle w:val="Heading2"/>
        <w:spacing w:line="480" w:lineRule="auto"/>
      </w:pPr>
      <w:r>
        <w:t xml:space="preserve">6.5 Interpretation of the firm-level estimates</w:t>
      </w:r>
    </w:p>
    <w:p>
      <w:pPr>
        <w:pStyle w:val="FirstParagraph"/>
        <w:spacing w:line="480" w:lineRule="auto"/>
      </w:pPr>
      <w:r>
        <w:t xml:space="preserve">Out of the firm-level model comes a configuration of estimates part-aligned with and part-in-tension with the aggregate lagged-OLS model. Two points of partial agreement and two of partial tension frame the reading.</w:t>
      </w:r>
    </w:p>
    <w:p>
      <w:pPr>
        <w:pStyle w:val="BodyText"/>
        <w:spacing w:line="480" w:lineRule="auto"/>
        <w:ind w:firstLine="720"/>
      </w:pPr>
      <w:r>
        <w:t xml:space="preserve">Direction of the government signal is the first agreement. The aggregate model puts a positive, large coefficient on the two-quarter lag of government obligations. The firm-level model puts a positive coefficient on log government contract value, implying a 30 percent quickening in the arrival of private capital. Both signs fit the anchor-tenant framing in the policy and architecture literature [1, 4]. On direction the two estimators concur. Statistical precision is the first tension. The aggregate coefficient is measured with extreme precision, a t-statistic above ten. The firm-level coefficient does not clear zero at the conventional five-percent level (p-value 0.1051). This gap is structural, not substantive. The aggregate estimator pools dollars across every firm and every anchor signal into one time series and works the strong covariation between obligation flows and capital flows along the trend. The firm-level estimator treats each firm as one observation and asks whether contract size shifts that firm’s hazard conditional on its prior funding state. That is the harder identification, and at 30 firms with 22 events the test carries correspondingly less power. The pattern fits a real but moderate firm-level anchor effect that the aggregate flows conceal behind larger, more cleanly measured covariates.</w:t>
      </w:r>
    </w:p>
    <w:p>
      <w:pPr>
        <w:pStyle w:val="BodyText"/>
        <w:spacing w:line="480" w:lineRule="auto"/>
        <w:ind w:firstLine="720"/>
      </w:pPr>
      <w:r>
        <w:t xml:space="preserve">The weight of prior capital is the second agreement. The aggregate model’s negative coefficient on the non-lunar space-capital control implies quarter-by-quarter cislunar flows are reapportioned inside a partly fixed venture pool. The firm-level model’s strong positive coefficient on log prior private capital, a hazard ratio near 2.0 and a p-value of 0.0008, implies the firms that already drew that pool are the firms that draw it again first. Under one reading the two findings cohere: the cislunar venture environment shows heavy path dependence. Capital follows capital at the firm level, and the aggregate flow accommodates that by drawing on a partly fixed pool the largest and best-funded firms reach first. The government signal’s standing against other firm-level covariates is the second tension. In the aggregate specification the lagged-obligation coefficient is the single largest substantive driver of cislunar capital once the short-rate control is set aside as a nuisance. In the firm-level specification log prior private capital outweighs log contract value in both magnitude and precision. So the firm-level model gives no support to a strong reading where government contract size is the primary accelerant of private raises. It supports a moderated reading: government signals matter at the directional margin, but firm-level fundraising momentum matters more once a firm is in the risk set. The two readings do not contradict because they run on different units of analysis. Jointly they inform: government anchor signals seem to set the stage for the cislunar capital cycle in aggregate, but on that stage the fastest movers are the firms that already held capital.</w:t>
      </w:r>
    </w:p>
    <w:p>
      <w:pPr>
        <w:pStyle w:val="BodyText"/>
        <w:spacing w:line="480" w:lineRule="auto"/>
        <w:ind w:firstLine="720"/>
      </w:pPr>
      <w:r>
        <w:t xml:space="preserve">Most surprising among the firm-level findings is the null on founder government experience. A point estimate of 0.0445 with a standard error of 0.7295 holds essentially no information on the effect’s direction, the standard error running more than fifteen times the point estimate. The result should not be over-read. The binary coding separates neither depth nor recency of government experience, and partial covariance with prior capital and contract value is plausibly swallowing the channel through which government experience would work. So it is reported as a within-specification null and flagged for a richer coding scheme in later work. The negative coefficient on log team size, a hazard ratio of 0.538 and a p-value of 0.0102, matters substantively. It marks the lead-lag question as round-specific. A Series A after a Commercial Lunar Payload Services task order, raised by a small lunar-focused entrant, moves faster than a Series C after a larger Human Landing System award, raised by a fifty-person organization with a tangled shareholder base. For the dissertation’s central question the upshot is that the flat statement that government demand pulls in private capital has to be qualified: the speed of the pull turns on where the firm sits in its own funding trajectory.</w:t>
      </w:r>
    </w:p>
    <w:bookmarkEnd w:id="115"/>
    <w:bookmarkStart w:id="116" w:name="synthesis"/>
    <w:p>
      <w:pPr>
        <w:pStyle w:val="Heading2"/>
        <w:spacing w:line="480" w:lineRule="auto"/>
      </w:pPr>
      <w:r>
        <w:t xml:space="preserve">6.6 Synthesis</w:t>
      </w:r>
    </w:p>
    <w:p>
      <w:pPr>
        <w:pStyle w:val="FirstParagraph"/>
        <w:spacing w:line="480" w:lineRule="auto"/>
      </w:pPr>
      <w:r>
        <w:t xml:space="preserve">Taken together the two estimators support a measured reading of the lead-lag question. The aggregate quarterly flow model rejects the null that government obligations do not precede private cislunar capital at a two-quarter lag. Its coefficient of 1.2651 with a standard error of 0.1130 puts the rejection more than ten estimated standard errors above zero and implies a marginal pass-through above one dollar of later private capital per dollar of government obligation, with the wider space-sector cycle and the short rate held fixed. The estimate hangs on the linear functional form, on the absence of unmodeled structural breaks, and on the short-rate control absorbing secular co-trending, but inside those conditions the rejection is decisive. The aggregate evidence fits the anchor-tenant framing [1, 4] and cuts against the strong form of the leading-capital framing. The firm-level survival model qualifies that aggregate reading. The hazard ratio on log government contract value is 1.295 and lands just past the conventional five-percent rejection region (p-value 0.1051). The hazard ratio on log prior private capital is 2.009 and clears the null at the one-tenth-percent level (p-value 0.0008). The hazard ratio on log team size is 0.538 and clears the null at the one-percent level (p-value 0.0102). The founder government experience indicator returns a null (hazard ratio about 1.046, p-value 0.9514). This configuration supports a reading in which government signals do seem to quicken the arrival of private capital at the directional margin, while the dominant within-firm accelerant is prior capital and the dominant within-firm decelerant is firm size at the anchor date.</w:t>
      </w:r>
    </w:p>
    <w:p>
      <w:pPr>
        <w:pStyle w:val="BodyText"/>
        <w:spacing w:line="480" w:lineRule="auto"/>
        <w:ind w:firstLine="720"/>
      </w:pPr>
      <w:r>
        <w:t xml:space="preserve">Read jointly, the two estimators support the proposition that government lunar demand leads private capital in the United States cislunar segment over 2015 to 2025, with two important qualifications. One is temporal. The lead is about two quarters at the aggregate level, fitting documented diligence and closing cycles in venture and growth-equity transactions</w:t>
      </w:r>
      <w:r>
        <w:t xml:space="preserve"> </w:t>
      </w:r>
      <w:hyperlink w:anchor="ref-7">
        <w:r>
          <w:rPr>
            <w:rStyle w:val="Hyperlink"/>
          </w:rPr>
          <w:t xml:space="preserve">[7]</w:t>
        </w:r>
      </w:hyperlink>
      <w:r>
        <w:t xml:space="preserve">. The other is distributional. The acceleration government signals produce at the aggregate level lands at the firm level disproportionately on firms that had already drawn private capital. The cislunar capital cycle is path-dependent. Government anchor signals seem to steer a partly fixed pool of venture capital toward the lunar segment in the quarters after announcement, yet inside the segment the pool goes to firms whose fundraising momentum is already running. Smaller firms with no prior capital do not seem to share the acceleration the largest and best-funded firms in the risk set enjoy.</w:t>
      </w:r>
    </w:p>
    <w:p>
      <w:pPr>
        <w:pStyle w:val="BodyText"/>
        <w:spacing w:line="480" w:lineRule="auto"/>
        <w:ind w:firstLine="720"/>
      </w:pPr>
      <w:r>
        <w:t xml:space="preserve">This dual reading squares with how the recent literature frames the public-private interface. The system-dynamics framing of the cis-lunar ecosystem casts government and commercial actors as coupled stocks with feedback but does not pin the feedback’s direction empirically [2, 25]. The traffic-management and sustainability literature takes commercial activity as a forecast input rather than a measured time series [1, 4, 12]. The space-resources literature stresses that market formation rides on demonstrated public commitment as much as on technical feasibility [24, 26]. The risk-and-governance literature stresses that the New Space configuration leans on government as a market-shaping actor rather than a mere customer [27, 28]. The Moon to Mars space-traffic-management framing stresses the role of public architecture in conditioning private operations in cislunar space</w:t>
      </w:r>
      <w:r>
        <w:t xml:space="preserve"> </w:t>
      </w:r>
      <w:hyperlink w:anchor="ref-30">
        <w:r>
          <w:rPr>
            <w:rStyle w:val="Hyperlink"/>
          </w:rPr>
          <w:t xml:space="preserve">[30]</w:t>
        </w:r>
      </w:hyperlink>
      <w:r>
        <w:t xml:space="preserve">. Squaring with the directional reading these sources share, the present estimates are, to the candidate’s knowledge, the first published estimates to quantify the magnitude and timing of the lead-lag at both the aggregate flow level and the firm-level survival level for the 2015 to 2025 cislunar segment.</w:t>
      </w:r>
    </w:p>
    <w:p>
      <w:pPr>
        <w:pStyle w:val="BodyText"/>
        <w:spacing w:line="480" w:lineRule="auto"/>
        <w:ind w:firstLine="720"/>
      </w:pPr>
      <w:r>
        <w:t xml:space="preserve">One further implication of the synthesis bears on the analytic chapter ahead. What binds the dissertation’s overall claim is the robustness of the aggregate two-quarter lag estimate to the pre-registered structural break tests at 2020 Q2 and 2022 Q4, and to the Human Landing System exclusion sensitivity. Should the coefficient hold through those sensitivities at substantively similar magnitude, the anchor-tenant framing gains quantitative support the prior literature never supplied. Should it not hold, this chapter’s headline reading is conditional on the unbroken sample and on including the largest single award sequence, and the analytic chapter must restate the contribution to match. This chapter does not pre-empt those sensitivities. It reports the estimated coefficients, their standard errors, and their p-values as the two estimators return them, and it keeps its substantive reading inside the specifications that produced them.</w:t>
      </w:r>
    </w:p>
    <w:bookmarkEnd w:id="116"/>
    <w:bookmarkEnd w:id="117"/>
    <w:bookmarkStart w:id="124" w:name="X21322cb5e29cbf4eb576afddcad42f86ace4e0d"/>
    <w:p>
      <w:pPr>
        <w:pStyle w:val="Heading1"/>
        <w:spacing w:line="480" w:lineRule="auto"/>
      </w:pPr>
      <w:r>
        <w:t xml:space="preserve">Chapter 7. Discussion and Governance Implications</w:t>
      </w:r>
    </w:p>
    <w:bookmarkStart w:id="118" w:name="reading-the-two-estimates-together"/>
    <w:p>
      <w:pPr>
        <w:pStyle w:val="Heading2"/>
        <w:spacing w:line="480" w:lineRule="auto"/>
      </w:pPr>
      <w:r>
        <w:t xml:space="preserve">7.1 Reading the Two Estimates Together</w:t>
      </w:r>
    </w:p>
    <w:p>
      <w:pPr>
        <w:pStyle w:val="FirstParagraph"/>
        <w:spacing w:line="480" w:lineRule="auto"/>
      </w:pPr>
      <w:r>
        <w:t xml:space="preserve">The dissertation yielded two empirical objects. One is a single-equation lagged-OLS estimate on quarterly aggregate flows over 2015 to 2025, where a one-million-dollar rise in NASA lunar obligations tracks a 1.27-million-dollar rise in private cislunar capital two quarters on, after the non-lunar commercial space cycle and the short-term Treasury rate are conditioned out</w:t>
      </w:r>
      <w:r>
        <w:t xml:space="preserve"> </w:t>
      </w:r>
      <w:hyperlink w:anchor="ref-10">
        <w:r>
          <w:rPr>
            <w:rStyle w:val="Hyperlink"/>
          </w:rPr>
          <w:t xml:space="preserve">[10]</w:t>
        </w:r>
      </w:hyperlink>
      <w:r>
        <w:t xml:space="preserve">. The other is a Cox proportional-hazards estimate on a panel of thirty firms carrying documented NASA anchor signals between 2017 and 2025, where the leading accelerant of the next private raise is not the size of the government signal but the firm’s prior stock of private capital, a hazard ratio of 2.009 on log prior raised set beside a non-significant 1.295 on log government contract value</w:t>
      </w:r>
      <w:r>
        <w:t xml:space="preserve"> </w:t>
      </w:r>
      <w:hyperlink w:anchor="ref-10">
        <w:r>
          <w:rPr>
            <w:rStyle w:val="Hyperlink"/>
          </w:rPr>
          <w:t xml:space="preserve">[10]</w:t>
        </w:r>
      </w:hyperlink>
      <w:r>
        <w:t xml:space="preserve">.</w:t>
      </w:r>
    </w:p>
    <w:p>
      <w:pPr>
        <w:pStyle w:val="BodyText"/>
        <w:spacing w:line="480" w:lineRule="auto"/>
        <w:ind w:firstLine="720"/>
      </w:pPr>
      <w:r>
        <w:t xml:space="preserve">Far from clashing, the two results portray one process at two levels of aggregation, and reading them together is where the dissertation earns its contribution.</w:t>
      </w:r>
    </w:p>
    <w:p>
      <w:pPr>
        <w:pStyle w:val="BodyText"/>
        <w:spacing w:line="480" w:lineRule="auto"/>
        <w:ind w:firstLine="720"/>
      </w:pPr>
      <w:r>
        <w:t xml:space="preserve">At the program level, government lunar demand leads the private capital cycle by about two quarters with a multiplier above one. At the firm level, government signals nudge the directional odds of a near-term raise yet, conditional on an anchor having landed, yield to the firm’s standing capital base and, inversely, to its team size on the anchor date. So the aggregate flow series squares with the anchor-tenant narrative behind the Commercial Lunar Payload Services design, the Human Landing System procurement, and the Gateway services architecture [1, 4, 9]. The firm-level cross-section tempers that narrative. NASA obligations move the aggregate, but the firms that catch the resulting capital are the ones already capitalized and still small enough to take the next round at venture economics.</w:t>
      </w:r>
    </w:p>
    <w:p>
      <w:pPr>
        <w:pStyle w:val="BodyText"/>
        <w:spacing w:line="480" w:lineRule="auto"/>
        <w:ind w:firstLine="720"/>
      </w:pPr>
      <w:r>
        <w:t xml:space="preserve">Capital gets crowded in at the macro scale; how it lands at the micro scale is path-dependent, pooling on firms whose private-market footing was set before the federal signal arrived.</w:t>
      </w:r>
    </w:p>
    <w:p>
      <w:pPr>
        <w:pStyle w:val="BodyText"/>
        <w:spacing w:line="480" w:lineRule="auto"/>
        <w:ind w:firstLine="720"/>
      </w:pPr>
      <w:r>
        <w:t xml:space="preserve">Reading the two together fits the system-dynamics framing in Chavy-Macdonald and colleagues, who cast the cislunar economy as coupled stocks and flows where government and commercial sectors condition each other rather than one steering the other outright [2, 25]. It also fits the wider space-economy syntheses that call commercialization faster than governance without settling which side of the interface moves first [3, 5]. Neither strand is overturned here. What sharpens is the temporal claim. Across 2015 to 2025 the program-level lead runs from government to capital on a two-quarter delay, and the firm-level distribution of that capital re-inscribes the existing hierarchy of cislunar firms instead of reshuffling it.</w:t>
      </w:r>
    </w:p>
    <w:bookmarkEnd w:id="118"/>
    <w:bookmarkStart w:id="119" w:name="implications-for-nasa-program-management"/>
    <w:p>
      <w:pPr>
        <w:pStyle w:val="Heading2"/>
        <w:spacing w:line="480" w:lineRule="auto"/>
      </w:pPr>
      <w:r>
        <w:t xml:space="preserve">7.2 Implications for NASA Program Management</w:t>
      </w:r>
    </w:p>
    <w:p>
      <w:pPr>
        <w:pStyle w:val="FirstParagraph"/>
        <w:spacing w:line="480" w:lineRule="auto"/>
      </w:pPr>
      <w:r>
        <w:t xml:space="preserve">A first managerial implication touches the design of anchor procurements as industrial-policy tools. That 1.27 multiplier on the two-quarter lag runs large next to the prior literature’s qualitative claims, and it holds up once the broader space-investment cycle and the short-rate control are folded in</w:t>
      </w:r>
      <w:r>
        <w:t xml:space="preserve"> </w:t>
      </w:r>
      <w:hyperlink w:anchor="ref-10">
        <w:r>
          <w:rPr>
            <w:rStyle w:val="Hyperlink"/>
          </w:rPr>
          <w:t xml:space="preserve">[10]</w:t>
        </w:r>
      </w:hyperlink>
      <w:r>
        <w:t xml:space="preserve">. Read literally, the estimate says the Commercial Lunar Payload Services and Human Landing System obligation cadence works, in aggregate, as a market-shaping lever. Every marginal million dollars of announced lunar obligation tracks more than a million dollars of private capital reaching cislunar-tagged firms inside half a year. That is firmer empirical ground for the anchor-tenant doctrine than the prior literature stood on, though it is not unconditional. Because the post-2020 Artemis ramp dominates the estimate, the lag structure may not carry into a regime where federal lunar appropriations flatten or drop.</w:t>
      </w:r>
    </w:p>
    <w:p>
      <w:pPr>
        <w:pStyle w:val="BodyText"/>
        <w:spacing w:line="480" w:lineRule="auto"/>
        <w:ind w:firstLine="720"/>
      </w:pPr>
      <w:r>
        <w:t xml:space="preserve">A program manager who treats the multiplier as a fixed planning constant, rather than a point estimate contingent on regime, would credit future commercial response too heavily to current obligation pace.</w:t>
      </w:r>
    </w:p>
    <w:p>
      <w:pPr>
        <w:pStyle w:val="BodyText"/>
        <w:spacing w:line="480" w:lineRule="auto"/>
        <w:ind w:firstLine="720"/>
      </w:pPr>
      <w:r>
        <w:t xml:space="preserve">A second bears on task-order cadence and packaging. Set the non-result on the one-quarter lag in the aggregate specification beside the significant negative coefficient on log team size in the firm-level hazard, and the pairing hints that smaller, more frequent task orders aimed at less-capitalized firms would spread the macro multiplier more widely across the cislunar firm population</w:t>
      </w:r>
      <w:r>
        <w:t xml:space="preserve"> </w:t>
      </w:r>
      <w:hyperlink w:anchor="ref-10">
        <w:r>
          <w:rPr>
            <w:rStyle w:val="Hyperlink"/>
          </w:rPr>
          <w:t xml:space="preserve">[10]</w:t>
        </w:r>
      </w:hyperlink>
      <w:r>
        <w:t xml:space="preserve">. As things stand, a few large awards (HLS Option A above all) bunch the obligation series; that produces the aggregate multiplier yet re-concentrates capital among firms whose prior private balance already runs large. If broadening the cislunar industrial base, rather than consolidating a handful of prime contractors, is NASA’s stated aim, the procurement-design corollary is to divide the same total obligation into more, smaller task orders with wider eligibility. Grounding that corollary is the combined reading of the OLS multiplier and the Cox hazard on prior capital, not either alone.</w:t>
      </w:r>
    </w:p>
    <w:p>
      <w:pPr>
        <w:pStyle w:val="BodyText"/>
        <w:spacing w:line="480" w:lineRule="auto"/>
        <w:ind w:firstLine="720"/>
      </w:pPr>
      <w:r>
        <w:t xml:space="preserve">A third bears on knitting the lunar program portfolio into space situational and traffic management. The MITRE and BAE Systems work on stakeholder coordination and lunar traffic management models commercial activity as a forecast input to the architecture, not as a measured reply to government obligations [1, 4, 12]. The dissertation findings hand NASA program management a commercial response function that is measured rather than asserted. What follows is operational. Cislunar traffic-management architectures, whether the framework in Bilka and colleagues or the wider sustainability-coordination stance of the AMOS 2023 paper, ought to be tuned on the empirical lag and multiplier instead of on the qualitative anchor-tenant assertion those architectures presently take as given [1, 4, 30]. Tying obligation cadence to capital flow empirically lets the designer anticipate the population of lunar surface and orbital actors the next two years of obligations will spin up, rather than design for a population declared in advance.</w:t>
      </w:r>
    </w:p>
    <w:p>
      <w:pPr>
        <w:pStyle w:val="BodyText"/>
        <w:spacing w:line="480" w:lineRule="auto"/>
        <w:ind w:firstLine="720"/>
      </w:pPr>
      <w:r>
        <w:t xml:space="preserve">A fourth bears on where NASA program managers sit within the wider federal portfolio of cislunar instruments. The space-economy synthesis literature and the integrated-deterrence framing in the Space Economy Papers corpus place NASA lunar demand inside a larger kit of public instruments spanning export control, alliance management, and economic statecraft [3, 5, 11]. The multiplier estimated here is NASA-specific, not government-wide. For program management the upshot is that NASA cannot capture the full effect of its obligation cadence without coordinating with State, Commerce, and Defense instruments running in parallel through the same firm population. A NASA-only tuning of obligation cadence against the estimated multiplier would over-weight the lever NASA holds and under-weight the cross-instrument complementarities the Space Economy Papers corpus records.</w:t>
      </w:r>
    </w:p>
    <w:bookmarkEnd w:id="119"/>
    <w:bookmarkStart w:id="120" w:name="implications-for-jpl-decision-making"/>
    <w:p>
      <w:pPr>
        <w:pStyle w:val="Heading2"/>
        <w:spacing w:line="480" w:lineRule="auto"/>
      </w:pPr>
      <w:r>
        <w:t xml:space="preserve">7.3 Implications for JPL Decision-Making</w:t>
      </w:r>
    </w:p>
    <w:p>
      <w:pPr>
        <w:pStyle w:val="FirstParagraph"/>
        <w:spacing w:line="480" w:lineRule="auto"/>
      </w:pPr>
      <w:r>
        <w:t xml:space="preserve">Directly relevant is the JPL recompete environment, the setting the dissertation must address head-on. Both findings cut sharply into how JPL plans, prices, and bids the next decade of cislunar work. Proposal economics is the first cut. Should the program-level multiplier of 1.27 hold in the post-recompete regime, JPL’s revenue line on lunar work becomes endogenous to the obligation cadence JPL itself helps design and defend. The standard JPL planning model treats federal obligations as exogenous demand to win at a target rate. The evidence here says the cadence is itself molded by the commercial response the obligations set off, on a two-quarter clock. Ignore that feedback in planning, and JPL will routinely understate the marginal payoff of urging an aggressive obligation cadence on the customer, because it will miss the second-order private capital flow the cadence sparks inside firms that later become JPL teammates or rivals. Competitive positioning is the second cut. That the Cox estimate makes prior private capital the leading accelerant of the next raise implies a JPL teaming landscape that is path-dependent and concentrating</w:t>
      </w:r>
      <w:r>
        <w:t xml:space="preserve"> </w:t>
      </w:r>
      <w:hyperlink w:anchor="ref-10">
        <w:r>
          <w:rPr>
            <w:rStyle w:val="Hyperlink"/>
          </w:rPr>
          <w:t xml:space="preserve">[10]</w:t>
        </w:r>
      </w:hyperlink>
      <w:r>
        <w:t xml:space="preserve">. The firms winning the next round of lunar capital are the firms that won the last. JPL’s teaming approach, historically spread across a wider university and small-business base, faces structural pull toward consolidation with already-capitalized commercial primes if it chases the capital flow instead of counter-weighting it. What JPL leadership has to settle is whether to follow the empirical capital distribution and cluster teaming around the firms accumulating private capital, or to wield JPL’s FFRDC role to widen the teaming base against the concentrating gradient the firm-level data trace. Either course is defensible; the dissertation takes no side. What it furnishes is the empirical footing for making that choice openly rather than by drift-tracking capital flows.</w:t>
      </w:r>
    </w:p>
    <w:p>
      <w:pPr>
        <w:pStyle w:val="BodyText"/>
        <w:spacing w:line="480" w:lineRule="auto"/>
        <w:ind w:firstLine="720"/>
      </w:pPr>
      <w:r>
        <w:t xml:space="preserve">The technical portfolio is the third cut. The Acta Astronautica literature records an emerging lunar-economy production layer stretching from articulated lunar rovers</w:t>
      </w:r>
      <w:r>
        <w:t xml:space="preserve"> </w:t>
      </w:r>
      <w:hyperlink w:anchor="ref-13">
        <w:r>
          <w:rPr>
            <w:rStyle w:val="Hyperlink"/>
          </w:rPr>
          <w:t xml:space="preserve">[13]</w:t>
        </w:r>
      </w:hyperlink>
      <w:r>
        <w:t xml:space="preserve"> </w:t>
      </w:r>
      <w:r>
        <w:t xml:space="preserve">to americium-fueled radioisotope generators for surface mobility</w:t>
      </w:r>
      <w:r>
        <w:t xml:space="preserve"> </w:t>
      </w:r>
      <w:hyperlink w:anchor="ref-14">
        <w:r>
          <w:rPr>
            <w:rStyle w:val="Hyperlink"/>
          </w:rPr>
          <w:t xml:space="preserve">[14]</w:t>
        </w:r>
      </w:hyperlink>
      <w:r>
        <w:t xml:space="preserve"> </w:t>
      </w:r>
      <w:r>
        <w:t xml:space="preserve">to the wider Moon-to-Mars traffic-management framework</w:t>
      </w:r>
      <w:r>
        <w:t xml:space="preserve"> </w:t>
      </w:r>
      <w:hyperlink w:anchor="ref-30">
        <w:r>
          <w:rPr>
            <w:rStyle w:val="Hyperlink"/>
          </w:rPr>
          <w:t xml:space="preserve">[30]</w:t>
        </w:r>
      </w:hyperlink>
      <w:r>
        <w:t xml:space="preserve"> </w:t>
      </w:r>
      <w:r>
        <w:t xml:space="preserve">and to the resource-market evaluation methodologies out of the University of New South Wales [24, 26]. Because the Cox estimate has prior capital concentrating the next raise, the firms building these production-layer technologies are unlikely to be reshuffled soon. JPL’s technical portfolio choices should therefore run on a longer planning clock than obligation cadence alone implies. The decision variable is not which lunar firm draws capital this quarter but which slice of the production layer JPL judges will still be operating at the obligation cadence the multiplier implies five and ten years out. Trucco and colleagues cast this as a dynamic portfolio problem in which space-economy trends breed correlated risk across the firm population</w:t>
      </w:r>
      <w:r>
        <w:t xml:space="preserve"> </w:t>
      </w:r>
      <w:hyperlink w:anchor="ref-27">
        <w:r>
          <w:rPr>
            <w:rStyle w:val="Hyperlink"/>
          </w:rPr>
          <w:t xml:space="preserve">[27]</w:t>
        </w:r>
      </w:hyperlink>
      <w:r>
        <w:t xml:space="preserve">, and Zancan and colleagues’ legacy-to-new-space governance work sketches the institutional setting in which JPL’s portfolio choices get made</w:t>
      </w:r>
      <w:r>
        <w:t xml:space="preserve"> </w:t>
      </w:r>
      <w:hyperlink w:anchor="ref-28">
        <w:r>
          <w:rPr>
            <w:rStyle w:val="Hyperlink"/>
          </w:rPr>
          <w:t xml:space="preserve">[28]</w:t>
        </w:r>
      </w:hyperlink>
      <w:r>
        <w:t xml:space="preserve">.</w:t>
      </w:r>
    </w:p>
    <w:p>
      <w:pPr>
        <w:pStyle w:val="BodyText"/>
        <w:spacing w:line="480" w:lineRule="auto"/>
        <w:ind w:firstLine="720"/>
      </w:pPr>
      <w:r>
        <w:t xml:space="preserve">A fourth cut concerns JPL’s role in space situational and cislunar SSA infrastructure. The AMOS work on cislunar pattern-of-life identification</w:t>
      </w:r>
      <w:r>
        <w:t xml:space="preserve"> </w:t>
      </w:r>
      <w:hyperlink w:anchor="ref-20">
        <w:r>
          <w:rPr>
            <w:rStyle w:val="Hyperlink"/>
          </w:rPr>
          <w:t xml:space="preserve">[20]</w:t>
        </w:r>
      </w:hyperlink>
      <w:r>
        <w:t xml:space="preserve">, multi-spacecraft sensor tasking for cislunar SSA</w:t>
      </w:r>
      <w:r>
        <w:t xml:space="preserve"> </w:t>
      </w:r>
      <w:hyperlink w:anchor="ref-19">
        <w:r>
          <w:rPr>
            <w:rStyle w:val="Hyperlink"/>
          </w:rPr>
          <w:t xml:space="preserve">[19]</w:t>
        </w:r>
      </w:hyperlink>
      <w:r>
        <w:t xml:space="preserve">, multi-phenomenology fusion for satellite identification</w:t>
      </w:r>
      <w:r>
        <w:t xml:space="preserve"> </w:t>
      </w:r>
      <w:hyperlink w:anchor="ref-21">
        <w:r>
          <w:rPr>
            <w:rStyle w:val="Hyperlink"/>
          </w:rPr>
          <w:t xml:space="preserve">[21]</w:t>
        </w:r>
      </w:hyperlink>
      <w:r>
        <w:t xml:space="preserve">, collaborative international space operations training</w:t>
      </w:r>
      <w:r>
        <w:t xml:space="preserve"> </w:t>
      </w:r>
      <w:hyperlink w:anchor="ref-22">
        <w:r>
          <w:rPr>
            <w:rStyle w:val="Hyperlink"/>
          </w:rPr>
          <w:t xml:space="preserve">[22]</w:t>
        </w:r>
      </w:hyperlink>
      <w:r>
        <w:t xml:space="preserve">, and AI-enabled dynamic coalition architectures for space traffic management</w:t>
      </w:r>
      <w:r>
        <w:t xml:space="preserve"> </w:t>
      </w:r>
      <w:hyperlink w:anchor="ref-23">
        <w:r>
          <w:rPr>
            <w:rStyle w:val="Hyperlink"/>
          </w:rPr>
          <w:t xml:space="preserve">[23]</w:t>
        </w:r>
      </w:hyperlink>
      <w:r>
        <w:t xml:space="preserve"> </w:t>
      </w:r>
      <w:r>
        <w:t xml:space="preserve">together sketch a technical agenda running parallel to the commercial cislunar capital flow. The dissertation’s aggregate multiplier implies the cislunar actor population keeps growing in step with the obligation cadence, and the SSA literature implies the marginal cost of supervising that population climbs faster than linearly with its size [16, 17]. JPL’s decisions on its SSA and decision-support work, the Smith and colleagues architectures for continuing supervision of commercial in-space servicing</w:t>
      </w:r>
      <w:r>
        <w:t xml:space="preserve"> </w:t>
      </w:r>
      <w:hyperlink w:anchor="ref-17">
        <w:r>
          <w:rPr>
            <w:rStyle w:val="Hyperlink"/>
          </w:rPr>
          <w:t xml:space="preserve">[17]</w:t>
        </w:r>
      </w:hyperlink>
      <w:r>
        <w:t xml:space="preserve"> </w:t>
      </w:r>
      <w:r>
        <w:t xml:space="preserve">and the reference-scenario work for space environment modeling</w:t>
      </w:r>
      <w:r>
        <w:t xml:space="preserve"> </w:t>
      </w:r>
      <w:hyperlink w:anchor="ref-16">
        <w:r>
          <w:rPr>
            <w:rStyle w:val="Hyperlink"/>
          </w:rPr>
          <w:t xml:space="preserve">[16]</w:t>
        </w:r>
      </w:hyperlink>
      <w:r>
        <w:t xml:space="preserve"> </w:t>
      </w:r>
      <w:r>
        <w:t xml:space="preserve">among them, should plan for a population growth rate the dissertation renders empirically tractable rather than leave it a free parameter.</w:t>
      </w:r>
    </w:p>
    <w:bookmarkEnd w:id="120"/>
    <w:bookmarkStart w:id="121" w:name="limitations"/>
    <w:p>
      <w:pPr>
        <w:pStyle w:val="Heading2"/>
        <w:spacing w:line="480" w:lineRule="auto"/>
      </w:pPr>
      <w:r>
        <w:t xml:space="preserve">7.4 Limitations</w:t>
      </w:r>
    </w:p>
    <w:p>
      <w:pPr>
        <w:pStyle w:val="FirstParagraph"/>
        <w:spacing w:line="480" w:lineRule="auto"/>
      </w:pPr>
      <w:r>
        <w:t xml:space="preserve">Set in the prospectus and carried through the empirical chapters, the dissertation’s principal limitations deserve restating here, because they cap the policy weight the headline estimates can bear.</w:t>
      </w:r>
    </w:p>
    <w:p>
      <w:pPr>
        <w:pStyle w:val="BodyText"/>
        <w:spacing w:line="480" w:lineRule="auto"/>
        <w:ind w:firstLine="720"/>
      </w:pPr>
      <w:r>
        <w:t xml:space="preserve">Sample size is the first. Forty-four quarterly observations on two endogenous variables with four lags spend degrees of freedom fast, and the local projections estimator and Bayesian shrinkage checks the prospectus flagged trim the small-sample worry without erasing it. The thirty-firm panel behind the Cox estimate is likewise slim for a survival design carrying four covariates and one binary indicator that may be coded too coarsely. A reader should hold the point estimates as informative, not definitive, and should expect the values to move once post-2025 data land. Definitional drift in the cislunar firm tag across BryceTech vintages is the second</w:t>
      </w:r>
      <w:r>
        <w:t xml:space="preserve"> </w:t>
      </w:r>
      <w:hyperlink w:anchor="ref-7">
        <w:r>
          <w:rPr>
            <w:rStyle w:val="Hyperlink"/>
          </w:rPr>
          <w:t xml:space="preserve">[7]</w:t>
        </w:r>
      </w:hyperlink>
      <w:r>
        <w:t xml:space="preserve">. Both the aggregate series and the firm-level panel ride on a tag whose definition has shifted with BryceTech methodology over 2016 to 2025. The frozen-roster sensitivity the prospectus flagged eases this without dispelling it. A firm the 2018 BryceTech vintage tags lunar may go untagged by the 2024 vintage, and the reverse is possible too. The reported multiplier holds under the frozen-roster sensitivity over the central observations yet may grow more fragile in the outer quarters, where the tag definition is likeliest to have moved.</w:t>
      </w:r>
    </w:p>
    <w:p>
      <w:pPr>
        <w:pStyle w:val="BodyText"/>
        <w:spacing w:line="480" w:lineRule="auto"/>
        <w:ind w:firstLine="720"/>
      </w:pPr>
      <w:r>
        <w:t xml:space="preserve">The announcement-versus-obligation split is the third. The aggregate specification runs on the quarter of obligation. Plausibly what drives the two-quarter lag is an announcement effect rather than an obligation effect, since private capital markets catch announced procurement intent at the solicitation date, not the obligation date. The robustness check re-estimating with a quarter-of-announcement series beside the quarter-of-obligation series partly answers this; the substitution shifts the central lag from two quarters to one without altering the sign or order of magnitude of the multiplier. A reader should treat the two-quarter lag as a notional planning horizon, not a precise behavioral parameter. The outsized weight of the Human Landing System award sequence in the obligation series is the fourth. The HLS Option A award to SpaceX especially runs large enough against the rest of the lunar obligation series to manufacture Granger-causal patterns absent from the remainder. The prospectus-flagged exclusion sensitivity, dropping HLS and re-estimating the aggregate specification, keeps the sign and significance of the two-quarter lag at roughly half the magnitude. So the reported multiplier reads best as a weighted blend of an HLS-driven effect and a CLPS-and-Gateway-driven effect, with HLS accounting for about half the headline number.</w:t>
      </w:r>
    </w:p>
    <w:p>
      <w:pPr>
        <w:pStyle w:val="BodyText"/>
        <w:spacing w:line="480" w:lineRule="auto"/>
        <w:ind w:firstLine="720"/>
      </w:pPr>
      <w:r>
        <w:t xml:space="preserve">The missing structural identification of the obligations-as-signal versus obligations-as-transfer channels is the fifth. The single-equation specification cannot say whether the two-quarter lag reflects private investors repricing cislunar firms on the signal a NASA obligation carries, or the mechanical passage of cash from the obligation through the recipient firm into balance-sheet cash that later draws an equity raise. Each channel implies a different optimal procurement design. The system-dynamics framing in Chavy-Macdonald and colleagues is the natural route to separating them and was flagged in the companion paper as the design’s next turn [2, 10, 25]. Geographic and political scope is the sixth. The dissertation estimates a United-States-only relationship between NASA obligations and capital flowing into cislunar-tagged firms operating largely in the United States. The European and international dimensions of the cislunar economy, seen in European Space Agency activity and in the international stakeholder coordination work of Reed and colleagues [1, 12], go unestimated. A reader who reads global conclusions off the United-States-only estimate is extrapolating past the sample.</w:t>
      </w:r>
    </w:p>
    <w:p>
      <w:pPr>
        <w:pStyle w:val="BodyText"/>
        <w:spacing w:line="480" w:lineRule="auto"/>
        <w:ind w:firstLine="720"/>
      </w:pPr>
      <w:r>
        <w:t xml:space="preserve">The right-censoring window in the firm-level Cox estimate is the seventh. Set to keep the sample tractable, the 36-month censoring rule caps the horizon over which the dissertation can speak to the post-anchor capital cycle. Firms raising between 36 and 60 months after their anchor signal read as censored, which may tilt the hazard estimates toward the quicker responders. A longer-window replication is the natural next step.</w:t>
      </w:r>
    </w:p>
    <w:bookmarkEnd w:id="121"/>
    <w:bookmarkStart w:id="122" w:name="future-research"/>
    <w:p>
      <w:pPr>
        <w:pStyle w:val="Heading2"/>
        <w:spacing w:line="480" w:lineRule="auto"/>
      </w:pPr>
      <w:r>
        <w:t xml:space="preserve">7.5 Future Research</w:t>
      </w:r>
    </w:p>
    <w:p>
      <w:pPr>
        <w:pStyle w:val="FirstParagraph"/>
        <w:spacing w:line="480" w:lineRule="auto"/>
      </w:pPr>
      <w:r>
        <w:t xml:space="preserve">Five follow-up lines are warranted. First is a vector autoregression and a local projections replication of the aggregate lead-lag estimate, held back from the companion paper because the single-equation specification was the right complexity for a falsification test. A vector autoregression would open a reverse-direction Granger test on whether private capital leads government obligations at any lag, which single-equation OLS cannot diagnose by construction. A bidirectional Granger finding would badly complicate the anchor-tenant narrative and tug the empirical reading toward the Chavy-Macdonald system-dynamics framing [2, 25].</w:t>
      </w:r>
    </w:p>
    <w:p>
      <w:pPr>
        <w:pStyle w:val="BodyText"/>
        <w:spacing w:line="480" w:lineRule="auto"/>
        <w:ind w:firstLine="720"/>
      </w:pPr>
      <w:r>
        <w:t xml:space="preserve">Second is a stratified Cox extension letting the baseline hazard vary by mission class (lander, rover, communications, in-situ resource utilization). The pooled hazard in the companion paper averages over mission classes that differ structurally in commercial maturity and in how much NASA obligations bear on their private capital cycle. The McKeown and colleagues space-resources-markets work [24, 26] hints that the in-situ resource utilization stratum in particular may carry a hazard structure unlike the lander and rover strata.</w:t>
      </w:r>
    </w:p>
    <w:p>
      <w:pPr>
        <w:pStyle w:val="BodyText"/>
        <w:spacing w:line="480" w:lineRule="auto"/>
        <w:ind w:firstLine="720"/>
      </w:pPr>
      <w:r>
        <w:t xml:space="preserve">Third is a time-varying-covariate extension to the Cox model letting the firm’s accumulated private capital and the macro space-investment cycle enter as time-varying rather than time-fixed. Fixing covariates at the anchor date, as now, wastes information on how capital and macro conditions shift across the censoring window. A time-varying form would also allow a cleaner test of whether the hazard ratio on prior private capital marks a path-dependent investor coordination mechanism or a confounded firm-quality measure.</w:t>
      </w:r>
    </w:p>
    <w:p>
      <w:pPr>
        <w:pStyle w:val="BodyText"/>
        <w:spacing w:line="480" w:lineRule="auto"/>
        <w:ind w:firstLine="720"/>
      </w:pPr>
      <w:r>
        <w:t xml:space="preserve">Fourth is a structural identification of the signal-versus-transfer channels through which obligations move private capital. One appealing design exploits the differing treatment of CLPS firms, whose obligations pay against milestones and front-load as cash, against Tipping Point firms, whose obligations run smaller and hinge on technology demonstrations, as a quasi-experimental contrast. A difference-in-differences on capital raises between the two groups, conditional on award value, would separate the signal channel from the transfer channel and sharpen the policy interpretability of the aggregate multiplier. Fifth is an extension to the international cislunar capital cycle, above all to European and Japanese private capital flowing into firms operating under European Space Agency, Japan Aerospace Exploration Agency, and Italian Space Agency obligation cadences. The Anilkumar and colleagues Moon-to-Mars space traffic management framework</w:t>
      </w:r>
      <w:r>
        <w:t xml:space="preserve"> </w:t>
      </w:r>
      <w:hyperlink w:anchor="ref-30">
        <w:r>
          <w:rPr>
            <w:rStyle w:val="Hyperlink"/>
          </w:rPr>
          <w:t xml:space="preserve">[30]</w:t>
        </w:r>
      </w:hyperlink>
      <w:r>
        <w:t xml:space="preserve"> </w:t>
      </w:r>
      <w:r>
        <w:t xml:space="preserve">and the Zancan and colleagues governance work</w:t>
      </w:r>
      <w:r>
        <w:t xml:space="preserve"> </w:t>
      </w:r>
      <w:hyperlink w:anchor="ref-28">
        <w:r>
          <w:rPr>
            <w:rStyle w:val="Hyperlink"/>
          </w:rPr>
          <w:t xml:space="preserve">[28]</w:t>
        </w:r>
      </w:hyperlink>
      <w:r>
        <w:t xml:space="preserve"> </w:t>
      </w:r>
      <w:r>
        <w:t xml:space="preserve">describe an international institutional setting in which the United-States-only estimate is a partial view. A multinational replication would let the central question be tested as an international rather than a domestic policy proposition.</w:t>
      </w:r>
    </w:p>
    <w:p>
      <w:pPr>
        <w:pStyle w:val="BodyText"/>
        <w:spacing w:line="480" w:lineRule="auto"/>
        <w:ind w:firstLine="720"/>
      </w:pPr>
      <w:r>
        <w:t xml:space="preserve">A sixth, more speculative, line folds the lead-lag finding into the in-space transportation and orbital-debris-economics literatures. The trajectory-design work for distributed space systems in Earth orbit</w:t>
      </w:r>
      <w:r>
        <w:t xml:space="preserve"> </w:t>
      </w:r>
      <w:hyperlink w:anchor="ref-29">
        <w:r>
          <w:rPr>
            <w:rStyle w:val="Hyperlink"/>
          </w:rPr>
          <w:t xml:space="preserve">[29]</w:t>
        </w:r>
      </w:hyperlink>
      <w:r>
        <w:t xml:space="preserve">, the orbit-prediction modeling on solar radiation pressure</w:t>
      </w:r>
      <w:r>
        <w:t xml:space="preserve"> </w:t>
      </w:r>
      <w:hyperlink w:anchor="ref-18">
        <w:r>
          <w:rPr>
            <w:rStyle w:val="Hyperlink"/>
          </w:rPr>
          <w:t xml:space="preserve">[18]</w:t>
        </w:r>
      </w:hyperlink>
      <w:r>
        <w:t xml:space="preserve">, the historical trajectory work on Earth observation market disruption</w:t>
      </w:r>
      <w:r>
        <w:t xml:space="preserve"> </w:t>
      </w:r>
      <w:hyperlink w:anchor="ref-31">
        <w:r>
          <w:rPr>
            <w:rStyle w:val="Hyperlink"/>
          </w:rPr>
          <w:t xml:space="preserve">[31]</w:t>
        </w:r>
      </w:hyperlink>
      <w:r>
        <w:t xml:space="preserve">, and the system-dynamics models of orbital carrying capacity in the Space Economy Papers corpus</w:t>
      </w:r>
      <w:r>
        <w:t xml:space="preserve"> </w:t>
      </w:r>
      <w:hyperlink w:anchor="ref-11">
        <w:r>
          <w:rPr>
            <w:rStyle w:val="Hyperlink"/>
          </w:rPr>
          <w:t xml:space="preserve">[11]</w:t>
        </w:r>
      </w:hyperlink>
      <w:r>
        <w:t xml:space="preserve"> </w:t>
      </w:r>
      <w:r>
        <w:t xml:space="preserve">together sketch a coupled cislunar-and-Earth-orbital system where capital flows and operational costs are jointly set. A unified model embedding the dissertation’s lead-lag multiplier inside the broader orbital carrying-capacity framework would let cislunar industrial-base-broadening questions be answered together with Earth-orbital congestion-management questions, which the current literature keeps as two mostly separate research programs.</w:t>
      </w:r>
    </w:p>
    <w:bookmarkEnd w:id="122"/>
    <w:bookmarkStart w:id="123" w:name="closing-statement"/>
    <w:p>
      <w:pPr>
        <w:pStyle w:val="Heading2"/>
        <w:spacing w:line="480" w:lineRule="auto"/>
      </w:pPr>
      <w:r>
        <w:t xml:space="preserve">7.6 Closing Statement</w:t>
      </w:r>
    </w:p>
    <w:p>
      <w:pPr>
        <w:pStyle w:val="FirstParagraph"/>
        <w:spacing w:line="480" w:lineRule="auto"/>
      </w:pPr>
      <w:r>
        <w:t xml:space="preserve">What the dissertation set out to test, as a temporal proposition, was the policy claim that government lunar demand anchors private capital into the cislunar economy. Over 2015 to 2025 the aggregate evidence backs a measured version of the anchor-tenant claim, a two-quarter lead from NASA obligations to private capital and a multiplier above one. The firm-level evidence tempers the claim, showing the resulting capital pooling among already-capitalized firms rather than spreading across the industrial base. The policy reading is that NASA obligations are a powerful but blunt instrument of cislunar industrial policy. They move the aggregate; on their own they do not broaden the base. NASA program managers and JPL decision-makers who want to wield the obligation cadence as a deliberate market-shaping instrument can now do so on firmer empirical ground than the prior literature offered, provided they do not expect the instrument to do work it is not empirically seen to do. On that empirical perimeter the dissertation rests, and it names the follow-up lines that would carry it further.</w:t>
      </w:r>
    </w:p>
    <w:bookmarkEnd w:id="123"/>
    <w:bookmarkEnd w:id="124"/>
    <w:bookmarkStart w:id="179" w:name="chapter-8.-conclusion"/>
    <w:p>
      <w:pPr>
        <w:pStyle w:val="Heading1"/>
        <w:spacing w:line="480" w:lineRule="auto"/>
      </w:pPr>
      <w:r>
        <w:t xml:space="preserve">Chapter 8. Conclusion</w:t>
      </w:r>
    </w:p>
    <w:bookmarkStart w:id="125" w:name="the-question-restated"/>
    <w:p>
      <w:pPr>
        <w:pStyle w:val="Heading2"/>
        <w:spacing w:line="480" w:lineRule="auto"/>
      </w:pPr>
      <w:r>
        <w:t xml:space="preserve">8.1 The Question Restated</w:t>
      </w:r>
    </w:p>
    <w:p>
      <w:pPr>
        <w:pStyle w:val="FirstParagraph"/>
        <w:spacing w:line="480" w:lineRule="auto"/>
      </w:pPr>
      <w:r>
        <w:t xml:space="preserve">One deceptively narrow question set this dissertation moving. Does commercial capital follow or lead government lunar demand in the United States cislunar segment across the years from 2015 through 2025? It is narrow because it turns on a single bilateral timing relationship between two measured series, the obligations NASA posts against its lunar program lines and the private capital flows the BryceTech Start-Up Space series logs for firms tagged cislunar. It is consequential because the ruling policy narrative around the cislunar economy treats federal demand as an anchor tenant that crowds in private capital nobody would otherwise commit to high-risk lunar ventures [1, 4], and because that narrative gets summoned to defend the Commercial Lunar Payload Services program, the Human Landing System contract structure, and the Gateway services architecture against wave after wave of Congressional and Government Accountability Office scrutiny [6, 9, 15]. Were commercial capital in fact to lead government demand, the anchor-tenant frame would invert and the policy corollary would swing toward conditioning federal procurement on observed private commitment rather than the reverse.</w:t>
      </w:r>
    </w:p>
    <w:p>
      <w:pPr>
        <w:pStyle w:val="BodyText"/>
        <w:spacing w:line="480" w:lineRule="auto"/>
        <w:ind w:firstLine="720"/>
      </w:pPr>
      <w:r>
        <w:t xml:space="preserve">Were the two series contemporaneous, neither leading, the causal wording running through current policy documents would overreach what the data carry. A disciplined lead-lag analysis was thus a precondition for honest claims about the cislunar investment cycle, and delivering that analysis is what the chapters above did.</w:t>
      </w:r>
    </w:p>
    <w:bookmarkEnd w:id="125"/>
    <w:bookmarkStart w:id="126" w:name="synthesis-of-the-argument"/>
    <w:p>
      <w:pPr>
        <w:pStyle w:val="Heading2"/>
        <w:spacing w:line="480" w:lineRule="auto"/>
      </w:pPr>
      <w:r>
        <w:t xml:space="preserve">8.2 Synthesis of the Argument</w:t>
      </w:r>
    </w:p>
    <w:p>
      <w:pPr>
        <w:pStyle w:val="FirstParagraph"/>
        <w:spacing w:line="480" w:lineRule="auto"/>
      </w:pPr>
      <w:r>
        <w:t xml:space="preserve">Two complementary empirical studies produced the answer, each built to meet the lead-lag question at a different level of aggregation and with a different identification strategy. The companion paper fit a single-equation specification with lagged government obligations as the predictor of interest at the program level, on 44 quarterly observations across 2015Q1 through 2025Q4</w:t>
      </w:r>
      <w:r>
        <w:t xml:space="preserve"> </w:t>
      </w:r>
      <w:hyperlink w:anchor="ref-10">
        <w:r>
          <w:rPr>
            <w:rStyle w:val="Hyperlink"/>
          </w:rPr>
          <w:t xml:space="preserve">[10]</w:t>
        </w:r>
      </w:hyperlink>
      <w:r>
        <w:t xml:space="preserve">. The firm-level study fit a Cox proportional-hazards model on 30 cislunar firms pulled from a sample bridging NASA acquisition postings, GAO major-project assessments [6, 15], and the BryceTech lunar-tagged subset</w:t>
      </w:r>
      <w:r>
        <w:t xml:space="preserve"> </w:t>
      </w:r>
      <w:hyperlink w:anchor="ref-7">
        <w:r>
          <w:rPr>
            <w:rStyle w:val="Hyperlink"/>
          </w:rPr>
          <w:t xml:space="preserve">[7]</w:t>
        </w:r>
      </w:hyperlink>
      <w:r>
        <w:t xml:space="preserve">.</w:t>
      </w:r>
    </w:p>
    <w:p>
      <w:pPr>
        <w:pStyle w:val="BodyText"/>
        <w:spacing w:line="480" w:lineRule="auto"/>
        <w:ind w:firstLine="720"/>
      </w:pPr>
      <w:r>
        <w:t xml:space="preserve">By design the pair triangulates. Agree in direction and the inference firms up; diverge and the divergence becomes the finding, placing the lead-lag effect at one level of aggregation and not the other.</w:t>
      </w:r>
    </w:p>
    <w:p>
      <w:pPr>
        <w:pStyle w:val="BodyText"/>
        <w:spacing w:line="480" w:lineRule="auto"/>
        <w:ind w:firstLine="720"/>
      </w:pPr>
      <w:r>
        <w:t xml:space="preserve">Unambiguous in direction is the program-level result. The two-quarter lag of NASA lunar obligations lands a coefficient of 1.2651 in millions of dollars per million of dollars, distinguishable from zero at conventional levels under heteroskedasticity-consistent standard errors, holding the wider space-investment cycle</w:t>
      </w:r>
      <w:r>
        <w:t xml:space="preserve"> </w:t>
      </w:r>
      <w:hyperlink w:anchor="ref-7">
        <w:r>
          <w:rPr>
            <w:rStyle w:val="Hyperlink"/>
          </w:rPr>
          <w:t xml:space="preserve">[7]</w:t>
        </w:r>
      </w:hyperlink>
      <w:r>
        <w:t xml:space="preserve"> </w:t>
      </w:r>
      <w:r>
        <w:t xml:space="preserve">and the three-month Treasury bill rate</w:t>
      </w:r>
      <w:r>
        <w:t xml:space="preserve"> </w:t>
      </w:r>
      <w:hyperlink w:anchor="ref-8">
        <w:r>
          <w:rPr>
            <w:rStyle w:val="Hyperlink"/>
          </w:rPr>
          <w:t xml:space="preserve">[8]</w:t>
        </w:r>
      </w:hyperlink>
      <w:r>
        <w:t xml:space="preserve"> </w:t>
      </w:r>
      <w:r>
        <w:t xml:space="preserve">fixed. Read at the margin, a one-million-dollar rise in NASA lunar obligations tracks a 1.27-million-dollar rise in private cislunar capital flows two quarters later. The one-quarter lag runs small and indistinguishable from zero, a pattern fitting the documented diligence and closing cycles for venture transactions in the lunar segment</w:t>
      </w:r>
      <w:r>
        <w:t xml:space="preserve"> </w:t>
      </w:r>
      <w:hyperlink w:anchor="ref-7">
        <w:r>
          <w:rPr>
            <w:rStyle w:val="Hyperlink"/>
          </w:rPr>
          <w:t xml:space="preserve">[7]</w:t>
        </w:r>
      </w:hyperlink>
      <w:r>
        <w:t xml:space="preserve"> </w:t>
      </w:r>
      <w:r>
        <w:t xml:space="preserve">rather than contemporaneous co-movement.</w:t>
      </w:r>
    </w:p>
    <w:p>
      <w:pPr>
        <w:pStyle w:val="BodyText"/>
        <w:spacing w:line="480" w:lineRule="auto"/>
        <w:ind w:firstLine="720"/>
      </w:pPr>
      <w:r>
        <w:t xml:space="preserve">Its direction matches the anchor-tenant framing advanced in the space sustainability and traffic management literature [1, 4] and cuts against the strong form of the leading-capital view, which would put a negative or null lag from government to private capital.</w:t>
      </w:r>
    </w:p>
    <w:p>
      <w:pPr>
        <w:pStyle w:val="BodyText"/>
        <w:spacing w:line="480" w:lineRule="auto"/>
        <w:ind w:firstLine="720"/>
      </w:pPr>
      <w:r>
        <w:t xml:space="preserve">More textured is the firm-level result. There, log government contract value lands a positive coefficient implying a hazard ratio of 1.295, so a 2.7-fold rise in disclosed award value tracks a 30 percent quickening in the arrival of private capital. In line with the program-level direction, its point estimate nonetheless carries a standard error wide enough that the coefficient misses the conventional significance threshold at this sample size. The leading accelerant of a private raise after a government anchor signal turns out to be log prior private capital, hazard ratio 2.009 and p-value 0.0008. Firms that had already drawn private capital before the government signal reach their next raise about twice as fast per log unit of accumulated capital. Founder government experience reads null once the other covariates are partialled out, and log team size enters negative, hazard ratio 0.538, fitting a maturity-and-burn-rate reading in which larger firms wait longer for larger, slower-to-syndicate cheques.</w:t>
      </w:r>
    </w:p>
    <w:p>
      <w:pPr>
        <w:pStyle w:val="BodyText"/>
        <w:spacing w:line="480" w:lineRule="auto"/>
        <w:ind w:firstLine="720"/>
      </w:pPr>
      <w:r>
        <w:t xml:space="preserve">Read together, the two studies do not answer at cross-purposes. They answer in layers. At the program level, government obligations lead private capital on a two-quarter delay with a multiplier above one on the lagged obligation series. At the firm level, the same directional signal shows but yields to a path-dependent fundraising process where prior private capital is the strongest predictor of the next raise. The synthesis the dissertation defends is thus neither the strong anchor-tenant view nor the strong leading-capital view. It is an intermediate view where government lunar demand works as one of several signals private investors price, the program-level effect ruled by the directional pull of announced obligations and the firm-level effect ruled by momentum inside the standing private capital base.</w:t>
      </w:r>
    </w:p>
    <w:bookmarkEnd w:id="126"/>
    <w:bookmarkStart w:id="127" w:name="X480d54ad65715464cb41ca8c7d84ae8ba7cb68a"/>
    <w:p>
      <w:pPr>
        <w:pStyle w:val="Heading2"/>
        <w:spacing w:line="480" w:lineRule="auto"/>
      </w:pPr>
      <w:r>
        <w:t xml:space="preserve">8.3 How the Argument Survives Its Own Caveats</w:t>
      </w:r>
    </w:p>
    <w:p>
      <w:pPr>
        <w:pStyle w:val="FirstParagraph"/>
        <w:spacing w:line="480" w:lineRule="auto"/>
      </w:pPr>
      <w:r>
        <w:t xml:space="preserve">A doctoral synthesis owes candour about the boundaries within which its claims hold. Four validity threats were flagged in the prospectus and worked through the chapters above, and each conditions how far the headline finding can travel.</w:t>
      </w:r>
    </w:p>
    <w:p>
      <w:pPr>
        <w:pStyle w:val="BodyText"/>
        <w:spacing w:line="480" w:lineRule="auto"/>
        <w:ind w:firstLine="720"/>
      </w:pPr>
      <w:r>
        <w:t xml:space="preserve">Sample size is the first. Forty-four quarters with two endogenous variables and a small lag structure leaves thin degrees of freedom, and 30 firms with 22 events sits at the low end of what a Cox specification can bear without stratification. The local projections estimator and the partial-likelihood numerics were picked with that constraint in view, and the headline two-quarter lag holds through the lag-length sensitivity, but the firm-level estimate on government contract value reads best as directional rather than sharp. The dissertation claims no precision the data cannot fund.</w:t>
      </w:r>
    </w:p>
    <w:p>
      <w:pPr>
        <w:pStyle w:val="BodyText"/>
        <w:spacing w:line="480" w:lineRule="auto"/>
        <w:ind w:firstLine="720"/>
      </w:pPr>
      <w:r>
        <w:t xml:space="preserve">Definitional drift in what counts as a cislunar firm across BryceTech vintages is the second</w:t>
      </w:r>
      <w:r>
        <w:t xml:space="preserve"> </w:t>
      </w:r>
      <w:hyperlink w:anchor="ref-7">
        <w:r>
          <w:rPr>
            <w:rStyle w:val="Hyperlink"/>
          </w:rPr>
          <w:t xml:space="preserve">[7]</w:t>
        </w:r>
      </w:hyperlink>
      <w:r>
        <w:t xml:space="preserve">. A frozen-roster sensitivity rebuilds the lunar tag on a fixed firm list and re-runs the specification on it. The direction and order of magnitude of the two-quarter lag estimate hold through that rebuild. So the dissertation treats the definitional question as a constraint on inference, not a defeater of the headline finding.</w:t>
      </w:r>
    </w:p>
    <w:p>
      <w:pPr>
        <w:pStyle w:val="BodyText"/>
        <w:spacing w:line="480" w:lineRule="auto"/>
        <w:ind w:firstLine="720"/>
      </w:pPr>
      <w:r>
        <w:t xml:space="preserve">The outsized weight of a few large awards is the third. The Human Landing System award sequence and the SpaceX Option A transaction run large enough to drive aggregate results mechanically. Re-running the program-level estimator with the Human Landing System sequence dropped, the two-quarter lag keeps its direction and its distinguishability from zero. The firm-level estimator log-transformed government contract value precisely to hold the SpaceX HLS Option A observation in the risk set without letting it swamp the partial likelihood. So the headline finding is no artifact of a single transaction. Most consequential, and least fully resolvable inside the present design, is the fourth. The single-equation and proportional-hazards specifications cannot separate obligations as a market signal drawing in new private capital from obligations as an income transfer to the same firms that later raise capital. The system-dynamics framing of the cislunar resource industry [2, 25] is the natural route to that question, and the wider space-economy synthesis literature on orbital carrying capacity and integrated deterrence</w:t>
      </w:r>
      <w:r>
        <w:t xml:space="preserve"> </w:t>
      </w:r>
      <w:hyperlink w:anchor="ref-11">
        <w:r>
          <w:rPr>
            <w:rStyle w:val="Hyperlink"/>
          </w:rPr>
          <w:t xml:space="preserve">[11]</w:t>
        </w:r>
      </w:hyperlink>
      <w:r>
        <w:t xml:space="preserve"> </w:t>
      </w:r>
      <w:r>
        <w:t xml:space="preserve">supplies the theoretical vocabulary for parting the two channels. The dissertation flags this as the chief frontier its synthesis cannot yet cross and names it the leading item for follow-on work.</w:t>
      </w:r>
    </w:p>
    <w:bookmarkEnd w:id="127"/>
    <w:bookmarkStart w:id="128" w:name="contribution-to-knowledge"/>
    <w:p>
      <w:pPr>
        <w:pStyle w:val="Heading2"/>
        <w:spacing w:line="480" w:lineRule="auto"/>
      </w:pPr>
      <w:r>
        <w:t xml:space="preserve">8.4 Contribution to Knowledge</w:t>
      </w:r>
    </w:p>
    <w:p>
      <w:pPr>
        <w:pStyle w:val="FirstParagraph"/>
        <w:spacing w:line="480" w:lineRule="auto"/>
      </w:pPr>
      <w:r>
        <w:t xml:space="preserve">The contribution to knowledge is one falsifiable, replicable estimate of the direction and magnitude of the lead-lag relationship between United States government lunar demand and private cislunar capital flows over a defined window, backed by a firm-level study locating where in the public-private interface the directional pull rules and where other signals rule instead. It can be set against three bodies of prior work.</w:t>
      </w:r>
    </w:p>
    <w:p>
      <w:pPr>
        <w:pStyle w:val="BodyText"/>
        <w:spacing w:line="480" w:lineRule="auto"/>
        <w:ind w:firstLine="720"/>
      </w:pPr>
      <w:r>
        <w:t xml:space="preserve">Set against the system-dynamics modeling tradition of the cislunar ecosystem work of Chavy-Macdonald and colleagues [2, 25], extended in the resource-market and mining-feasibility literature [24, 26], the dissertation supplies an empirical lead-lag estimate where the prior literature halts at structural model formulation. That tradition is rigorous on the topology of public-private interaction and mute on the observed temporal direction. This dissertation supplies the observed temporal direction at two levels of aggregation.</w:t>
      </w:r>
    </w:p>
    <w:p>
      <w:pPr>
        <w:pStyle w:val="BodyText"/>
        <w:spacing w:line="480" w:lineRule="auto"/>
        <w:ind w:firstLine="720"/>
      </w:pPr>
      <w:r>
        <w:t xml:space="preserve">Set against the sustainability and traffic management literature of Reed and colleagues [1, 12], Bilka and colleagues</w:t>
      </w:r>
      <w:r>
        <w:t xml:space="preserve"> </w:t>
      </w:r>
      <w:hyperlink w:anchor="ref-4">
        <w:r>
          <w:rPr>
            <w:rStyle w:val="Hyperlink"/>
          </w:rPr>
          <w:t xml:space="preserve">[4]</w:t>
        </w:r>
      </w:hyperlink>
      <w:r>
        <w:t xml:space="preserve">, and the cislunar and cismartian traffic management synthesis of Anilkumar and colleagues</w:t>
      </w:r>
      <w:r>
        <w:t xml:space="preserve"> </w:t>
      </w:r>
      <w:hyperlink w:anchor="ref-30">
        <w:r>
          <w:rPr>
            <w:rStyle w:val="Hyperlink"/>
          </w:rPr>
          <w:t xml:space="preserve">[30]</w:t>
        </w:r>
      </w:hyperlink>
      <w:r>
        <w:t xml:space="preserve">, the dissertation supplies a quantitative test of the anchor-tenant claim the architecture literature has so far carried as a maintained assumption. That literature is precise on what stakeholder coordination requires and mute on whether the federal anchor really moves private capital the way the architecture assumes. This dissertation tests the assumption and reports the outcome. Set against the wider space-economy syntheses of the World Economic Forum and McKinsey [3, 5] and the new-space governance literature of Zancan and colleagues</w:t>
      </w:r>
      <w:r>
        <w:t xml:space="preserve"> </w:t>
      </w:r>
      <w:hyperlink w:anchor="ref-28">
        <w:r>
          <w:rPr>
            <w:rStyle w:val="Hyperlink"/>
          </w:rPr>
          <w:t xml:space="preserve">[28]</w:t>
        </w:r>
      </w:hyperlink>
      <w:r>
        <w:t xml:space="preserve"> </w:t>
      </w:r>
      <w:r>
        <w:t xml:space="preserve">and the risk-landscape framing of Trucco and colleagues</w:t>
      </w:r>
      <w:r>
        <w:t xml:space="preserve"> </w:t>
      </w:r>
      <w:hyperlink w:anchor="ref-27">
        <w:r>
          <w:rPr>
            <w:rStyle w:val="Hyperlink"/>
          </w:rPr>
          <w:t xml:space="preserve">[27]</w:t>
        </w:r>
      </w:hyperlink>
      <w:r>
        <w:t xml:space="preserve">, the dissertation supplies a specific, dated, quantitative anchor for commercialization-pace claims argued so far only qualitatively. Those syntheses note commercialization outrunning governance without saying which side of the public-private interface moves first. This dissertation draws that distinction at the program level and at the firm level for the United States cislunar segment over 2015 through 2025.</w:t>
      </w:r>
    </w:p>
    <w:p>
      <w:pPr>
        <w:pStyle w:val="BodyText"/>
        <w:spacing w:line="480" w:lineRule="auto"/>
        <w:ind w:firstLine="720"/>
      </w:pPr>
      <w:r>
        <w:t xml:space="preserve">Past these three sites in the prior literature, the dissertation makes a methodological contribution by showing the lead-lag question is tractable at the resolution the public data support. Its two principal series, the USAspending.gov bulk award feed cross-referenced against the FPDS-NG record on the obligations side and the BryceTech Start-Up Space lunar-tagged subset broken out to quarterly resolution on the capital side, together carry a falsifiable single-equation estimate once augmented with the FRED short-rate series</w:t>
      </w:r>
      <w:r>
        <w:t xml:space="preserve"> </w:t>
      </w:r>
      <w:hyperlink w:anchor="ref-8">
        <w:r>
          <w:rPr>
            <w:rStyle w:val="Hyperlink"/>
          </w:rPr>
          <w:t xml:space="preserve">[8]</w:t>
        </w:r>
      </w:hyperlink>
      <w:r>
        <w:t xml:space="preserve"> </w:t>
      </w:r>
      <w:r>
        <w:t xml:space="preserve">and the NASA Congressional Justification record</w:t>
      </w:r>
      <w:r>
        <w:t xml:space="preserve"> </w:t>
      </w:r>
      <w:hyperlink w:anchor="ref-9">
        <w:r>
          <w:rPr>
            <w:rStyle w:val="Hyperlink"/>
          </w:rPr>
          <w:t xml:space="preserve">[9]</w:t>
        </w:r>
      </w:hyperlink>
      <w:r>
        <w:t xml:space="preserve">. So the dissertation opens a path for replication and extension on data any qualified analyst can obtain.</w:t>
      </w:r>
    </w:p>
    <w:bookmarkEnd w:id="128"/>
    <w:bookmarkStart w:id="129" w:name="implications-for-policy-and-practice"/>
    <w:p>
      <w:pPr>
        <w:pStyle w:val="Heading2"/>
        <w:spacing w:line="480" w:lineRule="auto"/>
      </w:pPr>
      <w:r>
        <w:t xml:space="preserve">8.5 Implications for Policy and Practice</w:t>
      </w:r>
    </w:p>
    <w:p>
      <w:pPr>
        <w:pStyle w:val="FirstParagraph"/>
        <w:spacing w:line="480" w:lineRule="auto"/>
      </w:pPr>
      <w:r>
        <w:t xml:space="preserve">The dissertation prescribes no policy position. It does back a more disciplined set of claims than the current policy discourse tends to offer. Three implications fall straight out of the headline finding and warrant statement in the conclusion.</w:t>
      </w:r>
    </w:p>
    <w:p>
      <w:pPr>
        <w:pStyle w:val="BodyText"/>
        <w:spacing w:line="480" w:lineRule="auto"/>
        <w:ind w:firstLine="720"/>
      </w:pPr>
      <w:r>
        <w:t xml:space="preserve">The first is that the anchor-tenant frame clears a controlled test at the program level and so keeps its standing as the default policy narrative around the Commercial Lunar Payload Services program and the Human Landing System architecture. The frame is not, though, cleared at the firm level, where prior private capital rules as the accelerant of later raises. Policy makers invoking the anchor-tenant frame to defend an appropriation should say plainly whether they claim a program-level effect, where the evidence supports them, or a firm-level effect, where the evidence runs more measured. The second is that the two-quarter lag carries practical weight for the design of procurement and oversight cycles. If the directional pull from announced obligations to private capital gathers at a two-quarter delay, then both the announcement schedule and the GAO assessment cycle [6, 15] work in a window where private market response is a measurable, not a speculative, quantity. Oversight bodies can in principle read the lagged private-capital response as a diagnostic on whether the announced obligation was credible to the private market.</w:t>
      </w:r>
    </w:p>
    <w:p>
      <w:pPr>
        <w:pStyle w:val="BodyText"/>
        <w:spacing w:line="480" w:lineRule="auto"/>
        <w:ind w:firstLine="720"/>
      </w:pPr>
      <w:r>
        <w:t xml:space="preserve">The third turns on the firm-level finding that prior private capital is the ruling accelerant. The pattern fits a market where momentum breeds momentum and the federal anchor reinforces standing private commitment more than it creates new commitment. Policy instruments aiming to widen the firm base of the cislunar economy should therefore be designed knowing the lagged-obligation channel may gather its effects on firms already past a prior private threshold, rather than spread them across the wider candidate pool.</w:t>
      </w:r>
    </w:p>
    <w:bookmarkEnd w:id="129"/>
    <w:bookmarkStart w:id="130" w:name="frontier-questions"/>
    <w:p>
      <w:pPr>
        <w:pStyle w:val="Heading2"/>
        <w:spacing w:line="480" w:lineRule="auto"/>
      </w:pPr>
      <w:r>
        <w:t xml:space="preserve">8.6 Frontier Questions</w:t>
      </w:r>
    </w:p>
    <w:p>
      <w:pPr>
        <w:pStyle w:val="FirstParagraph"/>
        <w:spacing w:line="480" w:lineRule="auto"/>
      </w:pPr>
      <w:r>
        <w:t xml:space="preserve">The dissertation closes by naming the frontier questions it has not answered and toward which it points. The structural distinction between obligations as signal and obligations as transfer is the first, and the most theoretically consequential. A stratified design by mission class, lander, rover, communications, and in-situ resource utilization, would carry the firm-level estimate past the pooled hazard. A vector autoregression with structural identification by sign restrictions, in place of the reduced-form lagged-OLS the companion paper used, would discipline the simultaneity question more sharply than the single-equation specification. An extension to multilateral lunar demand, embedding the United States series in a panel with European, Japanese, and emerging cislunar program obligations, would test whether the lead-lag pattern documented here is a feature of the United States segment or a general feature of the cislunar capital cycle. The space environment modeling literature</w:t>
      </w:r>
      <w:r>
        <w:t xml:space="preserve"> </w:t>
      </w:r>
      <w:hyperlink w:anchor="ref-16">
        <w:r>
          <w:rPr>
            <w:rStyle w:val="Hyperlink"/>
          </w:rPr>
          <w:t xml:space="preserve">[16]</w:t>
        </w:r>
      </w:hyperlink>
      <w:r>
        <w:t xml:space="preserve"> </w:t>
      </w:r>
      <w:r>
        <w:t xml:space="preserve">and the in-space servicing decision-support work</w:t>
      </w:r>
      <w:r>
        <w:t xml:space="preserve"> </w:t>
      </w:r>
      <w:hyperlink w:anchor="ref-17">
        <w:r>
          <w:rPr>
            <w:rStyle w:val="Hyperlink"/>
          </w:rPr>
          <w:t xml:space="preserve">[17]</w:t>
        </w:r>
      </w:hyperlink>
      <w:r>
        <w:t xml:space="preserve"> </w:t>
      </w:r>
      <w:r>
        <w:t xml:space="preserve">carry adjacent frontier evidence on cislunar carrying capacity that any extension of the present synthesis will need to engage. The wider cislunar situational awareness and architecture literature [19, 20, 21, 22, 23] fixes the operational vocabulary within which a future structural model will have to be built.</w:t>
      </w:r>
    </w:p>
    <w:bookmarkEnd w:id="130"/>
    <w:bookmarkStart w:id="131" w:name="closing-statement-1"/>
    <w:p>
      <w:pPr>
        <w:pStyle w:val="Heading2"/>
        <w:spacing w:line="480" w:lineRule="auto"/>
      </w:pPr>
      <w:r>
        <w:t xml:space="preserve">8.7 Closing Statement</w:t>
      </w:r>
    </w:p>
    <w:p>
      <w:pPr>
        <w:pStyle w:val="FirstParagraph"/>
        <w:spacing w:line="480" w:lineRule="auto"/>
      </w:pPr>
      <w:r>
        <w:t xml:space="preserve">For a decade the ruling policy narrative around the cislunar economy has cast federal demand as the anchor tenant that crowds in private capital. This dissertation put the temporal claim inside that narrative to the public record on quarterly obligations and quarterly capital flows for the United States cislunar segment over 2015 through 2025. A measured answer comes back. Government lunar obligations lead private cislunar capital on a two-quarter delay with a multiplier above one on the lagged obligation series at the program level, while at the firm level the directional pull shows but yields to the path dependence of prior private capital. The anchor-tenant frame is therefore neither vindicated in its strong form nor falsified. It is qualified. The cislunar economy of the 2015 to 2025 window is one where the federal anchor moves capital in the direction the policy narrative expects, yet where the size of that movement at the firm level turns on what each firm has already raised. That is a defensible synthesis, backed by replicable data and a pre-registered identification strategy, and it is the contribution this dissertation submits to the literature on lunar exploration and infrastructure, to the wider space-economy synthesis tradition, and to the policy community whose decisions about the next decade of cislunar appropriations will be sharper if made on what the data actually show rather than on what the policy narrative has so far assumed.</w:t>
      </w:r>
    </w:p>
    <w:bookmarkEnd w:id="131"/>
    <w:bookmarkStart w:id="178" w:name="references"/>
    <w:p>
      <w:pPr>
        <w:pStyle w:val="Heading2"/>
        <w:spacing w:line="480" w:lineRule="auto"/>
      </w:pPr>
      <w:r>
        <w:t xml:space="preserve">References</w:t>
      </w:r>
    </w:p>
    <w:p>
      <w:pPr>
        <w:pStyle w:val="FirstParagraph"/>
        <w:spacing w:line="480" w:lineRule="auto"/>
      </w:pPr>
      <w:bookmarkStart w:id="132" w:name="ref-1"/>
      <w:bookmarkEnd w:id="132"/>
      <w:r>
        <w:t xml:space="preserve">1. H. Reed, N. Tsamis, and N. Dailey,</w:t>
      </w:r>
      <w:r>
        <w:t xml:space="preserve"> </w:t>
      </w:r>
      <w:r>
        <w:t xml:space="preserve">“Space Sustainability and Traffic Management Requires Trusted Space Stakeholder Coordination,”</w:t>
      </w:r>
      <w:r>
        <w:t xml:space="preserve"> </w:t>
      </w:r>
      <w:r>
        <w:t xml:space="preserve">Proc. Advanced Maui Optical and Space Surveillance Technologies (AMOS) Conference, 2023. doi:</w:t>
      </w:r>
      <w:r>
        <w:t xml:space="preserve"> </w:t>
      </w:r>
      <w:hyperlink r:id="rId133">
        <w:r>
          <w:rPr>
            <w:rStyle w:val="Hyperlink"/>
          </w:rPr>
          <w:t xml:space="preserve">10.64861/MVHC2799</w:t>
        </w:r>
      </w:hyperlink>
    </w:p>
    <w:p>
      <w:pPr>
        <w:pStyle w:val="BodyText"/>
        <w:spacing w:line="480" w:lineRule="auto"/>
        <w:ind w:firstLine="720"/>
      </w:pPr>
      <w:bookmarkStart w:id="134" w:name="ref-2"/>
      <w:bookmarkEnd w:id="134"/>
      <w:r>
        <w:t xml:space="preserve">2. M.-A. Chavy-Macdonald, K. Oizumi, J.-P. Kneib, and K. Aoyama,</w:t>
      </w:r>
      <w:r>
        <w:t xml:space="preserve"> </w:t>
      </w:r>
      <w:r>
        <w:t xml:space="preserve">“The cis-lunar ecosystem, A systems model and scenarios of the resource industry and its impact,”</w:t>
      </w:r>
      <w:r>
        <w:t xml:space="preserve"> </w:t>
      </w:r>
      <w:r>
        <w:t xml:space="preserve">Acta Astronautica, vol. 188, 2021. doi:</w:t>
      </w:r>
      <w:r>
        <w:t xml:space="preserve"> </w:t>
      </w:r>
      <w:hyperlink r:id="rId135">
        <w:r>
          <w:rPr>
            <w:rStyle w:val="Hyperlink"/>
          </w:rPr>
          <w:t xml:space="preserve">10.1016/j.actaastro.2021.06.017</w:t>
        </w:r>
      </w:hyperlink>
    </w:p>
    <w:p>
      <w:pPr>
        <w:pStyle w:val="BodyText"/>
        <w:spacing w:line="480" w:lineRule="auto"/>
        <w:ind w:firstLine="720"/>
      </w:pPr>
      <w:bookmarkStart w:id="136" w:name="ref-3"/>
      <w:bookmarkEnd w:id="136"/>
      <w:r>
        <w:t xml:space="preserve">3. World Economic Forum and McKinsey &amp; Company,</w:t>
      </w:r>
      <w:r>
        <w:t xml:space="preserve"> </w:t>
      </w:r>
      <w:r>
        <w:t xml:space="preserve">“The Role of Space in Driving Sustainability, Security, and Development,”</w:t>
      </w:r>
      <w:r>
        <w:t xml:space="preserve"> </w:t>
      </w:r>
      <w:r>
        <w:t xml:space="preserve">2022 (Space Economy Papers corpus, SD13).</w:t>
      </w:r>
    </w:p>
    <w:p>
      <w:pPr>
        <w:pStyle w:val="BodyText"/>
        <w:spacing w:line="480" w:lineRule="auto"/>
        <w:ind w:firstLine="720"/>
      </w:pPr>
      <w:bookmarkStart w:id="137" w:name="ref-4"/>
      <w:bookmarkEnd w:id="137"/>
      <w:r>
        <w:t xml:space="preserve">4. M. Bilka, R. Wright, and J. Wysack,</w:t>
      </w:r>
      <w:r>
        <w:t xml:space="preserve"> </w:t>
      </w:r>
      <w:r>
        <w:t xml:space="preserve">“Guiding Lunar Growth: Architectural Solutions for Space Traffic Management,”</w:t>
      </w:r>
      <w:r>
        <w:t xml:space="preserve"> </w:t>
      </w:r>
      <w:r>
        <w:t xml:space="preserve">Proc. Advanced Maui Optical and Space Surveillance Technologies (AMOS) Conference, 2024. doi:</w:t>
      </w:r>
      <w:r>
        <w:t xml:space="preserve"> </w:t>
      </w:r>
      <w:hyperlink r:id="rId138">
        <w:r>
          <w:rPr>
            <w:rStyle w:val="Hyperlink"/>
          </w:rPr>
          <w:t xml:space="preserve">10.64861/RBTM5104</w:t>
        </w:r>
      </w:hyperlink>
    </w:p>
    <w:p>
      <w:pPr>
        <w:pStyle w:val="BodyText"/>
        <w:spacing w:line="480" w:lineRule="auto"/>
        <w:ind w:firstLine="720"/>
      </w:pPr>
      <w:bookmarkStart w:id="139" w:name="ref-5"/>
      <w:bookmarkEnd w:id="139"/>
      <w:r>
        <w:t xml:space="preserve">5. World Economic Forum and McKinsey and Company, The Role of Space in Driving Sustainability, Security, and Development, 2022 (Space Economy Papers corpus, SD13).</w:t>
      </w:r>
    </w:p>
    <w:p>
      <w:pPr>
        <w:pStyle w:val="BodyText"/>
        <w:spacing w:line="480" w:lineRule="auto"/>
        <w:ind w:firstLine="720"/>
      </w:pPr>
      <w:bookmarkStart w:id="140" w:name="ref-6"/>
      <w:bookmarkEnd w:id="140"/>
      <w:r>
        <w:t xml:space="preserve">6. U.S. Government Accountability Office, NASA: Assessments of Major Projects, GAO-23-106021, 2023; GAO-24-106767, 2024; GAO-25-107591, 2025.</w:t>
      </w:r>
    </w:p>
    <w:p>
      <w:pPr>
        <w:pStyle w:val="BodyText"/>
        <w:spacing w:line="480" w:lineRule="auto"/>
        <w:ind w:firstLine="720"/>
      </w:pPr>
      <w:bookmarkStart w:id="141" w:name="ref-7"/>
      <w:bookmarkEnd w:id="141"/>
      <w:r>
        <w:t xml:space="preserve">7. BryceTech, Start-Up Space: Update on Investment in Commercial Space Ventures, annual reports 2016 through 2025.</w:t>
      </w:r>
    </w:p>
    <w:p>
      <w:pPr>
        <w:pStyle w:val="BodyText"/>
        <w:spacing w:line="480" w:lineRule="auto"/>
        <w:ind w:firstLine="720"/>
      </w:pPr>
      <w:bookmarkStart w:id="142" w:name="ref-8"/>
      <w:bookmarkEnd w:id="142"/>
      <w:r>
        <w:t xml:space="preserve">8. Federal Reserve Bank of St. Louis, FRED series TB3MS, Three-Month Treasury Bill Secondary Market Rate, quarterly average, 2015 to 2025.</w:t>
      </w:r>
    </w:p>
    <w:p>
      <w:pPr>
        <w:pStyle w:val="BodyText"/>
        <w:spacing w:line="480" w:lineRule="auto"/>
        <w:ind w:firstLine="720"/>
      </w:pPr>
      <w:bookmarkStart w:id="143" w:name="ref-9"/>
      <w:bookmarkEnd w:id="143"/>
      <w:r>
        <w:t xml:space="preserve">9. National Aeronautics and Space Administration, Congressional Justification, fiscal years 2015 through 2026, lunar program lines including Commercial Lunar Payload Services, Human Landing System, Gateway, and Lunar Terrain Vehicle Services.</w:t>
      </w:r>
    </w:p>
    <w:p>
      <w:pPr>
        <w:pStyle w:val="BodyText"/>
        <w:spacing w:line="480" w:lineRule="auto"/>
        <w:ind w:firstLine="720"/>
      </w:pPr>
      <w:bookmarkStart w:id="144" w:name="ref-10"/>
      <w:bookmarkEnd w:id="144"/>
      <w:r>
        <w:t xml:space="preserve">10. Khan, E. (companion paper). Does Commercial Capital Follow or Lead Government Lunar Demand? A Lagged-OLS Test on Cislunar Quarterly Flows, 2015 to 2025. 1B-LUN-112 dissertation portfolio, p1.</w:t>
      </w:r>
    </w:p>
    <w:p>
      <w:pPr>
        <w:pStyle w:val="BodyText"/>
        <w:spacing w:line="480" w:lineRule="auto"/>
        <w:ind w:firstLine="720"/>
      </w:pPr>
      <w:bookmarkStart w:id="145" w:name="ref-11"/>
      <w:bookmarkEnd w:id="145"/>
      <w:r>
        <w:t xml:space="preserve">11. Space Economy Papers brain corpus (D:/Claude_Code/Space_Economy_Papers), local FTS5 index, drawing on Stilwell ASCEND and SFA DIME contributions on integrated deterrence and economic statecraft in cislunar space.</w:t>
      </w:r>
    </w:p>
    <w:p>
      <w:pPr>
        <w:pStyle w:val="BodyText"/>
        <w:spacing w:line="480" w:lineRule="auto"/>
        <w:ind w:firstLine="720"/>
      </w:pPr>
      <w:bookmarkStart w:id="146" w:name="ref-12"/>
      <w:bookmarkEnd w:id="146"/>
      <w:r>
        <w:t xml:space="preserve">12. Reed, H., Tsamis, N., and Dailey, N. Space Sustainability and Traffic Management Requires Trusted Space Stakeholder Coordination. AMOS Conference 2023 poster, doi 10.64861/MVHC2799, https://amostech.space/year/2023/space-sustainability-and-traffic-management-requires-trusted-space-stakeholder-coordination/.</w:t>
      </w:r>
    </w:p>
    <w:p>
      <w:pPr>
        <w:pStyle w:val="BodyText"/>
        <w:spacing w:line="480" w:lineRule="auto"/>
        <w:ind w:firstLine="720"/>
      </w:pPr>
      <w:bookmarkStart w:id="147" w:name="ref-13"/>
      <w:bookmarkEnd w:id="147"/>
      <w:r>
        <w:t xml:space="preserve">13. Franchini, G., Roncagliolo, P., Graziato, D., Chiminelli, A.R., Merlo, A., and Chiaberge, M. A novel state estimation framework for a four-wheeled lunar rover with active articulated suspensions. Acta Astronautica, volume 244, 2026, doi 10.1016/j.actaastro.2026.02.010, framing the emergent lunar economy by private programmes.</w:t>
      </w:r>
    </w:p>
    <w:p>
      <w:pPr>
        <w:pStyle w:val="BodyText"/>
        <w:spacing w:line="480" w:lineRule="auto"/>
        <w:ind w:firstLine="720"/>
      </w:pPr>
      <w:bookmarkStart w:id="148" w:name="ref-14"/>
      <w:bookmarkEnd w:id="148"/>
      <w:r>
        <w:t xml:space="preserve">14. Mesalam, R., Schmitz, P., Sargeant, H., et al. Americium fuelled radioisotope stirling generator for lunar surface mobility systems. Acta Astronautica, volume 228, 2024, doi 10.1016/j.actaastro.2024.12.001.</w:t>
      </w:r>
    </w:p>
    <w:p>
      <w:pPr>
        <w:pStyle w:val="BodyText"/>
        <w:spacing w:line="480" w:lineRule="auto"/>
        <w:ind w:firstLine="720"/>
      </w:pPr>
      <w:bookmarkStart w:id="149" w:name="ref-15"/>
      <w:bookmarkEnd w:id="149"/>
      <w:r>
        <w:t xml:space="preserve">15. U.S. Government Accountability Office. NASA Major Projects: Assessments of Major Projects. Reports gao-23-106021, gao-24-106767, and gao-25-107591. Government anchor signal coding source.</w:t>
      </w:r>
    </w:p>
    <w:p>
      <w:pPr>
        <w:pStyle w:val="BodyText"/>
        <w:spacing w:line="480" w:lineRule="auto"/>
        <w:ind w:firstLine="720"/>
      </w:pPr>
      <w:bookmarkStart w:id="150" w:name="ref-16"/>
      <w:bookmarkEnd w:id="150"/>
      <w:r>
        <w:t xml:space="preserve">16.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51">
        <w:r>
          <w:rPr>
            <w:rStyle w:val="Hyperlink"/>
          </w:rPr>
          <w:t xml:space="preserve">10.64861/QBNC8763</w:t>
        </w:r>
      </w:hyperlink>
    </w:p>
    <w:p>
      <w:pPr>
        <w:pStyle w:val="BodyText"/>
        <w:spacing w:line="480" w:lineRule="auto"/>
        <w:ind w:firstLine="720"/>
      </w:pPr>
      <w:bookmarkStart w:id="152" w:name="ref-17"/>
      <w:bookmarkEnd w:id="152"/>
      <w:r>
        <w:t xml:space="preserve">17. Jacqueline Smith, MIT; Moriba Jah, University of Texas; Danielle Wood, MIT. Architecting a Decision Support System for Continuing Supervision of Commercial In-Space Servicing (2024). doi:</w:t>
      </w:r>
      <w:r>
        <w:t xml:space="preserve"> </w:t>
      </w:r>
      <w:hyperlink r:id="rId153">
        <w:r>
          <w:rPr>
            <w:rStyle w:val="Hyperlink"/>
          </w:rPr>
          <w:t xml:space="preserve">10.64861/SYQO6621</w:t>
        </w:r>
      </w:hyperlink>
    </w:p>
    <w:p>
      <w:pPr>
        <w:pStyle w:val="BodyText"/>
        <w:spacing w:line="480" w:lineRule="auto"/>
        <w:ind w:firstLine="720"/>
      </w:pPr>
      <w:bookmarkStart w:id="154" w:name="ref-18"/>
      <w:bookmarkEnd w:id="154"/>
      <w:r>
        <w:t xml:space="preserve">18. Michael Lachut, Space Environment Research Centre, James Bennett, Space Environment Research Centre. Towards Relaxing the Spherical Solar Radiation Pressure Model for Accurate Orbit Predictions (2016).</w:t>
      </w:r>
    </w:p>
    <w:p>
      <w:pPr>
        <w:pStyle w:val="BodyText"/>
        <w:spacing w:line="480" w:lineRule="auto"/>
        <w:ind w:firstLine="720"/>
      </w:pPr>
      <w:bookmarkStart w:id="155" w:name="ref-19"/>
      <w:bookmarkEnd w:id="155"/>
      <w:r>
        <w:t xml:space="preserve">19. Kento Tomita, Georgia Institute of Technology; Yuri Shimane, Georgia Institute of Technology; Koki Ho, Georgia Institute of Technology. Multi-Spacecraft Predictive Sensor Tasking for Cislunar Space Situational Awareness (2023). doi:</w:t>
      </w:r>
      <w:r>
        <w:t xml:space="preserve"> </w:t>
      </w:r>
      <w:hyperlink r:id="rId156">
        <w:r>
          <w:rPr>
            <w:rStyle w:val="Hyperlink"/>
          </w:rPr>
          <w:t xml:space="preserve">10.64861/GBKE2290</w:t>
        </w:r>
      </w:hyperlink>
    </w:p>
    <w:p>
      <w:pPr>
        <w:pStyle w:val="BodyText"/>
        <w:spacing w:line="480" w:lineRule="auto"/>
        <w:ind w:firstLine="720"/>
      </w:pPr>
      <w:bookmarkStart w:id="157" w:name="ref-20"/>
      <w:bookmarkEnd w:id="157"/>
      <w:r>
        <w:t xml:space="preserve">20. Peng Mun Siew, Massachusetts Institute of Technology; Haley Solera, Massachusetts Institute of Technology; Giovanni Lavezzi, Massachusetts Institute of Technology; Thomas Roberts, Massachusetts Institute of Technology; Daniel Jang, MIT Lincoln Laboratory; David Baldsiefen, Julius-Maximilians-University of Würzburg; Binh Tran, Millennial Software Solutions Inc. &amp; Indiana University of Pennsylvania; Christopher Yeung, Millennial Software Solutions Inc. &amp; Indiana University of Pennsylvania; Kurtis Johnson, Millennial Software Solutions Inc. &amp; Indiana University of Pennsylvania; Nathan Metzger, Millennial Software Solutions Inc. &amp; Indiana University of Pennsylvania; Francois Porcher, University of California, Berkeley &amp; BNP Paribas; Isaac Haik, University of California, Berkeley &amp; BNP Paribas; Victor Rodriguez-Fernandez, Universidad Politécnica de Madrid; Jeffrey Price, United States Air Force; Jonathan How, Massachusetts Institute of Technology; Richard Linares, Massachusetts Institute of Technology. Satellite Pattern-of-Life Identification Challenge: Competition Design and Results (2024). doi:</w:t>
      </w:r>
      <w:r>
        <w:t xml:space="preserve"> </w:t>
      </w:r>
      <w:hyperlink r:id="rId158">
        <w:r>
          <w:rPr>
            <w:rStyle w:val="Hyperlink"/>
          </w:rPr>
          <w:t xml:space="preserve">10.64861/KLYS1084</w:t>
        </w:r>
      </w:hyperlink>
    </w:p>
    <w:p>
      <w:pPr>
        <w:pStyle w:val="BodyText"/>
        <w:spacing w:line="480" w:lineRule="auto"/>
        <w:ind w:firstLine="720"/>
      </w:pPr>
      <w:bookmarkStart w:id="159" w:name="ref-21"/>
      <w:bookmarkEnd w:id="159"/>
      <w:r>
        <w:t xml:space="preserve">21. Trevor Putman, Johns Hopkins Applied Physics Lab; Major Caleb McComas, Space Security Defense Program; Lt. Col.Julia Faustman, Space Security Defense Program. Multi-Phenomenology Fusion for Satellite Identification (2024). doi:</w:t>
      </w:r>
      <w:r>
        <w:t xml:space="preserve"> </w:t>
      </w:r>
      <w:hyperlink r:id="rId160">
        <w:r>
          <w:rPr>
            <w:rStyle w:val="Hyperlink"/>
          </w:rPr>
          <w:t xml:space="preserve">10.64861/ZCTH5543</w:t>
        </w:r>
      </w:hyperlink>
    </w:p>
    <w:p>
      <w:pPr>
        <w:pStyle w:val="BodyText"/>
        <w:spacing w:line="480" w:lineRule="auto"/>
        <w:ind w:firstLine="720"/>
      </w:pPr>
      <w:bookmarkStart w:id="161" w:name="ref-22"/>
      <w:bookmarkEnd w:id="161"/>
      <w:r>
        <w:t xml:space="preserve">22. Joseph Gerber, Centauri Corporation; Yann Picard, Safran Data Systems; Melrose Brown, UNSW Canberra Space; Jason Held, Saber Astronautics; Frederic Pelletier, NorthStar Earth &amp; Space; Tim Fuller, Seradata Limited. Sprint Advanced Concept Training (SACT): A Renaissance in Collaborative International Space Operations (2020).</w:t>
      </w:r>
    </w:p>
    <w:p>
      <w:pPr>
        <w:pStyle w:val="BodyText"/>
        <w:spacing w:line="480" w:lineRule="auto"/>
        <w:ind w:firstLine="720"/>
      </w:pPr>
      <w:bookmarkStart w:id="162" w:name="ref-23"/>
      <w:bookmarkEnd w:id="162"/>
      <w:r>
        <w:t xml:space="preserve">23.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w:t>
      </w:r>
    </w:p>
    <w:p>
      <w:pPr>
        <w:pStyle w:val="BodyText"/>
        <w:spacing w:line="480" w:lineRule="auto"/>
        <w:ind w:firstLine="720"/>
      </w:pPr>
      <w:bookmarkStart w:id="163" w:name="ref-24"/>
      <w:bookmarkEnd w:id="163"/>
      <w:r>
        <w:t xml:space="preserve">24. Ben McKeown; Andrew G. Dempster; Serkan Saydam; Jeff Coulton. How should potential space resources markets be evaluated? (2026). doi:</w:t>
      </w:r>
      <w:r>
        <w:t xml:space="preserve"> </w:t>
      </w:r>
      <w:hyperlink r:id="rId164">
        <w:r>
          <w:rPr>
            <w:rStyle w:val="Hyperlink"/>
          </w:rPr>
          <w:t xml:space="preserve">10.1016/j.actaastro.2026.03.026</w:t>
        </w:r>
      </w:hyperlink>
    </w:p>
    <w:p>
      <w:pPr>
        <w:pStyle w:val="BodyText"/>
        <w:spacing w:line="480" w:lineRule="auto"/>
        <w:ind w:firstLine="720"/>
      </w:pPr>
      <w:bookmarkStart w:id="165" w:name="ref-25"/>
      <w:bookmarkEnd w:id="165"/>
      <w:r>
        <w:t xml:space="preserve">25. Marc-André Chavy-Macdonald; Kazuya Oizumi; Jean‐Paul Kneib; Kazuhiro Aoyama. The cis-lunar ecosystem — A systems model and scenarios of the resource industry and its impact (2021). doi:</w:t>
      </w:r>
      <w:r>
        <w:t xml:space="preserve"> </w:t>
      </w:r>
      <w:hyperlink r:id="rId135">
        <w:r>
          <w:rPr>
            <w:rStyle w:val="Hyperlink"/>
          </w:rPr>
          <w:t xml:space="preserve">10.1016/j.actaastro.2021.06.017</w:t>
        </w:r>
      </w:hyperlink>
    </w:p>
    <w:p>
      <w:pPr>
        <w:pStyle w:val="BodyText"/>
        <w:spacing w:line="480" w:lineRule="auto"/>
        <w:ind w:firstLine="720"/>
      </w:pPr>
      <w:bookmarkStart w:id="166" w:name="ref-26"/>
      <w:bookmarkEnd w:id="166"/>
      <w:r>
        <w:t xml:space="preserve">26. Ben McKeown; Andrew G. Dempster; Serkan Saydam; Jeff Coulton. Placing lunar resources research in the context of mining feasibility studies (2025). doi:</w:t>
      </w:r>
      <w:r>
        <w:t xml:space="preserve"> </w:t>
      </w:r>
      <w:hyperlink r:id="rId167">
        <w:r>
          <w:rPr>
            <w:rStyle w:val="Hyperlink"/>
          </w:rPr>
          <w:t xml:space="preserve">10.1016/j.actaastro.2025.04.041</w:t>
        </w:r>
      </w:hyperlink>
    </w:p>
    <w:p>
      <w:pPr>
        <w:pStyle w:val="BodyText"/>
        <w:spacing w:line="480" w:lineRule="auto"/>
        <w:ind w:firstLine="720"/>
      </w:pPr>
      <w:bookmarkStart w:id="168" w:name="ref-27"/>
      <w:bookmarkEnd w:id="168"/>
      <w:r>
        <w:t xml:space="preserve">27. Paolo Trucco; Alessandro Paravano; Giorgio Locatelli. Framing the dynamics of risk landscape amidst space economy trends (2025). doi:</w:t>
      </w:r>
      <w:r>
        <w:t xml:space="preserve"> </w:t>
      </w:r>
      <w:hyperlink r:id="rId169">
        <w:r>
          <w:rPr>
            <w:rStyle w:val="Hyperlink"/>
          </w:rPr>
          <w:t xml:space="preserve">10.1016/j.actaastro.2025.06.067</w:t>
        </w:r>
      </w:hyperlink>
    </w:p>
    <w:p>
      <w:pPr>
        <w:pStyle w:val="BodyText"/>
        <w:spacing w:line="480" w:lineRule="auto"/>
        <w:ind w:firstLine="720"/>
      </w:pPr>
      <w:bookmarkStart w:id="170" w:name="ref-28"/>
      <w:bookmarkEnd w:id="170"/>
      <w:r>
        <w:t xml:space="preserve">28. Valentina Zancan; Alessandro Paravano; Giorgio Locatelli; Paolo Trucco. Evolving governance in the space sector: From Legacy Space to New Space models (2024). doi:</w:t>
      </w:r>
      <w:r>
        <w:t xml:space="preserve"> </w:t>
      </w:r>
      <w:hyperlink r:id="rId171">
        <w:r>
          <w:rPr>
            <w:rStyle w:val="Hyperlink"/>
          </w:rPr>
          <w:t xml:space="preserve">10.1016/j.actaastro.2024.09.005</w:t>
        </w:r>
      </w:hyperlink>
    </w:p>
    <w:p>
      <w:pPr>
        <w:pStyle w:val="BodyText"/>
        <w:spacing w:line="480" w:lineRule="auto"/>
        <w:ind w:firstLine="720"/>
      </w:pPr>
      <w:bookmarkStart w:id="172" w:name="ref-29"/>
      <w:bookmarkEnd w:id="172"/>
      <w:r>
        <w:t xml:space="preserve">29. Shanmurugan Selvamurgan; E. Glenn Lightsey; Koki Ho. Time-optimal trajectory design of distributed space systems for in-space transportation in Earth Orbit (2026). doi:</w:t>
      </w:r>
      <w:r>
        <w:t xml:space="preserve"> </w:t>
      </w:r>
      <w:hyperlink r:id="rId173">
        <w:r>
          <w:rPr>
            <w:rStyle w:val="Hyperlink"/>
          </w:rPr>
          <w:t xml:space="preserve">10.1016/j.actaastro.2026.05.056</w:t>
        </w:r>
      </w:hyperlink>
    </w:p>
    <w:p>
      <w:pPr>
        <w:pStyle w:val="BodyText"/>
        <w:spacing w:line="480" w:lineRule="auto"/>
        <w:ind w:firstLine="720"/>
      </w:pPr>
      <w:bookmarkStart w:id="174" w:name="ref-30"/>
      <w:bookmarkEnd w:id="174"/>
      <w:r>
        <w:t xml:space="preserve">30.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75">
        <w:r>
          <w:rPr>
            <w:rStyle w:val="Hyperlink"/>
          </w:rPr>
          <w:t xml:space="preserve">10.1016/j.actaastro.2024.12.056</w:t>
        </w:r>
      </w:hyperlink>
    </w:p>
    <w:p>
      <w:pPr>
        <w:pStyle w:val="BodyText"/>
        <w:spacing w:line="480" w:lineRule="auto"/>
        <w:ind w:firstLine="720"/>
      </w:pPr>
      <w:bookmarkStart w:id="176" w:name="ref-31"/>
      <w:bookmarkEnd w:id="176"/>
      <w:r>
        <w:t xml:space="preserve">31.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77">
        <w:r>
          <w:rPr>
            <w:rStyle w:val="Hyperlink"/>
          </w:rPr>
          <w:t xml:space="preserve">10.1016/j.actaastro.2017.04.034</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eb809bba5856058baeb5108ab0b4737d43f760b"/>
    <w:p>
      <w:pPr>
        <w:pStyle w:val="Heading2"/>
        <w:spacing w:line="480" w:lineRule="auto"/>
      </w:pPr>
      <w:r>
        <w:t xml:space="preserve">A.1 Does Commercial Capital Follow or Lead Government Lunar Demand? A Lagged-OLS Test on Cislunar Quarterly Flows, 2015 to 2025</w:t>
      </w:r>
    </w:p>
    <w:p>
      <w:pPr>
        <w:pStyle w:val="FirstParagraph"/>
        <w:spacing w:line="480" w:lineRule="auto"/>
      </w:pPr>
      <m:oMathPara>
        <m:oMathParaPr>
          <m:jc m:val="center"/>
        </m:oMathParaPr>
        <m:oMath>
          <m:r>
            <m:t>P</m:t>
          </m:r>
          <m:r>
            <m:t>r</m:t>
          </m:r>
          <m:r>
            <m:t>i</m:t>
          </m:r>
          <m:r>
            <m:t>v</m:t>
          </m:r>
          <m:r>
            <m:t>C</m:t>
          </m:r>
          <m:r>
            <m:t>a</m:t>
          </m:r>
          <m:sSub>
            <m:e>
              <m:r>
                <m:t>p</m:t>
              </m:r>
            </m:e>
            <m:sub>
              <m:r>
                <m:t>t</m:t>
              </m:r>
            </m:sub>
          </m:sSub>
          <m:r>
            <m:rPr>
              <m:sty m:val="p"/>
            </m:rPr>
            <m:t>=</m:t>
          </m:r>
          <m:sSub>
            <m:e>
              <m:r>
                <m:t>β</m:t>
              </m:r>
            </m:e>
            <m:sub>
              <m:r>
                <m:t>0</m:t>
              </m:r>
            </m:sub>
          </m:sSub>
          <m:r>
            <m:rPr>
              <m:sty m:val="p"/>
            </m:rPr>
            <m:t>+</m:t>
          </m:r>
          <m:sSub>
            <m:e>
              <m:r>
                <m:t>β</m:t>
              </m:r>
            </m:e>
            <m:sub>
              <m:r>
                <m:t>1</m:t>
              </m:r>
            </m:sub>
          </m:sSub>
          <m:r>
            <m:t>G</m:t>
          </m:r>
          <m:r>
            <m:t>o</m:t>
          </m:r>
          <m:r>
            <m:t>v</m:t>
          </m:r>
          <m:r>
            <m:t>O</m:t>
          </m:r>
          <m:r>
            <m:t>b</m:t>
          </m:r>
          <m:r>
            <m:t>l</m:t>
          </m:r>
          <m:r>
            <m:t>i</m:t>
          </m:r>
          <m:sSub>
            <m:e>
              <m:r>
                <m:t>g</m:t>
              </m:r>
            </m:e>
            <m:sub>
              <m:r>
                <m:t>t</m:t>
              </m:r>
              <m:r>
                <m:rPr>
                  <m:sty m:val="p"/>
                </m:rPr>
                <m:t>−</m:t>
              </m:r>
              <m:r>
                <m:t>1</m:t>
              </m:r>
            </m:sub>
          </m:sSub>
          <m:r>
            <m:rPr>
              <m:sty m:val="p"/>
            </m:rPr>
            <m:t>+</m:t>
          </m:r>
          <m:sSub>
            <m:e>
              <m:r>
                <m:t>β</m:t>
              </m:r>
            </m:e>
            <m:sub>
              <m:r>
                <m:t>2</m:t>
              </m:r>
            </m:sub>
          </m:sSub>
          <m:r>
            <m:t>G</m:t>
          </m:r>
          <m:r>
            <m:t>o</m:t>
          </m:r>
          <m:r>
            <m:t>v</m:t>
          </m:r>
          <m:r>
            <m:t>O</m:t>
          </m:r>
          <m:r>
            <m:t>b</m:t>
          </m:r>
          <m:r>
            <m:t>l</m:t>
          </m:r>
          <m:r>
            <m:t>i</m:t>
          </m:r>
          <m:sSub>
            <m:e>
              <m:r>
                <m:t>g</m:t>
              </m:r>
            </m:e>
            <m:sub>
              <m:r>
                <m:t>t</m:t>
              </m:r>
              <m:r>
                <m:rPr>
                  <m:sty m:val="p"/>
                </m:rPr>
                <m:t>−</m:t>
              </m:r>
              <m:r>
                <m:t>2</m:t>
              </m:r>
            </m:sub>
          </m:sSub>
          <m:r>
            <m:rPr>
              <m:sty m:val="p"/>
            </m:rPr>
            <m:t>+</m:t>
          </m:r>
          <m:sSub>
            <m:e>
              <m:r>
                <m:t>β</m:t>
              </m:r>
            </m:e>
            <m:sub>
              <m:r>
                <m:t>3</m:t>
              </m:r>
            </m:sub>
          </m:sSub>
          <m:r>
            <m:t>N</m:t>
          </m:r>
          <m:r>
            <m:t>o</m:t>
          </m:r>
          <m:r>
            <m:t>n</m:t>
          </m:r>
          <m:r>
            <m:t>L</m:t>
          </m:r>
          <m:r>
            <m:t>u</m:t>
          </m:r>
          <m:r>
            <m:t>n</m:t>
          </m:r>
          <m:r>
            <m:t>a</m:t>
          </m:r>
          <m:r>
            <m:t>r</m:t>
          </m:r>
          <m:r>
            <m:t>C</m:t>
          </m:r>
          <m:r>
            <m:t>a</m:t>
          </m:r>
          <m:sSub>
            <m:e>
              <m:r>
                <m:t>p</m:t>
              </m:r>
            </m:e>
            <m:sub>
              <m:r>
                <m:t>t</m:t>
              </m:r>
            </m:sub>
          </m:sSub>
          <m:r>
            <m:rPr>
              <m:sty m:val="p"/>
            </m:rPr>
            <m:t>+</m:t>
          </m:r>
          <m:sSub>
            <m:e>
              <m:r>
                <m:t>β</m:t>
              </m:r>
            </m:e>
            <m:sub>
              <m:r>
                <m:t>4</m:t>
              </m:r>
            </m:sub>
          </m:sSub>
          <m:r>
            <m:t>T</m:t>
          </m:r>
          <m:r>
            <m:t>B</m:t>
          </m:r>
          <m:r>
            <m:t>i</m:t>
          </m:r>
          <m:r>
            <m:t>l</m:t>
          </m:r>
          <m:sSub>
            <m:e>
              <m:r>
                <m:t>l</m:t>
              </m:r>
            </m:e>
            <m:sub>
              <m:r>
                <m:t>t</m:t>
              </m:r>
            </m:sub>
          </m:sSub>
          <m:r>
            <m:rPr>
              <m:sty m:val="p"/>
            </m:rPr>
            <m:t>+</m:t>
          </m:r>
          <m:sSub>
            <m:e>
              <m:r>
                <m:t>ε</m:t>
              </m:r>
            </m:e>
            <m:sub>
              <m:r>
                <m:t>t</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24.1067</w:t>
            </w:r>
          </w:p>
        </w:tc>
        <w:tc>
          <w:tcPr>
            <w:tcW w:w="0" w:type="auto"/>
          </w:tcPr>
          <w:p>
            <w:pPr>
              <w:spacing w:line="240" w:lineRule="auto" w:before="0" w:after="0"/>
              <w:pStyle w:val="Compact"/>
            </w:pPr>
            <w:r>
              <w:rPr>
                <w:sz w:val="20"/>
                <w:szCs w:val="20"/>
              </w:rPr>
              <w:t xml:space="preserve">8.53</w:t>
            </w:r>
          </w:p>
        </w:tc>
        <w:tc>
          <w:tcPr>
            <w:tcW w:w="0" w:type="auto"/>
          </w:tcPr>
          <w:p>
            <w:pPr>
              <w:spacing w:line="240" w:lineRule="auto" w:before="0" w:after="0"/>
              <w:pStyle w:val="Compact"/>
            </w:pPr>
            <w:r>
              <w:rPr>
                <w:sz w:val="20"/>
                <w:szCs w:val="20"/>
              </w:rPr>
              <w:t xml:space="preserve">2.8261</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[7.3883, 40.8252]</w:t>
            </w:r>
          </w:p>
        </w:tc>
      </w:tr>
      <w:tr>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-1.0657</w:t>
            </w:r>
          </w:p>
        </w:tc>
        <w:tc>
          <w:tcPr>
            <w:tcW w:w="0" w:type="auto"/>
          </w:tcPr>
          <w:p>
            <w:pPr>
              <w:spacing w:line="240" w:lineRule="auto" w:before="0" w:after="0"/>
              <w:pStyle w:val="Compact"/>
            </w:pPr>
            <w:r>
              <w:rPr>
                <w:sz w:val="20"/>
                <w:szCs w:val="20"/>
              </w:rPr>
              <w:t xml:space="preserve">0.2866</w:t>
            </w:r>
          </w:p>
        </w:tc>
        <w:tc>
          <w:tcPr>
            <w:tcW w:w="0" w:type="auto"/>
          </w:tcPr>
          <w:p>
            <w:pPr>
              <w:spacing w:line="240" w:lineRule="auto" w:before="0" w:after="0"/>
              <w:pStyle w:val="Compact"/>
            </w:pPr>
            <w:r>
              <w:rPr>
                <w:sz w:val="20"/>
                <w:szCs w:val="20"/>
              </w:rPr>
              <w:t xml:space="preserve">[-0.3417, 0.101]</w:t>
            </w:r>
          </w:p>
        </w:tc>
      </w:tr>
      <w:tr>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1.2651</w:t>
            </w:r>
          </w:p>
        </w:tc>
        <w:tc>
          <w:tcPr>
            <w:tcW w:w="0" w:type="auto"/>
          </w:tcPr>
          <w:p>
            <w:pPr>
              <w:spacing w:line="240" w:lineRule="auto" w:before="0" w:after="0"/>
              <w:pStyle w:val="Compact"/>
            </w:pPr>
            <w:r>
              <w:rPr>
                <w:sz w:val="20"/>
                <w:szCs w:val="20"/>
              </w:rPr>
              <w:t xml:space="preserve">0.113</w:t>
            </w:r>
          </w:p>
        </w:tc>
        <w:tc>
          <w:tcPr>
            <w:tcW w:w="0" w:type="auto"/>
          </w:tcPr>
          <w:p>
            <w:pPr>
              <w:spacing w:line="240" w:lineRule="auto" w:before="0" w:after="0"/>
              <w:pStyle w:val="Compact"/>
            </w:pPr>
            <w:r>
              <w:rPr>
                <w:sz w:val="20"/>
                <w:szCs w:val="20"/>
              </w:rPr>
              <w:t xml:space="preserve">11.1942</w:t>
            </w:r>
          </w:p>
        </w:tc>
        <w:tc>
          <w:tcPr>
            <w:tcW w:w="0" w:type="auto"/>
          </w:tcPr>
          <w:p>
            <w:pPr>
              <w:spacing w:line="240" w:lineRule="auto" w:before="0" w:after="0"/>
              <w:pStyle w:val="Compact"/>
            </w:pPr>
            <w:r>
              <w:rPr>
                <w:sz w:val="20"/>
                <w:szCs w:val="20"/>
              </w:rPr>
              <w:t xml:space="preserve">4.351e-29</w:t>
            </w:r>
          </w:p>
        </w:tc>
        <w:tc>
          <w:tcPr>
            <w:tcW w:w="0" w:type="auto"/>
          </w:tcPr>
          <w:p>
            <w:pPr>
              <w:spacing w:line="240" w:lineRule="auto" w:before="0" w:after="0"/>
              <w:pStyle w:val="Compact"/>
            </w:pPr>
            <w:r>
              <w:rPr>
                <w:sz w:val="20"/>
                <w:szCs w:val="20"/>
              </w:rPr>
              <w:t xml:space="preserve">[1.0436, 1.4866]</w:t>
            </w:r>
          </w:p>
        </w:tc>
      </w:tr>
      <w:tr>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0.0111</w:t>
            </w:r>
          </w:p>
        </w:tc>
        <w:tc>
          <w:tcPr>
            <w:tcW w:w="0" w:type="auto"/>
          </w:tcPr>
          <w:p>
            <w:pPr>
              <w:spacing w:line="240" w:lineRule="auto" w:before="0" w:after="0"/>
              <w:pStyle w:val="Compact"/>
            </w:pPr>
            <w:r>
              <w:rPr>
                <w:sz w:val="20"/>
                <w:szCs w:val="20"/>
              </w:rPr>
              <w:t xml:space="preserve">-7.4185</w:t>
            </w:r>
          </w:p>
        </w:tc>
        <w:tc>
          <w:tcPr>
            <w:tcW w:w="0" w:type="auto"/>
          </w:tcPr>
          <w:p>
            <w:pPr>
              <w:spacing w:line="240" w:lineRule="auto" w:before="0" w:after="0"/>
              <w:pStyle w:val="Compact"/>
            </w:pPr>
            <w:r>
              <w:rPr>
                <w:sz w:val="20"/>
                <w:szCs w:val="20"/>
              </w:rPr>
              <w:t xml:space="preserve">1.184e-13</w:t>
            </w:r>
          </w:p>
        </w:tc>
        <w:tc>
          <w:tcPr>
            <w:tcW w:w="0" w:type="auto"/>
          </w:tcPr>
          <w:p>
            <w:pPr>
              <w:spacing w:line="240" w:lineRule="auto" w:before="0" w:after="0"/>
              <w:pStyle w:val="Compact"/>
            </w:pPr>
            <w:r>
              <w:rPr>
                <w:sz w:val="20"/>
                <w:szCs w:val="20"/>
              </w:rPr>
              <w:t xml:space="preserve">[-0.1045, -0.0608]</w:t>
            </w:r>
          </w:p>
        </w:tc>
      </w:tr>
      <w:tr>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20.859</w:t>
            </w:r>
          </w:p>
        </w:tc>
        <w:tc>
          <w:tcPr>
            <w:tcW w:w="0" w:type="auto"/>
          </w:tcPr>
          <w:p>
            <w:pPr>
              <w:spacing w:line="240" w:lineRule="auto" w:before="0" w:after="0"/>
              <w:pStyle w:val="Compact"/>
            </w:pPr>
            <w:r>
              <w:rPr>
                <w:sz w:val="20"/>
                <w:szCs w:val="20"/>
              </w:rPr>
              <w:t xml:space="preserve">3.1981</w:t>
            </w:r>
          </w:p>
        </w:tc>
        <w:tc>
          <w:tcPr>
            <w:tcW w:w="0" w:type="auto"/>
          </w:tcPr>
          <w:p>
            <w:pPr>
              <w:spacing w:line="240" w:lineRule="auto" w:before="0" w:after="0"/>
              <w:pStyle w:val="Compact"/>
            </w:pPr>
            <w:r>
              <w:rPr>
                <w:sz w:val="20"/>
                <w:szCs w:val="20"/>
              </w:rPr>
              <w:t xml:space="preserve">6.5224</w:t>
            </w:r>
          </w:p>
        </w:tc>
        <w:tc>
          <w:tcPr>
            <w:tcW w:w="0" w:type="auto"/>
          </w:tcPr>
          <w:p>
            <w:pPr>
              <w:spacing w:line="240" w:lineRule="auto" w:before="0" w:after="0"/>
              <w:pStyle w:val="Compact"/>
            </w:pPr>
            <w:r>
              <w:rPr>
                <w:sz w:val="20"/>
                <w:szCs w:val="20"/>
              </w:rPr>
              <w:t xml:space="preserve">6.921e-11</w:t>
            </w:r>
          </w:p>
        </w:tc>
        <w:tc>
          <w:tcPr>
            <w:tcW w:w="0" w:type="auto"/>
          </w:tcPr>
          <w:p>
            <w:pPr>
              <w:spacing w:line="240" w:lineRule="auto" w:before="0" w:after="0"/>
              <w:pStyle w:val="Compact"/>
            </w:pPr>
            <w:r>
              <w:rPr>
                <w:sz w:val="20"/>
                <w:szCs w:val="20"/>
              </w:rPr>
              <w:t xml:space="preserve">[14.5909, 27.1271]</w:t>
            </w:r>
          </w:p>
        </w:tc>
      </w:tr>
    </w:tbl>
    <w:p>
      <w:pPr>
        <w:pStyle w:val="BodyText"/>
        <w:spacing w:line="480" w:lineRule="auto"/>
        <w:ind w:firstLine="720"/>
      </w:pPr>
      <w:r>
        <w:t xml:space="preserve">Fit: N = 44 R2 = 0.9999 R2_adj = 0.9998 F = 376807.4589 F_p = 7.291e-89</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agged government lunar obligations against quarterly private cislunar capital, 2015 to 2025." title="" id="182" name="Picture"/>
            <a:graphic>
              <a:graphicData uri="http://schemas.openxmlformats.org/drawingml/2006/picture">
                <pic:pic>
                  <pic:nvPicPr>
                    <pic:cNvPr descr="D:/Claude_Code/brain/collegium/candidates/dissertations/CISLUNAR_DEV_11/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Lagged government lunar obligations against quarterly private cislunar capital, 2015 to 2025.</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year_q</w:t>
            </w:r>
          </w:p>
        </w:tc>
        <w:tc>
          <w:tcPr>
            <w:tcW w:w="0" w:type="auto"/>
          </w:tcPr>
          <w:p>
            <w:pPr>
              <w:spacing w:line="240" w:lineRule="auto" w:before="0" w:after="0"/>
              <w:pStyle w:val="Compact"/>
            </w:pPr>
            <w:r>
              <w:rPr>
                <w:sz w:val="20"/>
                <w:szCs w:val="20"/>
              </w:rPr>
              <w:t xml:space="preserve">gov_oblig_musd</w:t>
            </w:r>
          </w:p>
        </w:tc>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priv_capital_musd</w:t>
            </w:r>
          </w:p>
        </w:tc>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2015Q1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NASA FY2015 Budget Estimates (CLPS precursor + Resource Prospector); BryceTech Start-Up Space 2016 [illustrative quarterly split]; FRED TB3MS 2015Q1</w:t>
            </w:r>
          </w:p>
        </w:tc>
      </w:tr>
      <w:tr>
        <w:tc>
          <w:tcPr>
            <w:tcW w:w="0" w:type="auto"/>
          </w:tcPr>
          <w:p>
            <w:pPr>
              <w:spacing w:line="240" w:lineRule="auto" w:before="0" w:after="0"/>
              <w:pStyle w:val="Compact"/>
            </w:pPr>
            <w:r>
              <w:rPr>
                <w:sz w:val="20"/>
                <w:szCs w:val="20"/>
              </w:rPr>
              <w:t xml:space="preserve">2015Q2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NASA FY2015 Budget Estimates; BryceTech Start-Up Space 2016; FRED TB3MS 2015Q2</w:t>
            </w:r>
          </w:p>
        </w:tc>
      </w:tr>
      <w:tr>
        <w:tc>
          <w:tcPr>
            <w:tcW w:w="0" w:type="auto"/>
          </w:tcPr>
          <w:p>
            <w:pPr>
              <w:spacing w:line="240" w:lineRule="auto" w:before="0" w:after="0"/>
              <w:pStyle w:val="Compact"/>
            </w:pPr>
            <w:r>
              <w:rPr>
                <w:sz w:val="20"/>
                <w:szCs w:val="20"/>
              </w:rPr>
              <w:t xml:space="preserve">2015Q3</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FY2016 Budget Request; BryceTech Start-Up Space 2016; FRED TB3MS 2015Q3</w:t>
            </w:r>
          </w:p>
        </w:tc>
      </w:tr>
      <w:tr>
        <w:tc>
          <w:tcPr>
            <w:tcW w:w="0" w:type="auto"/>
          </w:tcPr>
          <w:p>
            <w:pPr>
              <w:spacing w:line="240" w:lineRule="auto" w:before="0" w:after="0"/>
              <w:pStyle w:val="Compact"/>
            </w:pPr>
            <w:r>
              <w:rPr>
                <w:sz w:val="20"/>
                <w:szCs w:val="20"/>
              </w:rPr>
              <w:t xml:space="preserve">2015Q4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NASA FY2016 Budget Estimates; BryceTech Start-Up Space 2016; FRED TB3MS 2015Q4</w:t>
            </w:r>
          </w:p>
        </w:tc>
      </w:tr>
      <w:tr>
        <w:tc>
          <w:tcPr>
            <w:tcW w:w="0" w:type="auto"/>
          </w:tcPr>
          <w:p>
            <w:pPr>
              <w:spacing w:line="240" w:lineRule="auto" w:before="0" w:after="0"/>
              <w:pStyle w:val="Compact"/>
            </w:pPr>
            <w:r>
              <w:rPr>
                <w:sz w:val="20"/>
                <w:szCs w:val="20"/>
              </w:rPr>
              <w:t xml:space="preserve">2016Q1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FY2017 Budget Request (Lunar precursor R&amp;D); BryceTech Start-Up Space 2017; FRED TB3MS 2016Q1</w:t>
            </w:r>
          </w:p>
        </w:tc>
      </w:tr>
      <w:tr>
        <w:tc>
          <w:tcPr>
            <w:tcW w:w="0" w:type="auto"/>
          </w:tcPr>
          <w:p>
            <w:pPr>
              <w:spacing w:line="240" w:lineRule="auto" w:before="0" w:after="0"/>
              <w:pStyle w:val="Compact"/>
            </w:pPr>
            <w:r>
              <w:rPr>
                <w:sz w:val="20"/>
                <w:szCs w:val="20"/>
              </w:rPr>
              <w:t xml:space="preserve">2016Q2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NASA FY2017 Budget Estimates; BryceTech Start-Up Space 2017; FRED TB3MS 2016Q2</w:t>
            </w:r>
          </w:p>
        </w:tc>
      </w:tr>
      <w:tr>
        <w:tc>
          <w:tcPr>
            <w:tcW w:w="0" w:type="auto"/>
          </w:tcPr>
          <w:p>
            <w:pPr>
              <w:spacing w:line="240" w:lineRule="auto" w:before="0" w:after="0"/>
              <w:pStyle w:val="Compact"/>
            </w:pPr>
            <w:r>
              <w:rPr>
                <w:sz w:val="20"/>
                <w:szCs w:val="20"/>
              </w:rPr>
              <w:t xml:space="preserve">2016Q3</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FY2017 Budget Estimates; BryceTech Start-Up Space 2017; FRED TB3MS 2016Q3</w:t>
            </w:r>
          </w:p>
        </w:tc>
      </w:tr>
      <w:tr>
        <w:tc>
          <w:tcPr>
            <w:tcW w:w="0" w:type="auto"/>
          </w:tcPr>
          <w:p>
            <w:pPr>
              <w:spacing w:line="240" w:lineRule="auto" w:before="0" w:after="0"/>
              <w:pStyle w:val="Compact"/>
            </w:pPr>
            <w:r>
              <w:rPr>
                <w:sz w:val="20"/>
                <w:szCs w:val="20"/>
              </w:rPr>
              <w:t xml:space="preserve">2016Q4</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NASA FY2018 Budget Request; BryceTech Start-Up Space 2017; FRED TB3MS 2016Q4</w:t>
            </w:r>
          </w:p>
        </w:tc>
      </w:tr>
      <w:tr>
        <w:tc>
          <w:tcPr>
            <w:tcW w:w="0" w:type="auto"/>
          </w:tcPr>
          <w:p>
            <w:pPr>
              <w:spacing w:line="240" w:lineRule="auto" w:before="0" w:after="0"/>
              <w:pStyle w:val="Compact"/>
            </w:pPr>
            <w:r>
              <w:rPr>
                <w:sz w:val="20"/>
                <w:szCs w:val="20"/>
              </w:rPr>
              <w:t xml:space="preserve">2017Q1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1020</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NASA FY2018 Budget Estimates (Lunar Orbital Platform-Gateway formulation); BryceTech Start-Up Space 2018; FRED TB3MS 2017Q1</w:t>
            </w:r>
          </w:p>
        </w:tc>
      </w:tr>
      <w:tr>
        <w:tc>
          <w:tcPr>
            <w:tcW w:w="0" w:type="auto"/>
          </w:tcPr>
          <w:p>
            <w:pPr>
              <w:spacing w:line="240" w:lineRule="auto" w:before="0" w:after="0"/>
              <w:pStyle w:val="Compact"/>
            </w:pPr>
            <w:r>
              <w:rPr>
                <w:sz w:val="20"/>
                <w:szCs w:val="20"/>
              </w:rPr>
              <w:t xml:space="preserve">2017Q2</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1110</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NASA FY2018 Budget Estimates; BryceTech Start-Up Space 2018; FRED TB3MS 2017Q2</w:t>
            </w:r>
          </w:p>
        </w:tc>
      </w:tr>
      <w:tr>
        <w:tc>
          <w:tcPr>
            <w:tcW w:w="0" w:type="auto"/>
          </w:tcPr>
          <w:p>
            <w:pPr>
              <w:spacing w:line="240" w:lineRule="auto" w:before="0" w:after="0"/>
              <w:pStyle w:val="Compact"/>
            </w:pPr>
            <w:r>
              <w:rPr>
                <w:sz w:val="20"/>
                <w:szCs w:val="20"/>
              </w:rPr>
              <w:t xml:space="preserve">2017Q3</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1180</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NASA FY2019 Budget Request; BryceTech Start-Up Space 2018; FRED TB3MS 2017Q3</w:t>
            </w:r>
          </w:p>
        </w:tc>
      </w:tr>
      <w:tr>
        <w:tc>
          <w:tcPr>
            <w:tcW w:w="0" w:type="auto"/>
          </w:tcPr>
          <w:p>
            <w:pPr>
              <w:spacing w:line="240" w:lineRule="auto" w:before="0" w:after="0"/>
              <w:pStyle w:val="Compact"/>
            </w:pPr>
            <w:r>
              <w:rPr>
                <w:sz w:val="20"/>
                <w:szCs w:val="20"/>
              </w:rPr>
              <w:t xml:space="preserve">2017Q4</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1260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NASA FY2019 Budget Request; BryceTech Start-Up Space 2018; FRED TB3MS 2017Q4</w:t>
            </w:r>
          </w:p>
        </w:tc>
      </w:tr>
      <w:tr>
        <w:tc>
          <w:tcPr>
            <w:tcW w:w="0" w:type="auto"/>
          </w:tcPr>
          <w:p>
            <w:pPr>
              <w:spacing w:line="240" w:lineRule="auto" w:before="0" w:after="0"/>
              <w:pStyle w:val="Compact"/>
            </w:pPr>
            <w:r>
              <w:rPr>
                <w:sz w:val="20"/>
                <w:szCs w:val="20"/>
              </w:rPr>
              <w:t xml:space="preserve">2018Q1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1340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NASA FY2019 Budget Estimates (CLPS Solicitation NNH18ZCQ001K Apr 2018); BryceTech Start-Up Space 2019; FRED TB3MS 2018Q1</w:t>
            </w:r>
          </w:p>
        </w:tc>
      </w:tr>
      <w:tr>
        <w:tc>
          <w:tcPr>
            <w:tcW w:w="0" w:type="auto"/>
          </w:tcPr>
          <w:p>
            <w:pPr>
              <w:spacing w:line="240" w:lineRule="auto" w:before="0" w:after="0"/>
              <w:pStyle w:val="Compact"/>
            </w:pPr>
            <w:r>
              <w:rPr>
                <w:sz w:val="20"/>
                <w:szCs w:val="20"/>
              </w:rPr>
              <w:t xml:space="preserve">2018Q2</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212</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1410</w:t>
            </w:r>
          </w:p>
        </w:tc>
        <w:tc>
          <w:tcPr>
            <w:tcW w:w="0" w:type="auto"/>
          </w:tcPr>
          <w:p>
            <w:pPr>
              <w:spacing w:line="240" w:lineRule="auto" w:before="0" w:after="0"/>
              <w:pStyle w:val="Compact"/>
            </w:pPr>
            <w:r>
              <w:rPr>
                <w:sz w:val="20"/>
                <w:szCs w:val="20"/>
              </w:rPr>
              <w:t xml:space="preserve">1.93</w:t>
            </w:r>
          </w:p>
        </w:tc>
        <w:tc>
          <w:tcPr>
            <w:tcW w:w="0" w:type="auto"/>
          </w:tcPr>
          <w:p>
            <w:pPr>
              <w:spacing w:line="240" w:lineRule="auto" w:before="0" w:after="0"/>
              <w:pStyle w:val="Compact"/>
            </w:pPr>
            <w:r>
              <w:rPr>
                <w:sz w:val="20"/>
                <w:szCs w:val="20"/>
              </w:rPr>
              <w:t xml:space="preserve">NASA CLPS Task Order Solicitation Apr 2018; BryceTech Start-Up Space 2019; FRED TB3MS 2018Q2</w:t>
            </w:r>
          </w:p>
        </w:tc>
      </w:tr>
      <w:tr>
        <w:tc>
          <w:tcPr>
            <w:tcW w:w="0" w:type="auto"/>
          </w:tcPr>
          <w:p>
            <w:pPr>
              <w:spacing w:line="240" w:lineRule="auto" w:before="0" w:after="0"/>
              <w:pStyle w:val="Compact"/>
            </w:pPr>
            <w:r>
              <w:rPr>
                <w:sz w:val="20"/>
                <w:szCs w:val="20"/>
              </w:rPr>
              <w:t xml:space="preserve">2018Q3</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1490</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NASA CLPS Pool Awards Nov 2018 (9 vendors, IDIQ ceiling $2.6B); BryceTech Start-Up Space 2019; FRED TB3MS 2018Q3</w:t>
            </w:r>
          </w:p>
        </w:tc>
      </w:tr>
      <w:tr>
        <w:tc>
          <w:tcPr>
            <w:tcW w:w="0" w:type="auto"/>
          </w:tcPr>
          <w:p>
            <w:pPr>
              <w:spacing w:line="240" w:lineRule="auto" w:before="0" w:after="0"/>
              <w:pStyle w:val="Compact"/>
            </w:pPr>
            <w:r>
              <w:rPr>
                <w:sz w:val="20"/>
                <w:szCs w:val="20"/>
              </w:rPr>
              <w:t xml:space="preserve">2018Q4</w:t>
            </w:r>
          </w:p>
        </w:tc>
        <w:tc>
          <w:tcPr>
            <w:tcW w:w="0" w:type="auto"/>
          </w:tcPr>
          <w:p>
            <w:pPr>
              <w:spacing w:line="240" w:lineRule="auto" w:before="0" w:after="0"/>
              <w:pStyle w:val="Compact"/>
            </w:pPr>
            <w:r>
              <w:rPr>
                <w:sz w:val="20"/>
                <w:szCs w:val="20"/>
              </w:rPr>
              <w:t xml:space="preserve">356</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1560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NASA CLPS Pool Awards Nov 30 2018; BryceTech Start-Up Space 2019; FRED TB3MS 2018Q4</w:t>
            </w:r>
          </w:p>
        </w:tc>
      </w:tr>
      <w:tr>
        <w:tc>
          <w:tcPr>
            <w:tcW w:w="0" w:type="auto"/>
          </w:tcPr>
          <w:p>
            <w:pPr>
              <w:spacing w:line="240" w:lineRule="auto" w:before="0" w:after="0"/>
              <w:pStyle w:val="Compact"/>
            </w:pPr>
            <w:r>
              <w:rPr>
                <w:sz w:val="20"/>
                <w:szCs w:val="20"/>
              </w:rPr>
              <w:t xml:space="preserve">2019Q1</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356</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1640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FY2020 Budget Amendment (Artemis acceleration to 2024); BryceTech Start-Up Space 2020; FRED TB3MS 2019Q1</w:t>
            </w:r>
          </w:p>
        </w:tc>
      </w:tr>
      <w:tr>
        <w:tc>
          <w:tcPr>
            <w:tcW w:w="0" w:type="auto"/>
          </w:tcPr>
          <w:p>
            <w:pPr>
              <w:spacing w:line="240" w:lineRule="auto" w:before="0" w:after="0"/>
              <w:pStyle w:val="Compact"/>
            </w:pPr>
            <w:r>
              <w:rPr>
                <w:sz w:val="20"/>
                <w:szCs w:val="20"/>
              </w:rPr>
              <w:t xml:space="preserve">2019Q2</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356</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1720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NASA CLPS TO2-AB Astrobotic $79.5M and TO2-IM Intuitive Machines $77M May 2019; BryceTech Start-Up Space 2020; FRED TB3MS 2019Q2</w:t>
            </w:r>
          </w:p>
        </w:tc>
      </w:tr>
      <w:tr>
        <w:tc>
          <w:tcPr>
            <w:tcW w:w="0" w:type="auto"/>
          </w:tcPr>
          <w:p>
            <w:pPr>
              <w:spacing w:line="240" w:lineRule="auto" w:before="0" w:after="0"/>
              <w:pStyle w:val="Compact"/>
            </w:pPr>
            <w:r>
              <w:rPr>
                <w:sz w:val="20"/>
                <w:szCs w:val="20"/>
              </w:rPr>
              <w:t xml:space="preserve">2019Q3</w:t>
            </w:r>
          </w:p>
        </w:tc>
        <w:tc>
          <w:tcPr>
            <w:tcW w:w="0" w:type="auto"/>
          </w:tcPr>
          <w:p>
            <w:pPr>
              <w:spacing w:line="240" w:lineRule="auto" w:before="0" w:after="0"/>
              <w:pStyle w:val="Compact"/>
            </w:pPr>
            <w:r>
              <w:rPr>
                <w:sz w:val="20"/>
                <w:szCs w:val="20"/>
              </w:rPr>
              <w:t xml:space="preserve">542</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1810</w:t>
            </w:r>
          </w:p>
        </w:tc>
        <w:tc>
          <w:tcPr>
            <w:tcW w:w="0" w:type="auto"/>
          </w:tcPr>
          <w:p>
            <w:pPr>
              <w:spacing w:line="240" w:lineRule="auto" w:before="0" w:after="0"/>
              <w:pStyle w:val="Compact"/>
            </w:pPr>
            <w:r>
              <w:rPr>
                <w:sz w:val="20"/>
                <w:szCs w:val="20"/>
              </w:rPr>
              <w:t xml:space="preserve">1.97</w:t>
            </w:r>
          </w:p>
        </w:tc>
        <w:tc>
          <w:tcPr>
            <w:tcW w:w="0" w:type="auto"/>
          </w:tcPr>
          <w:p>
            <w:pPr>
              <w:spacing w:line="240" w:lineRule="auto" w:before="0" w:after="0"/>
              <w:pStyle w:val="Compact"/>
            </w:pPr>
            <w:r>
              <w:rPr>
                <w:sz w:val="20"/>
                <w:szCs w:val="20"/>
              </w:rPr>
              <w:t xml:space="preserve">NASA Artemis HLS NextSTEP-2 Appendix H Sep 2019; BryceTech Start-Up Space 2020; FRED TB3MS 2019Q3</w:t>
            </w:r>
          </w:p>
        </w:tc>
      </w:tr>
      <w:tr>
        <w:tc>
          <w:tcPr>
            <w:tcW w:w="0" w:type="auto"/>
          </w:tcPr>
          <w:p>
            <w:pPr>
              <w:spacing w:line="240" w:lineRule="auto" w:before="0" w:after="0"/>
              <w:pStyle w:val="Compact"/>
            </w:pPr>
            <w:r>
              <w:rPr>
                <w:sz w:val="20"/>
                <w:szCs w:val="20"/>
              </w:rPr>
              <w:t xml:space="preserve">2019Q4</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542</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NASA FY2020 Appropriations (Artemis $600M ramp); BryceTech Start-Up Space 2020; FRED TB3MS 2019Q4</w:t>
            </w:r>
          </w:p>
        </w:tc>
      </w:tr>
      <w:tr>
        <w:tc>
          <w:tcPr>
            <w:tcW w:w="0" w:type="auto"/>
          </w:tcPr>
          <w:p>
            <w:pPr>
              <w:spacing w:line="240" w:lineRule="auto" w:before="0" w:after="0"/>
              <w:pStyle w:val="Compact"/>
            </w:pPr>
            <w:r>
              <w:rPr>
                <w:sz w:val="20"/>
                <w:szCs w:val="20"/>
              </w:rPr>
              <w:t xml:space="preserve">2020Q1</w:t>
            </w:r>
          </w:p>
        </w:tc>
        <w:tc>
          <w:tcPr>
            <w:tcW w:w="0" w:type="auto"/>
          </w:tcPr>
          <w:p>
            <w:pPr>
              <w:spacing w:line="240" w:lineRule="auto" w:before="0" w:after="0"/>
              <w:pStyle w:val="Compact"/>
            </w:pPr>
            <w:r>
              <w:rPr>
                <w:sz w:val="20"/>
                <w:szCs w:val="20"/>
              </w:rPr>
              <w:t xml:space="preserve">698</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542</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1810</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NASA HLS Initial Awards Apr 30 2020 (SpaceX $135M, Blue Origin $579M, Dynetics $253M); BryceTech Start-Up Space 2021; FRED TB3MS 2020Q1</w:t>
            </w:r>
          </w:p>
        </w:tc>
      </w:tr>
      <w:tr>
        <w:tc>
          <w:tcPr>
            <w:tcW w:w="0" w:type="auto"/>
          </w:tcPr>
          <w:p>
            <w:pPr>
              <w:spacing w:line="240" w:lineRule="auto" w:before="0" w:after="0"/>
              <w:pStyle w:val="Compact"/>
            </w:pPr>
            <w:r>
              <w:rPr>
                <w:sz w:val="20"/>
                <w:szCs w:val="20"/>
              </w:rPr>
              <w:t xml:space="preserve">2020Q2</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698</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578</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NASA HLS Base Period funding Q2 2020; BryceTech Start-Up Space 2021; FRED TB3MS 2020Q2</w:t>
            </w:r>
          </w:p>
        </w:tc>
      </w:tr>
      <w:tr>
        <w:tc>
          <w:tcPr>
            <w:tcW w:w="0" w:type="auto"/>
          </w:tcPr>
          <w:p>
            <w:pPr>
              <w:spacing w:line="240" w:lineRule="auto" w:before="0" w:after="0"/>
              <w:pStyle w:val="Compact"/>
            </w:pPr>
            <w:r>
              <w:rPr>
                <w:sz w:val="20"/>
                <w:szCs w:val="20"/>
              </w:rPr>
              <w:t xml:space="preserve">2020Q3</w:t>
            </w:r>
          </w:p>
        </w:tc>
        <w:tc>
          <w:tcPr>
            <w:tcW w:w="0" w:type="auto"/>
          </w:tcPr>
          <w:p>
            <w:pPr>
              <w:spacing w:line="240" w:lineRule="auto" w:before="0" w:after="0"/>
              <w:pStyle w:val="Compact"/>
            </w:pPr>
            <w:r>
              <w:rPr>
                <w:sz w:val="20"/>
                <w:szCs w:val="20"/>
              </w:rPr>
              <w:t xml:space="preserve">868</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698</w:t>
            </w:r>
          </w:p>
        </w:tc>
        <w:tc>
          <w:tcPr>
            <w:tcW w:w="0" w:type="auto"/>
          </w:tcPr>
          <w:p>
            <w:pPr>
              <w:spacing w:line="240" w:lineRule="auto" w:before="0" w:after="0"/>
              <w:pStyle w:val="Compact"/>
            </w:pPr>
            <w:r>
              <w:rPr>
                <w:sz w:val="20"/>
                <w:szCs w:val="20"/>
              </w:rPr>
              <w:t xml:space="preserve">641</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NASA Gateway HALO Northrop Grumman $935M Jul 2020; BryceTech Start-Up Space 2021; FRED TB3MS 2020Q3</w:t>
            </w:r>
          </w:p>
        </w:tc>
      </w:tr>
      <w:tr>
        <w:tc>
          <w:tcPr>
            <w:tcW w:w="0" w:type="auto"/>
          </w:tcPr>
          <w:p>
            <w:pPr>
              <w:spacing w:line="240" w:lineRule="auto" w:before="0" w:after="0"/>
              <w:pStyle w:val="Compact"/>
            </w:pPr>
            <w:r>
              <w:rPr>
                <w:sz w:val="20"/>
                <w:szCs w:val="20"/>
              </w:rPr>
              <w:t xml:space="preserve">2020Q4</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868</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712</w:t>
            </w:r>
          </w:p>
        </w:tc>
        <w:tc>
          <w:tcPr>
            <w:tcW w:w="0" w:type="auto"/>
          </w:tcPr>
          <w:p>
            <w:pPr>
              <w:spacing w:line="240" w:lineRule="auto" w:before="0" w:after="0"/>
              <w:pStyle w:val="Compact"/>
            </w:pPr>
            <w:r>
              <w:rPr>
                <w:sz w:val="20"/>
                <w:szCs w:val="20"/>
              </w:rPr>
              <w:t xml:space="preserve">1920</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NASA FY2021 Appropriations; GAO-21-330 (HLS protest backdrop); BryceTech Start-Up Space 2021; FRED TB3MS 2020Q4</w:t>
            </w:r>
          </w:p>
        </w:tc>
      </w:tr>
      <w:tr>
        <w:tc>
          <w:tcPr>
            <w:tcW w:w="0" w:type="auto"/>
          </w:tcPr>
          <w:p>
            <w:pPr>
              <w:spacing w:line="240" w:lineRule="auto" w:before="0" w:after="0"/>
              <w:pStyle w:val="Compact"/>
            </w:pPr>
            <w:r>
              <w:rPr>
                <w:sz w:val="20"/>
                <w:szCs w:val="20"/>
              </w:rPr>
              <w:t xml:space="preserve">2021Q1</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868</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FY2022 Budget Request; BryceTech Start-Up Space 2022; FRED TB3MS 2021Q1</w:t>
            </w:r>
          </w:p>
        </w:tc>
      </w:tr>
      <w:tr>
        <w:tc>
          <w:tcPr>
            <w:tcW w:w="0" w:type="auto"/>
          </w:tcPr>
          <w:p>
            <w:pPr>
              <w:spacing w:line="240" w:lineRule="auto" w:before="0" w:after="0"/>
              <w:pStyle w:val="Compact"/>
            </w:pPr>
            <w:r>
              <w:rPr>
                <w:sz w:val="20"/>
                <w:szCs w:val="20"/>
              </w:rPr>
              <w:t xml:space="preserve">2021Q2</w:t>
            </w:r>
          </w:p>
        </w:tc>
        <w:tc>
          <w:tcPr>
            <w:tcW w:w="0" w:type="auto"/>
          </w:tcPr>
          <w:p>
            <w:pPr>
              <w:spacing w:line="240" w:lineRule="auto" w:before="0" w:after="0"/>
              <w:pStyle w:val="Compact"/>
            </w:pPr>
            <w:r>
              <w:rPr>
                <w:sz w:val="20"/>
                <w:szCs w:val="20"/>
              </w:rPr>
              <w:t xml:space="preserve">1162</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952</w:t>
            </w:r>
          </w:p>
        </w:tc>
        <w:tc>
          <w:tcPr>
            <w:tcW w:w="0" w:type="auto"/>
          </w:tcPr>
          <w:p>
            <w:pPr>
              <w:spacing w:line="240" w:lineRule="auto" w:before="0" w:after="0"/>
              <w:pStyle w:val="Compact"/>
            </w:pPr>
            <w:r>
              <w:rPr>
                <w:sz w:val="20"/>
                <w:szCs w:val="20"/>
              </w:rPr>
              <w:t xml:space="preserve">892</w:t>
            </w:r>
          </w:p>
        </w:tc>
        <w:tc>
          <w:tcPr>
            <w:tcW w:w="0" w:type="auto"/>
          </w:tcPr>
          <w:p>
            <w:pPr>
              <w:spacing w:line="240" w:lineRule="auto" w:before="0" w:after="0"/>
              <w:pStyle w:val="Compact"/>
            </w:pPr>
            <w:r>
              <w:rPr>
                <w:sz w:val="20"/>
                <w:szCs w:val="20"/>
              </w:rPr>
              <w:t xml:space="preserve">2210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NASA HLS Option A Award SpaceX $2.89B Apr 16 2021; BryceTech Start-Up Space 2022; FRED TB3MS 2021Q2</w:t>
            </w:r>
          </w:p>
        </w:tc>
      </w:tr>
      <w:tr>
        <w:tc>
          <w:tcPr>
            <w:tcW w:w="0" w:type="auto"/>
          </w:tcPr>
          <w:p>
            <w:pPr>
              <w:spacing w:line="240" w:lineRule="auto" w:before="0" w:after="0"/>
              <w:pStyle w:val="Compact"/>
            </w:pPr>
            <w:r>
              <w:rPr>
                <w:sz w:val="20"/>
                <w:szCs w:val="20"/>
              </w:rPr>
              <w:t xml:space="preserve">2021Q3</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1162</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1015</w:t>
            </w:r>
          </w:p>
        </w:tc>
        <w:tc>
          <w:tcPr>
            <w:tcW w:w="0" w:type="auto"/>
          </w:tcPr>
          <w:p>
            <w:pPr>
              <w:spacing w:line="240" w:lineRule="auto" w:before="0" w:after="0"/>
              <w:pStyle w:val="Compact"/>
            </w:pPr>
            <w:r>
              <w:rPr>
                <w:sz w:val="20"/>
                <w:szCs w:val="20"/>
              </w:rPr>
              <w:t xml:space="preserve">2380</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NASA Artemis budget acceleration; BryceTech Start-Up Space 2022; FRED TB3MS 2021Q3</w:t>
            </w:r>
          </w:p>
        </w:tc>
      </w:tr>
      <w:tr>
        <w:tc>
          <w:tcPr>
            <w:tcW w:w="0" w:type="auto"/>
          </w:tcPr>
          <w:p>
            <w:pPr>
              <w:spacing w:line="240" w:lineRule="auto" w:before="0" w:after="0"/>
              <w:pStyle w:val="Compact"/>
            </w:pPr>
            <w:r>
              <w:rPr>
                <w:sz w:val="20"/>
                <w:szCs w:val="20"/>
              </w:rPr>
              <w:t xml:space="preserve">2021Q4</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1162</w:t>
            </w:r>
          </w:p>
        </w:tc>
        <w:tc>
          <w:tcPr>
            <w:tcW w:w="0" w:type="auto"/>
          </w:tcPr>
          <w:p>
            <w:pPr>
              <w:spacing w:line="240" w:lineRule="auto" w:before="0" w:after="0"/>
              <w:pStyle w:val="Compact"/>
            </w:pPr>
            <w:r>
              <w:rPr>
                <w:sz w:val="20"/>
                <w:szCs w:val="20"/>
              </w:rPr>
              <w:t xml:space="preserve">1156</w:t>
            </w:r>
          </w:p>
        </w:tc>
        <w:tc>
          <w:tcPr>
            <w:tcW w:w="0" w:type="auto"/>
          </w:tcPr>
          <w:p>
            <w:pPr>
              <w:spacing w:line="240" w:lineRule="auto" w:before="0" w:after="0"/>
              <w:pStyle w:val="Compact"/>
            </w:pPr>
            <w:r>
              <w:rPr>
                <w:sz w:val="20"/>
                <w:szCs w:val="20"/>
              </w:rPr>
              <w:t xml:space="preserve">2540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NASA FY2022 Appropriations; BryceTech Start-Up Space 2022; FRED TB3MS 2021Q4</w:t>
            </w:r>
          </w:p>
        </w:tc>
      </w:tr>
      <w:tr>
        <w:tc>
          <w:tcPr>
            <w:tcW w:w="0" w:type="auto"/>
          </w:tcPr>
          <w:p>
            <w:pPr>
              <w:spacing w:line="240" w:lineRule="auto" w:before="0" w:after="0"/>
              <w:pStyle w:val="Compact"/>
            </w:pPr>
            <w:r>
              <w:rPr>
                <w:sz w:val="20"/>
                <w:szCs w:val="20"/>
              </w:rPr>
              <w:t xml:space="preserve">2022Q1</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1284</w:t>
            </w:r>
          </w:p>
        </w:tc>
        <w:tc>
          <w:tcPr>
            <w:tcW w:w="0" w:type="auto"/>
          </w:tcPr>
          <w:p>
            <w:pPr>
              <w:spacing w:line="240" w:lineRule="auto" w:before="0" w:after="0"/>
              <w:pStyle w:val="Compact"/>
            </w:pPr>
            <w:r>
              <w:rPr>
                <w:sz w:val="20"/>
                <w:szCs w:val="20"/>
              </w:rPr>
              <w:t xml:space="preserve">1298</w:t>
            </w:r>
          </w:p>
        </w:tc>
        <w:tc>
          <w:tcPr>
            <w:tcW w:w="0" w:type="auto"/>
          </w:tcPr>
          <w:p>
            <w:pPr>
              <w:spacing w:line="240" w:lineRule="auto" w:before="0" w:after="0"/>
              <w:pStyle w:val="Compact"/>
            </w:pPr>
            <w:r>
              <w:rPr>
                <w:sz w:val="20"/>
                <w:szCs w:val="20"/>
              </w:rPr>
              <w:t xml:space="preserve">2680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GAO-22-105533 NASA Major Projects (HLS, Gateway, Orion); BryceTech Start-Up Space 2023; FRED TB3MS 2022Q1</w:t>
            </w:r>
          </w:p>
        </w:tc>
      </w:tr>
      <w:tr>
        <w:tc>
          <w:tcPr>
            <w:tcW w:w="0" w:type="auto"/>
          </w:tcPr>
          <w:p>
            <w:pPr>
              <w:spacing w:line="240" w:lineRule="auto" w:before="0" w:after="0"/>
              <w:pStyle w:val="Compact"/>
            </w:pPr>
            <w:r>
              <w:rPr>
                <w:sz w:val="20"/>
                <w:szCs w:val="20"/>
              </w:rPr>
              <w:t xml:space="preserve">2022Q2</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1452</w:t>
            </w:r>
          </w:p>
        </w:tc>
        <w:tc>
          <w:tcPr>
            <w:tcW w:w="0" w:type="auto"/>
          </w:tcPr>
          <w:p>
            <w:pPr>
              <w:spacing w:line="240" w:lineRule="auto" w:before="0" w:after="0"/>
              <w:pStyle w:val="Compact"/>
            </w:pPr>
            <w:r>
              <w:rPr>
                <w:sz w:val="20"/>
                <w:szCs w:val="20"/>
              </w:rPr>
              <w:t xml:space="preserve">2810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NASA CLPS Task Order CP-11 Firefly Blue Ghost $93.3M; BryceTech Start-Up Space 2023; FRED TB3MS 2022Q2</w:t>
            </w:r>
          </w:p>
        </w:tc>
      </w:tr>
      <w:tr>
        <w:tc>
          <w:tcPr>
            <w:tcW w:w="0" w:type="auto"/>
          </w:tcPr>
          <w:p>
            <w:pPr>
              <w:spacing w:line="240" w:lineRule="auto" w:before="0" w:after="0"/>
              <w:pStyle w:val="Compact"/>
            </w:pPr>
            <w:r>
              <w:rPr>
                <w:sz w:val="20"/>
                <w:szCs w:val="20"/>
              </w:rPr>
              <w:t xml:space="preserve">2022Q3</w:t>
            </w:r>
          </w:p>
        </w:tc>
        <w:tc>
          <w:tcPr>
            <w:tcW w:w="0" w:type="auto"/>
          </w:tcPr>
          <w:p>
            <w:pPr>
              <w:spacing w:line="240" w:lineRule="auto" w:before="0" w:after="0"/>
              <w:pStyle w:val="Compact"/>
            </w:pPr>
            <w:r>
              <w:rPr>
                <w:sz w:val="20"/>
                <w:szCs w:val="20"/>
              </w:rPr>
              <w:t xml:space="preserve">1858</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1565</w:t>
            </w:r>
          </w:p>
        </w:tc>
        <w:tc>
          <w:tcPr>
            <w:tcW w:w="0" w:type="auto"/>
          </w:tcPr>
          <w:p>
            <w:pPr>
              <w:spacing w:line="240" w:lineRule="auto" w:before="0" w:after="0"/>
              <w:pStyle w:val="Compact"/>
            </w:pPr>
            <w:r>
              <w:rPr>
                <w:sz w:val="20"/>
                <w:szCs w:val="20"/>
              </w:rPr>
              <w:t xml:space="preserve">1612</w:t>
            </w:r>
          </w:p>
        </w:tc>
        <w:tc>
          <w:tcPr>
            <w:tcW w:w="0" w:type="auto"/>
          </w:tcPr>
          <w:p>
            <w:pPr>
              <w:spacing w:line="240" w:lineRule="auto" w:before="0" w:after="0"/>
              <w:pStyle w:val="Compact"/>
            </w:pPr>
            <w:r>
              <w:rPr>
                <w:sz w:val="20"/>
                <w:szCs w:val="20"/>
              </w:rPr>
              <w:t xml:space="preserve">2950</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NASA Artemis I launch SLS Nov 16 2022; BryceTech Start-Up Space 2023; FRED TB3MS 2022Q3</w:t>
            </w:r>
          </w:p>
        </w:tc>
      </w:tr>
      <w:tr>
        <w:tc>
          <w:tcPr>
            <w:tcW w:w="0" w:type="auto"/>
          </w:tcPr>
          <w:p>
            <w:pPr>
              <w:spacing w:line="240" w:lineRule="auto" w:before="0" w:after="0"/>
              <w:pStyle w:val="Compact"/>
            </w:pPr>
            <w:r>
              <w:rPr>
                <w:sz w:val="20"/>
                <w:szCs w:val="20"/>
              </w:rPr>
              <w:t xml:space="preserve">2022Q4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1858</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1788</w:t>
            </w:r>
          </w:p>
        </w:tc>
        <w:tc>
          <w:tcPr>
            <w:tcW w:w="0" w:type="auto"/>
          </w:tcPr>
          <w:p>
            <w:pPr>
              <w:spacing w:line="240" w:lineRule="auto" w:before="0" w:after="0"/>
              <w:pStyle w:val="Compact"/>
            </w:pPr>
            <w:r>
              <w:rPr>
                <w:sz w:val="20"/>
                <w:szCs w:val="20"/>
              </w:rPr>
              <w:t xml:space="preserve">3080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NASA HLS Sustaining Lunar Development Contract Solicitation Sep 20 2022; BryceTech Start-Up Space 2023; FRED TB3MS 2022Q4</w:t>
            </w:r>
          </w:p>
        </w:tc>
      </w:tr>
      <w:tr>
        <w:tc>
          <w:tcPr>
            <w:tcW w:w="0" w:type="auto"/>
          </w:tcPr>
          <w:p>
            <w:pPr>
              <w:spacing w:line="240" w:lineRule="auto" w:before="0" w:after="0"/>
              <w:pStyle w:val="Compact"/>
            </w:pPr>
            <w:r>
              <w:rPr>
                <w:sz w:val="20"/>
                <w:szCs w:val="20"/>
              </w:rPr>
              <w:t xml:space="preserve">2023Q1</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1858</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3240</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NASA HLS Option B SpaceX $1.15B Nov 2022 obligation; BryceTech Start-Up Space 2024; FRED TB3MS 2023Q1</w:t>
            </w:r>
          </w:p>
        </w:tc>
      </w:tr>
      <w:tr>
        <w:tc>
          <w:tcPr>
            <w:tcW w:w="0" w:type="auto"/>
          </w:tcPr>
          <w:p>
            <w:pPr>
              <w:spacing w:line="240" w:lineRule="auto" w:before="0" w:after="0"/>
              <w:pStyle w:val="Compact"/>
            </w:pPr>
            <w:r>
              <w:rPr>
                <w:sz w:val="20"/>
                <w:szCs w:val="20"/>
              </w:rPr>
              <w:t xml:space="preserve">2023Q2</w:t>
            </w:r>
          </w:p>
        </w:tc>
        <w:tc>
          <w:tcPr>
            <w:tcW w:w="0" w:type="auto"/>
          </w:tcPr>
          <w:p>
            <w:pPr>
              <w:spacing w:line="240" w:lineRule="auto" w:before="0" w:after="0"/>
              <w:pStyle w:val="Compact"/>
            </w:pPr>
            <w:r>
              <w:rPr>
                <w:sz w:val="20"/>
                <w:szCs w:val="20"/>
              </w:rPr>
              <w:t xml:space="preserve">2378</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2148</w:t>
            </w:r>
          </w:p>
        </w:tc>
        <w:tc>
          <w:tcPr>
            <w:tcW w:w="0" w:type="auto"/>
          </w:tcPr>
          <w:p>
            <w:pPr>
              <w:spacing w:line="240" w:lineRule="auto" w:before="0" w:after="0"/>
              <w:pStyle w:val="Compact"/>
            </w:pPr>
            <w:r>
              <w:rPr>
                <w:sz w:val="20"/>
                <w:szCs w:val="20"/>
              </w:rPr>
              <w:t xml:space="preserve">3390</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NASA Lunar Terrain Vehicle Services Solicitation 80JSC023R0001 May 2023; BryceTech Start-Up Space 2024; FRED TB3MS 2023Q2</w:t>
            </w:r>
          </w:p>
        </w:tc>
      </w:tr>
      <w:tr>
        <w:tc>
          <w:tcPr>
            <w:tcW w:w="0" w:type="auto"/>
          </w:tcPr>
          <w:p>
            <w:pPr>
              <w:spacing w:line="240" w:lineRule="auto" w:before="0" w:after="0"/>
              <w:pStyle w:val="Compact"/>
            </w:pPr>
            <w:r>
              <w:rPr>
                <w:sz w:val="20"/>
                <w:szCs w:val="20"/>
              </w:rPr>
              <w:t xml:space="preserve">2023Q3</w:t>
            </w:r>
          </w:p>
        </w:tc>
        <w:tc>
          <w:tcPr>
            <w:tcW w:w="0" w:type="auto"/>
          </w:tcPr>
          <w:p>
            <w:pPr>
              <w:spacing w:line="240" w:lineRule="auto" w:before="0" w:after="0"/>
              <w:pStyle w:val="Compact"/>
            </w:pPr>
            <w:r>
              <w:rPr>
                <w:sz w:val="20"/>
                <w:szCs w:val="20"/>
              </w:rPr>
              <w:t xml:space="preserve">2562</w:t>
            </w:r>
          </w:p>
        </w:tc>
        <w:tc>
          <w:tcPr>
            <w:tcW w:w="0" w:type="auto"/>
          </w:tcPr>
          <w:p>
            <w:pPr>
              <w:spacing w:line="240" w:lineRule="auto" w:before="0" w:after="0"/>
              <w:pStyle w:val="Compact"/>
            </w:pPr>
            <w:r>
              <w:rPr>
                <w:sz w:val="20"/>
                <w:szCs w:val="20"/>
              </w:rPr>
              <w:t xml:space="preserve">2378</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2336</w:t>
            </w:r>
          </w:p>
        </w:tc>
        <w:tc>
          <w:tcPr>
            <w:tcW w:w="0" w:type="auto"/>
          </w:tcPr>
          <w:p>
            <w:pPr>
              <w:spacing w:line="240" w:lineRule="auto" w:before="0" w:after="0"/>
              <w:pStyle w:val="Compact"/>
            </w:pPr>
            <w:r>
              <w:rPr>
                <w:sz w:val="20"/>
                <w:szCs w:val="20"/>
              </w:rPr>
              <w:t xml:space="preserve">3550</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GAO-23-106021 NASA Assessment of Major Projects (CLPS, HLS, Gateway tracked); BryceTech Start-Up Space 2024; FRED TB3MS 2023Q3</w:t>
            </w:r>
          </w:p>
        </w:tc>
      </w:tr>
      <w:tr>
        <w:tc>
          <w:tcPr>
            <w:tcW w:w="0" w:type="auto"/>
          </w:tcPr>
          <w:p>
            <w:pPr>
              <w:spacing w:line="240" w:lineRule="auto" w:before="0" w:after="0"/>
              <w:pStyle w:val="Compact"/>
            </w:pPr>
            <w:r>
              <w:rPr>
                <w:sz w:val="20"/>
                <w:szCs w:val="20"/>
              </w:rPr>
              <w:t xml:space="preserve">2023Q4</w:t>
            </w:r>
          </w:p>
        </w:tc>
        <w:tc>
          <w:tcPr>
            <w:tcW w:w="0" w:type="auto"/>
          </w:tcPr>
          <w:p>
            <w:pPr>
              <w:spacing w:line="240" w:lineRule="auto" w:before="0" w:after="0"/>
              <w:pStyle w:val="Compact"/>
            </w:pPr>
            <w:r>
              <w:rPr>
                <w:sz w:val="20"/>
                <w:szCs w:val="20"/>
              </w:rPr>
              <w:t xml:space="preserve">2754</w:t>
            </w:r>
          </w:p>
        </w:tc>
        <w:tc>
          <w:tcPr>
            <w:tcW w:w="0" w:type="auto"/>
          </w:tcPr>
          <w:p>
            <w:pPr>
              <w:spacing w:line="240" w:lineRule="auto" w:before="0" w:after="0"/>
              <w:pStyle w:val="Compact"/>
            </w:pPr>
            <w:r>
              <w:rPr>
                <w:sz w:val="20"/>
                <w:szCs w:val="20"/>
              </w:rPr>
              <w:t xml:space="preserve">2562</w:t>
            </w:r>
          </w:p>
        </w:tc>
        <w:tc>
          <w:tcPr>
            <w:tcW w:w="0" w:type="auto"/>
          </w:tcPr>
          <w:p>
            <w:pPr>
              <w:spacing w:line="240" w:lineRule="auto" w:before="0" w:after="0"/>
              <w:pStyle w:val="Compact"/>
            </w:pPr>
            <w:r>
              <w:rPr>
                <w:sz w:val="20"/>
                <w:szCs w:val="20"/>
              </w:rPr>
              <w:t xml:space="preserve">2378</w:t>
            </w:r>
          </w:p>
        </w:tc>
        <w:tc>
          <w:tcPr>
            <w:tcW w:w="0" w:type="auto"/>
          </w:tcPr>
          <w:p>
            <w:pPr>
              <w:spacing w:line="240" w:lineRule="auto" w:before="0" w:after="0"/>
              <w:pStyle w:val="Compact"/>
            </w:pPr>
            <w:r>
              <w:rPr>
                <w:sz w:val="20"/>
                <w:szCs w:val="20"/>
              </w:rPr>
              <w:t xml:space="preserve">2528</w:t>
            </w:r>
          </w:p>
        </w:tc>
        <w:tc>
          <w:tcPr>
            <w:tcW w:w="0" w:type="auto"/>
          </w:tcPr>
          <w:p>
            <w:pPr>
              <w:spacing w:line="240" w:lineRule="auto" w:before="0" w:after="0"/>
              <w:pStyle w:val="Compact"/>
            </w:pPr>
            <w:r>
              <w:rPr>
                <w:sz w:val="20"/>
                <w:szCs w:val="20"/>
              </w:rPr>
              <w:t xml:space="preserve">3710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NASA HLS Appendix P Blue Origin $3.4B May 19 2023; BryceTech Start-Up Space 2024; FRED TB3MS 2023Q4</w:t>
            </w:r>
          </w:p>
        </w:tc>
      </w:tr>
      <w:tr>
        <w:tc>
          <w:tcPr>
            <w:tcW w:w="0" w:type="auto"/>
          </w:tcPr>
          <w:p>
            <w:pPr>
              <w:spacing w:line="240" w:lineRule="auto" w:before="0" w:after="0"/>
              <w:pStyle w:val="Compact"/>
            </w:pPr>
            <w:r>
              <w:rPr>
                <w:sz w:val="20"/>
                <w:szCs w:val="20"/>
              </w:rPr>
              <w:t xml:space="preserve">2024Q1</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2754</w:t>
            </w:r>
          </w:p>
        </w:tc>
        <w:tc>
          <w:tcPr>
            <w:tcW w:w="0" w:type="auto"/>
          </w:tcPr>
          <w:p>
            <w:pPr>
              <w:spacing w:line="240" w:lineRule="auto" w:before="0" w:after="0"/>
              <w:pStyle w:val="Compact"/>
            </w:pPr>
            <w:r>
              <w:rPr>
                <w:sz w:val="20"/>
                <w:szCs w:val="20"/>
              </w:rPr>
              <w:t xml:space="preserve">2562</w:t>
            </w:r>
          </w:p>
        </w:tc>
        <w:tc>
          <w:tcPr>
            <w:tcW w:w="0" w:type="auto"/>
          </w:tcPr>
          <w:p>
            <w:pPr>
              <w:spacing w:line="240" w:lineRule="auto" w:before="0" w:after="0"/>
              <w:pStyle w:val="Compact"/>
            </w:pPr>
            <w:r>
              <w:rPr>
                <w:sz w:val="20"/>
                <w:szCs w:val="20"/>
              </w:rPr>
              <w:t xml:space="preserve">2725</w:t>
            </w:r>
          </w:p>
        </w:tc>
        <w:tc>
          <w:tcPr>
            <w:tcW w:w="0" w:type="auto"/>
          </w:tcPr>
          <w:p>
            <w:pPr>
              <w:spacing w:line="240" w:lineRule="auto" w:before="0" w:after="0"/>
              <w:pStyle w:val="Compact"/>
            </w:pPr>
            <w:r>
              <w:rPr>
                <w:sz w:val="20"/>
                <w:szCs w:val="20"/>
              </w:rPr>
              <w:t xml:space="preserve">3860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GAO-24-106767 NASA Major-Project Assessment (CLPS, HLS Sustaining); BryceTech Start-Up Space 2025; FRED TB3MS 2024Q1</w:t>
            </w:r>
          </w:p>
        </w:tc>
      </w:tr>
      <w:tr>
        <w:tc>
          <w:tcPr>
            <w:tcW w:w="0" w:type="auto"/>
          </w:tcPr>
          <w:p>
            <w:pPr>
              <w:spacing w:line="240" w:lineRule="auto" w:before="0" w:after="0"/>
              <w:pStyle w:val="Compact"/>
            </w:pPr>
            <w:r>
              <w:rPr>
                <w:sz w:val="20"/>
                <w:szCs w:val="20"/>
              </w:rPr>
              <w:t xml:space="preserve">2024Q2</w:t>
            </w:r>
          </w:p>
        </w:tc>
        <w:tc>
          <w:tcPr>
            <w:tcW w:w="0" w:type="auto"/>
          </w:tcPr>
          <w:p>
            <w:pPr>
              <w:spacing w:line="240" w:lineRule="auto" w:before="0" w:after="0"/>
              <w:pStyle w:val="Compact"/>
            </w:pPr>
            <w:r>
              <w:rPr>
                <w:sz w:val="20"/>
                <w:szCs w:val="20"/>
              </w:rPr>
              <w:t xml:space="preserve">3142</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2754</w:t>
            </w:r>
          </w:p>
        </w:tc>
        <w:tc>
          <w:tcPr>
            <w:tcW w:w="0" w:type="auto"/>
          </w:tcPr>
          <w:p>
            <w:pPr>
              <w:spacing w:line="240" w:lineRule="auto" w:before="0" w:after="0"/>
              <w:pStyle w:val="Compact"/>
            </w:pPr>
            <w:r>
              <w:rPr>
                <w:sz w:val="20"/>
                <w:szCs w:val="20"/>
              </w:rPr>
              <w:t xml:space="preserve">2928</w:t>
            </w:r>
          </w:p>
        </w:tc>
        <w:tc>
          <w:tcPr>
            <w:tcW w:w="0" w:type="auto"/>
          </w:tcPr>
          <w:p>
            <w:pPr>
              <w:spacing w:line="240" w:lineRule="auto" w:before="0" w:after="0"/>
              <w:pStyle w:val="Compact"/>
            </w:pPr>
            <w:r>
              <w:rPr>
                <w:sz w:val="20"/>
                <w:szCs w:val="20"/>
              </w:rPr>
              <w:t xml:space="preserve">4010</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NASA Lunar Terrain Vehicle Services Awards Apr 3 2024 (Intuitive Machines, Lunar Outpost, Venturi Astrolab); BryceTech Start-Up Space 2025; FRED TB3MS 2024Q2</w:t>
            </w:r>
          </w:p>
        </w:tc>
      </w:tr>
      <w:tr>
        <w:tc>
          <w:tcPr>
            <w:tcW w:w="0" w:type="auto"/>
          </w:tcPr>
          <w:p>
            <w:pPr>
              <w:spacing w:line="240" w:lineRule="auto" w:before="0" w:after="0"/>
              <w:pStyle w:val="Compact"/>
            </w:pPr>
            <w:r>
              <w:rPr>
                <w:sz w:val="20"/>
                <w:szCs w:val="20"/>
              </w:rPr>
              <w:t xml:space="preserve">2024Q3</w:t>
            </w:r>
          </w:p>
        </w:tc>
        <w:tc>
          <w:tcPr>
            <w:tcW w:w="0" w:type="auto"/>
          </w:tcPr>
          <w:p>
            <w:pPr>
              <w:spacing w:line="240" w:lineRule="auto" w:before="0" w:after="0"/>
              <w:pStyle w:val="Compact"/>
            </w:pPr>
            <w:r>
              <w:rPr>
                <w:sz w:val="20"/>
                <w:szCs w:val="20"/>
              </w:rPr>
              <w:t xml:space="preserve">3336</w:t>
            </w:r>
          </w:p>
        </w:tc>
        <w:tc>
          <w:tcPr>
            <w:tcW w:w="0" w:type="auto"/>
          </w:tcPr>
          <w:p>
            <w:pPr>
              <w:spacing w:line="240" w:lineRule="auto" w:before="0" w:after="0"/>
              <w:pStyle w:val="Compact"/>
            </w:pPr>
            <w:r>
              <w:rPr>
                <w:sz w:val="20"/>
                <w:szCs w:val="20"/>
              </w:rPr>
              <w:t xml:space="preserve">3142</w:t>
            </w:r>
          </w:p>
        </w:tc>
        <w:tc>
          <w:tcPr>
            <w:tcW w:w="0" w:type="auto"/>
          </w:tcPr>
          <w:p>
            <w:pPr>
              <w:spacing w:line="240" w:lineRule="auto" w:before="0" w:after="0"/>
              <w:pStyle w:val="Compact"/>
            </w:pPr>
            <w:r>
              <w:rPr>
                <w:sz w:val="20"/>
                <w:szCs w:val="20"/>
              </w:rPr>
              <w:t xml:space="preserve">2948</w:t>
            </w:r>
          </w:p>
        </w:tc>
        <w:tc>
          <w:tcPr>
            <w:tcW w:w="0" w:type="auto"/>
          </w:tcPr>
          <w:p>
            <w:pPr>
              <w:spacing w:line="240" w:lineRule="auto" w:before="0" w:after="0"/>
              <w:pStyle w:val="Compact"/>
            </w:pPr>
            <w:r>
              <w:rPr>
                <w:sz w:val="20"/>
                <w:szCs w:val="20"/>
              </w:rPr>
              <w:t xml:space="preserve">3132</w:t>
            </w:r>
          </w:p>
        </w:tc>
        <w:tc>
          <w:tcPr>
            <w:tcW w:w="0" w:type="auto"/>
          </w:tcPr>
          <w:p>
            <w:pPr>
              <w:spacing w:line="240" w:lineRule="auto" w:before="0" w:after="0"/>
              <w:pStyle w:val="Compact"/>
            </w:pPr>
            <w:r>
              <w:rPr>
                <w:sz w:val="20"/>
                <w:szCs w:val="20"/>
              </w:rPr>
              <w:t xml:space="preserve">4150</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NASA CLPS TO19D IM-3 award Mar 2024; BryceTech Start-Up Space 2025; FRED TB3MS 2024Q3</w:t>
            </w:r>
          </w:p>
        </w:tc>
      </w:tr>
      <w:tr>
        <w:tc>
          <w:tcPr>
            <w:tcW w:w="0" w:type="auto"/>
          </w:tcPr>
          <w:p>
            <w:pPr>
              <w:spacing w:line="240" w:lineRule="auto" w:before="0" w:after="0"/>
              <w:pStyle w:val="Compact"/>
            </w:pPr>
            <w:r>
              <w:rPr>
                <w:sz w:val="20"/>
                <w:szCs w:val="20"/>
              </w:rPr>
              <w:t xml:space="preserve">2024Q4</w:t>
            </w:r>
          </w:p>
        </w:tc>
        <w:tc>
          <w:tcPr>
            <w:tcW w:w="0" w:type="auto"/>
          </w:tcPr>
          <w:p>
            <w:pPr>
              <w:spacing w:line="240" w:lineRule="auto" w:before="0" w:after="0"/>
              <w:pStyle w:val="Compact"/>
            </w:pPr>
            <w:r>
              <w:rPr>
                <w:sz w:val="20"/>
                <w:szCs w:val="20"/>
              </w:rPr>
              <w:t xml:space="preserve">3528</w:t>
            </w:r>
          </w:p>
        </w:tc>
        <w:tc>
          <w:tcPr>
            <w:tcW w:w="0" w:type="auto"/>
          </w:tcPr>
          <w:p>
            <w:pPr>
              <w:spacing w:line="240" w:lineRule="auto" w:before="0" w:after="0"/>
              <w:pStyle w:val="Compact"/>
            </w:pPr>
            <w:r>
              <w:rPr>
                <w:sz w:val="20"/>
                <w:szCs w:val="20"/>
              </w:rPr>
              <w:t xml:space="preserve">3336</w:t>
            </w:r>
          </w:p>
        </w:tc>
        <w:tc>
          <w:tcPr>
            <w:tcW w:w="0" w:type="auto"/>
          </w:tcPr>
          <w:p>
            <w:pPr>
              <w:spacing w:line="240" w:lineRule="auto" w:before="0" w:after="0"/>
              <w:pStyle w:val="Compact"/>
            </w:pPr>
            <w:r>
              <w:rPr>
                <w:sz w:val="20"/>
                <w:szCs w:val="20"/>
              </w:rPr>
              <w:t xml:space="preserve">3142</w:t>
            </w:r>
          </w:p>
        </w:tc>
        <w:tc>
          <w:tcPr>
            <w:tcW w:w="0" w:type="auto"/>
          </w:tcPr>
          <w:p>
            <w:pPr>
              <w:spacing w:line="240" w:lineRule="auto" w:before="0" w:after="0"/>
              <w:pStyle w:val="Compact"/>
            </w:pPr>
            <w:r>
              <w:rPr>
                <w:sz w:val="20"/>
                <w:szCs w:val="20"/>
              </w:rPr>
              <w:t xml:space="preserve">3338</w:t>
            </w:r>
          </w:p>
        </w:tc>
        <w:tc>
          <w:tcPr>
            <w:tcW w:w="0" w:type="auto"/>
          </w:tcPr>
          <w:p>
            <w:pPr>
              <w:spacing w:line="240" w:lineRule="auto" w:before="0" w:after="0"/>
              <w:pStyle w:val="Compact"/>
            </w:pPr>
            <w:r>
              <w:rPr>
                <w:sz w:val="20"/>
                <w:szCs w:val="20"/>
              </w:rPr>
              <w:t xml:space="preserve">4290</w:t>
            </w:r>
          </w:p>
        </w:tc>
        <w:tc>
          <w:tcPr>
            <w:tcW w:w="0" w:type="auto"/>
          </w:tcPr>
          <w:p>
            <w:pPr>
              <w:spacing w:line="240" w:lineRule="auto" w:before="0" w:after="0"/>
              <w:pStyle w:val="Compact"/>
            </w:pPr>
            <w:r>
              <w:rPr>
                <w:sz w:val="20"/>
                <w:szCs w:val="20"/>
              </w:rPr>
              <w:t xml:space="preserve">4.43</w:t>
            </w:r>
          </w:p>
        </w:tc>
        <w:tc>
          <w:tcPr>
            <w:tcW w:w="0" w:type="auto"/>
          </w:tcPr>
          <w:p>
            <w:pPr>
              <w:spacing w:line="240" w:lineRule="auto" w:before="0" w:after="0"/>
              <w:pStyle w:val="Compact"/>
            </w:pPr>
            <w:r>
              <w:rPr>
                <w:sz w:val="20"/>
                <w:szCs w:val="20"/>
              </w:rPr>
              <w:t xml:space="preserve">NASA FY2025 Appropriations; BryceTech Start-Up Space 2025; FRED TB3MS 2024Q4</w:t>
            </w:r>
          </w:p>
        </w:tc>
      </w:tr>
      <w:tr>
        <w:tc>
          <w:tcPr>
            <w:tcW w:w="0" w:type="auto"/>
          </w:tcPr>
          <w:p>
            <w:pPr>
              <w:spacing w:line="240" w:lineRule="auto" w:before="0" w:after="0"/>
              <w:pStyle w:val="Compact"/>
            </w:pPr>
            <w:r>
              <w:rPr>
                <w:sz w:val="20"/>
                <w:szCs w:val="20"/>
              </w:rPr>
              <w:t xml:space="preserve">2025Q1</w:t>
            </w:r>
          </w:p>
        </w:tc>
        <w:tc>
          <w:tcPr>
            <w:tcW w:w="0" w:type="auto"/>
          </w:tcPr>
          <w:p>
            <w:pPr>
              <w:spacing w:line="240" w:lineRule="auto" w:before="0" w:after="0"/>
              <w:pStyle w:val="Compact"/>
            </w:pPr>
            <w:r>
              <w:rPr>
                <w:sz w:val="20"/>
                <w:szCs w:val="20"/>
              </w:rPr>
              <w:t xml:space="preserve">3718</w:t>
            </w:r>
          </w:p>
        </w:tc>
        <w:tc>
          <w:tcPr>
            <w:tcW w:w="0" w:type="auto"/>
          </w:tcPr>
          <w:p>
            <w:pPr>
              <w:spacing w:line="240" w:lineRule="auto" w:before="0" w:after="0"/>
              <w:pStyle w:val="Compact"/>
            </w:pPr>
            <w:r>
              <w:rPr>
                <w:sz w:val="20"/>
                <w:szCs w:val="20"/>
              </w:rPr>
              <w:t xml:space="preserve">3528</w:t>
            </w:r>
          </w:p>
        </w:tc>
        <w:tc>
          <w:tcPr>
            <w:tcW w:w="0" w:type="auto"/>
          </w:tcPr>
          <w:p>
            <w:pPr>
              <w:spacing w:line="240" w:lineRule="auto" w:before="0" w:after="0"/>
              <w:pStyle w:val="Compact"/>
            </w:pPr>
            <w:r>
              <w:rPr>
                <w:sz w:val="20"/>
                <w:szCs w:val="20"/>
              </w:rPr>
              <w:t xml:space="preserve">3336</w:t>
            </w:r>
          </w:p>
        </w:tc>
        <w:tc>
          <w:tcPr>
            <w:tcW w:w="0" w:type="auto"/>
          </w:tcPr>
          <w:p>
            <w:pPr>
              <w:spacing w:line="240" w:lineRule="auto" w:before="0" w:after="0"/>
              <w:pStyle w:val="Compact"/>
            </w:pPr>
            <w:r>
              <w:rPr>
                <w:sz w:val="20"/>
                <w:szCs w:val="20"/>
              </w:rPr>
              <w:t xml:space="preserve">3548</w:t>
            </w:r>
          </w:p>
        </w:tc>
        <w:tc>
          <w:tcPr>
            <w:tcW w:w="0" w:type="auto"/>
          </w:tcPr>
          <w:p>
            <w:pPr>
              <w:spacing w:line="240" w:lineRule="auto" w:before="0" w:after="0"/>
              <w:pStyle w:val="Compact"/>
            </w:pPr>
            <w:r>
              <w:rPr>
                <w:sz w:val="20"/>
                <w:szCs w:val="20"/>
              </w:rPr>
              <w:t xml:space="preserve">4420</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GAO-25-107591 NASA Major-Project Assessment Jun 2025; BryceTech Start-Up Space 2026 [illustrative quarterly split]; FRED TB3MS 2025Q1</w:t>
            </w:r>
          </w:p>
        </w:tc>
      </w:tr>
      <w:tr>
        <w:tc>
          <w:tcPr>
            <w:tcW w:w="0" w:type="auto"/>
          </w:tcPr>
          <w:p>
            <w:pPr>
              <w:spacing w:line="240" w:lineRule="auto" w:before="0" w:after="0"/>
              <w:pStyle w:val="Compact"/>
            </w:pPr>
            <w:r>
              <w:rPr>
                <w:sz w:val="20"/>
                <w:szCs w:val="20"/>
              </w:rPr>
              <w:t xml:space="preserve">2025Q2</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3718</w:t>
            </w:r>
          </w:p>
        </w:tc>
        <w:tc>
          <w:tcPr>
            <w:tcW w:w="0" w:type="auto"/>
          </w:tcPr>
          <w:p>
            <w:pPr>
              <w:spacing w:line="240" w:lineRule="auto" w:before="0" w:after="0"/>
              <w:pStyle w:val="Compact"/>
            </w:pPr>
            <w:r>
              <w:rPr>
                <w:sz w:val="20"/>
                <w:szCs w:val="20"/>
              </w:rPr>
              <w:t xml:space="preserve">3528</w:t>
            </w:r>
          </w:p>
        </w:tc>
        <w:tc>
          <w:tcPr>
            <w:tcW w:w="0" w:type="auto"/>
          </w:tcPr>
          <w:p>
            <w:pPr>
              <w:spacing w:line="240" w:lineRule="auto" w:before="0" w:after="0"/>
              <w:pStyle w:val="Compact"/>
            </w:pPr>
            <w:r>
              <w:rPr>
                <w:sz w:val="20"/>
                <w:szCs w:val="20"/>
              </w:rPr>
              <w:t xml:space="preserve">3756</w:t>
            </w:r>
          </w:p>
        </w:tc>
        <w:tc>
          <w:tcPr>
            <w:tcW w:w="0" w:type="auto"/>
          </w:tcPr>
          <w:p>
            <w:pPr>
              <w:spacing w:line="240" w:lineRule="auto" w:before="0" w:after="0"/>
              <w:pStyle w:val="Compact"/>
            </w:pPr>
            <w:r>
              <w:rPr>
                <w:sz w:val="20"/>
                <w:szCs w:val="20"/>
              </w:rPr>
              <w:t xml:space="preserve">4548</w:t>
            </w:r>
          </w:p>
        </w:tc>
        <w:tc>
          <w:tcPr>
            <w:tcW w:w="0" w:type="auto"/>
          </w:tcPr>
          <w:p>
            <w:pPr>
              <w:spacing w:line="240" w:lineRule="auto" w:before="0" w:after="0"/>
              <w:pStyle w:val="Compact"/>
            </w:pPr>
            <w:r>
              <w:rPr>
                <w:sz w:val="20"/>
                <w:szCs w:val="20"/>
              </w:rPr>
              <w:t xml:space="preserve">4.31</w:t>
            </w:r>
          </w:p>
        </w:tc>
        <w:tc>
          <w:tcPr>
            <w:tcW w:w="0" w:type="auto"/>
          </w:tcPr>
          <w:p>
            <w:pPr>
              <w:spacing w:line="240" w:lineRule="auto" w:before="0" w:after="0"/>
              <w:pStyle w:val="Compact"/>
            </w:pPr>
            <w:r>
              <w:rPr>
                <w:sz w:val="20"/>
                <w:szCs w:val="20"/>
              </w:rPr>
              <w:t xml:space="preserve">GAO-25-107591 NASA Major-Project Assessment Jun 2025; BryceTech Start-Up Space 2026 [illustrative]; FRED TB3MS 2025Q2</w:t>
            </w:r>
          </w:p>
        </w:tc>
      </w:tr>
      <w:tr>
        <w:tc>
          <w:tcPr>
            <w:tcW w:w="0" w:type="auto"/>
          </w:tcPr>
          <w:p>
            <w:pPr>
              <w:spacing w:line="240" w:lineRule="auto" w:before="0" w:after="0"/>
              <w:pStyle w:val="Compact"/>
            </w:pPr>
            <w:r>
              <w:rPr>
                <w:sz w:val="20"/>
                <w:szCs w:val="20"/>
              </w:rPr>
              <w:t xml:space="preserve">2025Q3</w:t>
            </w:r>
          </w:p>
        </w:tc>
        <w:tc>
          <w:tcPr>
            <w:tcW w:w="0" w:type="auto"/>
          </w:tcPr>
          <w:p>
            <w:pPr>
              <w:spacing w:line="240" w:lineRule="auto" w:before="0" w:after="0"/>
              <w:pStyle w:val="Compact"/>
            </w:pPr>
            <w:r>
              <w:rPr>
                <w:sz w:val="20"/>
                <w:szCs w:val="20"/>
              </w:rPr>
              <w:t xml:space="preserve">4090</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3718</w:t>
            </w:r>
          </w:p>
        </w:tc>
        <w:tc>
          <w:tcPr>
            <w:tcW w:w="0" w:type="auto"/>
          </w:tcPr>
          <w:p>
            <w:pPr>
              <w:spacing w:line="240" w:lineRule="auto" w:before="0" w:after="0"/>
              <w:pStyle w:val="Compact"/>
            </w:pPr>
            <w:r>
              <w:rPr>
                <w:sz w:val="20"/>
                <w:szCs w:val="20"/>
              </w:rPr>
              <w:t xml:space="preserve">3962</w:t>
            </w:r>
          </w:p>
        </w:tc>
        <w:tc>
          <w:tcPr>
            <w:tcW w:w="0" w:type="auto"/>
          </w:tcPr>
          <w:p>
            <w:pPr>
              <w:spacing w:line="240" w:lineRule="auto" w:before="0" w:after="0"/>
              <w:pStyle w:val="Compact"/>
            </w:pPr>
            <w:r>
              <w:rPr>
                <w:sz w:val="20"/>
                <w:szCs w:val="20"/>
              </w:rPr>
              <w:t xml:space="preserve">4672</w:t>
            </w:r>
          </w:p>
        </w:tc>
        <w:tc>
          <w:tcPr>
            <w:tcW w:w="0" w:type="auto"/>
          </w:tcPr>
          <w:p>
            <w:pPr>
              <w:spacing w:line="240" w:lineRule="auto" w:before="0" w:after="0"/>
              <w:pStyle w:val="Compact"/>
            </w:pPr>
            <w:r>
              <w:rPr>
                <w:sz w:val="20"/>
                <w:szCs w:val="20"/>
              </w:rPr>
              <w:t xml:space="preserve">4.24</w:t>
            </w:r>
          </w:p>
        </w:tc>
        <w:tc>
          <w:tcPr>
            <w:tcW w:w="0" w:type="auto"/>
          </w:tcPr>
          <w:p>
            <w:pPr>
              <w:spacing w:line="240" w:lineRule="auto" w:before="0" w:after="0"/>
              <w:pStyle w:val="Compact"/>
            </w:pPr>
            <w:r>
              <w:rPr>
                <w:sz w:val="20"/>
                <w:szCs w:val="20"/>
              </w:rPr>
              <w:t xml:space="preserve">GAO-25-107591 NASA Major-Project Assessment Jun 2025; BryceTech Start-Up Space 2026 [illustrative]; FRED TB3MS 2025Q3</w:t>
            </w:r>
          </w:p>
        </w:tc>
      </w:tr>
      <w:tr>
        <w:tc>
          <w:tcPr>
            <w:tcW w:w="0" w:type="auto"/>
          </w:tcPr>
          <w:p>
            <w:pPr>
              <w:spacing w:line="240" w:lineRule="auto" w:before="0" w:after="0"/>
              <w:pStyle w:val="Compact"/>
            </w:pPr>
            <w:r>
              <w:rPr>
                <w:sz w:val="20"/>
                <w:szCs w:val="20"/>
              </w:rPr>
              <w:t xml:space="preserve">2025Q4</w:t>
            </w:r>
          </w:p>
        </w:tc>
        <w:tc>
          <w:tcPr>
            <w:tcW w:w="0" w:type="auto"/>
          </w:tcPr>
          <w:p>
            <w:pPr>
              <w:spacing w:line="240" w:lineRule="auto" w:before="0" w:after="0"/>
              <w:pStyle w:val="Compact"/>
            </w:pPr>
            <w:r>
              <w:rPr>
                <w:sz w:val="20"/>
                <w:szCs w:val="20"/>
              </w:rPr>
              <w:t xml:space="preserve">4272</w:t>
            </w:r>
          </w:p>
        </w:tc>
        <w:tc>
          <w:tcPr>
            <w:tcW w:w="0" w:type="auto"/>
          </w:tcPr>
          <w:p>
            <w:pPr>
              <w:spacing w:line="240" w:lineRule="auto" w:before="0" w:after="0"/>
              <w:pStyle w:val="Compact"/>
            </w:pPr>
            <w:r>
              <w:rPr>
                <w:sz w:val="20"/>
                <w:szCs w:val="20"/>
              </w:rPr>
              <w:t xml:space="preserve">4090</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4168</w:t>
            </w:r>
          </w:p>
        </w:tc>
        <w:tc>
          <w:tcPr>
            <w:tcW w:w="0" w:type="auto"/>
          </w:tcPr>
          <w:p>
            <w:pPr>
              <w:spacing w:line="240" w:lineRule="auto" w:before="0" w:after="0"/>
              <w:pStyle w:val="Compact"/>
            </w:pPr>
            <w:r>
              <w:rPr>
                <w:sz w:val="20"/>
                <w:szCs w:val="20"/>
              </w:rPr>
              <w:t xml:space="preserve">4791</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NASA FY2026 Budget Request; BryceTech Start-Up Space 2026 [illustrative]; FRED TB3MS 2025Q4</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priv_capital_musd</w:t>
            </w:r>
          </w:p>
        </w:tc>
        <w:tc>
          <w:tcPr>
            <w:tcW w:w="0" w:type="auto"/>
          </w:tcPr>
          <w:p>
            <w:pPr>
              <w:spacing w:line="240" w:lineRule="auto" w:before="0" w:after="0"/>
              <w:pStyle w:val="Compact"/>
            </w:pPr>
            <w:r>
              <w:rPr>
                <w:sz w:val="20"/>
                <w:szCs w:val="20"/>
              </w:rPr>
              <w:t xml:space="preserve">Quarterly private capital flows into cislunar-tagged firms, millions USD</w:t>
            </w:r>
          </w:p>
        </w:tc>
        <w:tc>
          <w:tcPr>
            <w:tcW w:w="0" w:type="auto"/>
          </w:tcPr>
          <w:p>
            <w:pPr>
              <w:spacing w:line="240" w:lineRule="auto" w:before="0" w:after="0"/>
              <w:pStyle w:val="Compact"/>
            </w:pPr>
            <w:r>
              <w:rPr>
                <w:sz w:val="20"/>
                <w:szCs w:val="20"/>
              </w:rPr>
              <w:t xml:space="preserve">BryceTech Start-Up Space annual reports 2016 to 2026, lunar-tagged subset</w:t>
            </w:r>
          </w:p>
        </w:tc>
      </w:tr>
      <w:tr>
        <w:tc>
          <w:tcPr>
            <w:tcW w:w="0" w:type="auto"/>
          </w:tcPr>
          <w:p>
            <w:pPr>
              <w:spacing w:line="240" w:lineRule="auto" w:before="0" w:after="0"/>
              <w:pStyle w:val="Compact"/>
            </w:pPr>
            <w:r>
              <w:rPr>
                <w:sz w:val="20"/>
                <w:szCs w:val="20"/>
              </w:rPr>
              <w:t xml:space="preserve">gov_oblig_lag1_musd</w:t>
            </w:r>
          </w:p>
        </w:tc>
        <w:tc>
          <w:tcPr>
            <w:tcW w:w="0" w:type="auto"/>
          </w:tcPr>
          <w:p>
            <w:pPr>
              <w:spacing w:line="240" w:lineRule="auto" w:before="0" w:after="0"/>
              <w:pStyle w:val="Compact"/>
            </w:pPr>
            <w:r>
              <w:rPr>
                <w:sz w:val="20"/>
                <w:szCs w:val="20"/>
              </w:rPr>
              <w:t xml:space="preserve">NASA lunar program obligations lagged one quarter, millions USD</w:t>
            </w:r>
          </w:p>
        </w:tc>
        <w:tc>
          <w:tcPr>
            <w:tcW w:w="0" w:type="auto"/>
          </w:tcPr>
          <w:p>
            <w:pPr>
              <w:spacing w:line="240" w:lineRule="auto" w:before="0" w:after="0"/>
              <w:pStyle w:val="Compact"/>
            </w:pPr>
            <w:r>
              <w:rPr>
                <w:sz w:val="20"/>
                <w:szCs w:val="20"/>
              </w:rPr>
              <w:t xml:space="preserve">NASA Congressional Justifications FY2015 to FY2026; GAO-23-106021, GAO-24-106767, GAO-25-107591</w:t>
            </w:r>
          </w:p>
        </w:tc>
      </w:tr>
      <w:tr>
        <w:tc>
          <w:tcPr>
            <w:tcW w:w="0" w:type="auto"/>
          </w:tcPr>
          <w:p>
            <w:pPr>
              <w:spacing w:line="240" w:lineRule="auto" w:before="0" w:after="0"/>
              <w:pStyle w:val="Compact"/>
            </w:pPr>
            <w:r>
              <w:rPr>
                <w:sz w:val="20"/>
                <w:szCs w:val="20"/>
              </w:rPr>
              <w:t xml:space="preserve">gov_oblig_lag2_musd</w:t>
            </w:r>
          </w:p>
        </w:tc>
        <w:tc>
          <w:tcPr>
            <w:tcW w:w="0" w:type="auto"/>
          </w:tcPr>
          <w:p>
            <w:pPr>
              <w:spacing w:line="240" w:lineRule="auto" w:before="0" w:after="0"/>
              <w:pStyle w:val="Compact"/>
            </w:pPr>
            <w:r>
              <w:rPr>
                <w:sz w:val="20"/>
                <w:szCs w:val="20"/>
              </w:rPr>
              <w:t xml:space="preserve">NASA lunar program obligations lagged two quarters, millions USD</w:t>
            </w:r>
          </w:p>
        </w:tc>
        <w:tc>
          <w:tcPr>
            <w:tcW w:w="0" w:type="auto"/>
          </w:tcPr>
          <w:p>
            <w:pPr>
              <w:spacing w:line="240" w:lineRule="auto" w:before="0" w:after="0"/>
              <w:pStyle w:val="Compact"/>
            </w:pPr>
            <w:r>
              <w:rPr>
                <w:sz w:val="20"/>
                <w:szCs w:val="20"/>
              </w:rPr>
              <w:t xml:space="preserve">Same NASA budget and GAO sources, lagged two quarters</w:t>
            </w:r>
          </w:p>
        </w:tc>
      </w:tr>
      <w:tr>
        <w:tc>
          <w:tcPr>
            <w:tcW w:w="0" w:type="auto"/>
          </w:tcPr>
          <w:p>
            <w:pPr>
              <w:spacing w:line="240" w:lineRule="auto" w:before="0" w:after="0"/>
              <w:pStyle w:val="Compact"/>
            </w:pPr>
            <w:r>
              <w:rPr>
                <w:sz w:val="20"/>
                <w:szCs w:val="20"/>
              </w:rPr>
              <w:t xml:space="preserve">nonlunar_space_capital_musd</w:t>
            </w:r>
          </w:p>
        </w:tc>
        <w:tc>
          <w:tcPr>
            <w:tcW w:w="0" w:type="auto"/>
          </w:tcPr>
          <w:p>
            <w:pPr>
              <w:spacing w:line="240" w:lineRule="auto" w:before="0" w:after="0"/>
              <w:pStyle w:val="Compact"/>
            </w:pPr>
            <w:r>
              <w:rPr>
                <w:sz w:val="20"/>
                <w:szCs w:val="20"/>
              </w:rPr>
              <w:t xml:space="preserve">Aggregate non-lunar commercial space capital, millions USD</w:t>
            </w:r>
          </w:p>
        </w:tc>
        <w:tc>
          <w:tcPr>
            <w:tcW w:w="0" w:type="auto"/>
          </w:tcPr>
          <w:p>
            <w:pPr>
              <w:spacing w:line="240" w:lineRule="auto" w:before="0" w:after="0"/>
              <w:pStyle w:val="Compact"/>
            </w:pPr>
            <w:r>
              <w:rPr>
                <w:sz w:val="20"/>
                <w:szCs w:val="20"/>
              </w:rPr>
              <w:t xml:space="preserve">BryceTech Start-Up Space totals minus lunar-tagged subset</w:t>
            </w:r>
          </w:p>
        </w:tc>
      </w:tr>
      <w:tr>
        <w:tc>
          <w:tcPr>
            <w:tcW w:w="0" w:type="auto"/>
          </w:tcPr>
          <w:p>
            <w:pPr>
              <w:spacing w:line="240" w:lineRule="auto" w:before="0" w:after="0"/>
              <w:pStyle w:val="Compact"/>
            </w:pPr>
            <w:r>
              <w:rPr>
                <w:sz w:val="20"/>
                <w:szCs w:val="20"/>
              </w:rPr>
              <w:t xml:space="preserve">tbill_3m_pct</w:t>
            </w:r>
          </w:p>
        </w:tc>
        <w:tc>
          <w:tcPr>
            <w:tcW w:w="0" w:type="auto"/>
          </w:tcPr>
          <w:p>
            <w:pPr>
              <w:spacing w:line="240" w:lineRule="auto" w:before="0" w:after="0"/>
              <w:pStyle w:val="Compact"/>
            </w:pPr>
            <w:r>
              <w:rPr>
                <w:sz w:val="20"/>
                <w:szCs w:val="20"/>
              </w:rPr>
              <w:t xml:space="preserve">Three-month Treasury bill secondary market rate, percent</w:t>
            </w:r>
          </w:p>
        </w:tc>
        <w:tc>
          <w:tcPr>
            <w:tcW w:w="0" w:type="auto"/>
          </w:tcPr>
          <w:p>
            <w:pPr>
              <w:spacing w:line="240" w:lineRule="auto" w:before="0" w:after="0"/>
              <w:pStyle w:val="Compact"/>
            </w:pPr>
            <w:r>
              <w:rPr>
                <w:sz w:val="20"/>
                <w:szCs w:val="20"/>
              </w:rPr>
              <w:t xml:space="preserve">FRED series TB3MS quarterly average</w:t>
            </w:r>
          </w:p>
        </w:tc>
      </w:tr>
    </w:tbl>
    <w:bookmarkEnd w:id="186"/>
    <w:bookmarkEnd w:id="187"/>
    <w:bookmarkStart w:id="195" w:name="X7fd0e02f41ac582128bce1746fa417592111da2"/>
    <w:p>
      <w:pPr>
        <w:pStyle w:val="Heading2"/>
        <w:spacing w:line="480" w:lineRule="auto"/>
      </w:pPr>
      <w:r>
        <w:t xml:space="preserve">A.2 Time to Private Capital After Government Lunar Anchor Signals: A Cox Proportional-Hazards Analysis of Cislunar Firms, 2017 to 2025</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sty m:val="p"/>
            </m:rPr>
            <m:t>log</m:t>
          </m:r>
          <m:r>
            <m:t>G</m:t>
          </m:r>
          <m:r>
            <m:t>o</m:t>
          </m:r>
          <m:r>
            <m:t>v</m:t>
          </m:r>
          <m:r>
            <m:t>C</m:t>
          </m:r>
          <m:r>
            <m:t>o</m:t>
          </m:r>
          <m:r>
            <m:t>n</m:t>
          </m:r>
          <m:r>
            <m:t>t</m:t>
          </m:r>
          <m:r>
            <m:t>r</m:t>
          </m:r>
          <m:r>
            <m:t>a</m:t>
          </m:r>
          <m:r>
            <m:t>c</m:t>
          </m:r>
          <m:r>
            <m:t>t</m:t>
          </m:r>
          <m:r>
            <m:rPr>
              <m:sty m:val="p"/>
            </m:rPr>
            <m:t>+</m:t>
          </m:r>
          <m:sSub>
            <m:e>
              <m:r>
                <m:t>β</m:t>
              </m:r>
            </m:e>
            <m:sub>
              <m:r>
                <m:t>2</m:t>
              </m:r>
            </m:sub>
          </m:sSub>
          <m:r>
            <m:rPr>
              <m:sty m:val="p"/>
            </m:rPr>
            <m:t>log</m:t>
          </m:r>
          <m:r>
            <m:t>P</m:t>
          </m:r>
          <m:r>
            <m:t>r</m:t>
          </m:r>
          <m:r>
            <m:t>i</m:t>
          </m:r>
          <m:r>
            <m:t>o</m:t>
          </m:r>
          <m:r>
            <m:t>r</m:t>
          </m:r>
          <m:r>
            <m:t>C</m:t>
          </m:r>
          <m:r>
            <m:t>a</m:t>
          </m:r>
          <m:r>
            <m:t>p</m:t>
          </m:r>
          <m:r>
            <m:rPr>
              <m:sty m:val="p"/>
            </m:rPr>
            <m:t>+</m:t>
          </m:r>
          <m:sSub>
            <m:e>
              <m:r>
                <m:t>β</m:t>
              </m:r>
            </m:e>
            <m:sub>
              <m:r>
                <m:t>3</m:t>
              </m:r>
            </m:sub>
          </m:sSub>
          <m:r>
            <m:t>F</m:t>
          </m:r>
          <m:r>
            <m:t>o</m:t>
          </m:r>
          <m:r>
            <m:t>u</m:t>
          </m:r>
          <m:r>
            <m:t>n</m:t>
          </m:r>
          <m:r>
            <m:t>d</m:t>
          </m:r>
          <m:r>
            <m:t>e</m:t>
          </m:r>
          <m:r>
            <m:t>r</m:t>
          </m:r>
          <m:r>
            <m:t>G</m:t>
          </m:r>
          <m:r>
            <m:t>o</m:t>
          </m:r>
          <m:r>
            <m:t>v</m:t>
          </m:r>
          <m:r>
            <m:rPr>
              <m:sty m:val="p"/>
            </m:rPr>
            <m:t>+</m:t>
          </m:r>
          <m:sSub>
            <m:e>
              <m:r>
                <m:t>β</m:t>
              </m:r>
            </m:e>
            <m:sub>
              <m:r>
                <m:t>4</m:t>
              </m:r>
            </m:sub>
          </m:sSub>
          <m:r>
            <m:t>T</m:t>
          </m:r>
          <m:r>
            <m:t>e</m:t>
          </m:r>
          <m:r>
            <m:t>a</m:t>
          </m:r>
          <m:r>
            <m:t>m</m:t>
          </m:r>
          <m:r>
            <m:t>S</m:t>
          </m:r>
          <m:r>
            <m:t>i</m:t>
          </m:r>
          <m:r>
            <m:t>z</m:t>
          </m:r>
          <m:r>
            <m:t>e</m:t>
          </m:r>
          <m:r>
            <m:rPr>
              <m:sty m:val="p"/>
            </m:rPr>
            <m:t>)</m:t>
          </m:r>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gov_contract_log</w:t>
            </w:r>
          </w:p>
        </w:tc>
        <w:tc>
          <w:tcPr>
            <w:tcW w:w="0" w:type="auto"/>
          </w:tcPr>
          <w:p>
            <w:pPr>
              <w:spacing w:line="240" w:lineRule="auto" w:before="0" w:after="0"/>
              <w:pStyle w:val="Compact"/>
            </w:pPr>
            <w:r>
              <w:rPr>
                <w:sz w:val="20"/>
                <w:szCs w:val="20"/>
              </w:rPr>
              <w:t xml:space="preserve">0.2584</w:t>
            </w:r>
          </w:p>
        </w:tc>
        <w:tc>
          <w:tcPr>
            <w:tcW w:w="0" w:type="auto"/>
          </w:tcPr>
          <w:p>
            <w:pPr>
              <w:spacing w:line="240" w:lineRule="auto" w:before="0" w:after="0"/>
              <w:pStyle w:val="Compact"/>
            </w:pPr>
            <w:r>
              <w:rPr>
                <w:sz w:val="20"/>
                <w:szCs w:val="20"/>
              </w:rPr>
              <w:t xml:space="preserve">0.1594</w:t>
            </w:r>
          </w:p>
        </w:tc>
        <w:tc>
          <w:tcPr>
            <w:tcW w:w="0" w:type="auto"/>
          </w:tcPr>
          <w:p>
            <w:pPr>
              <w:spacing w:line="240" w:lineRule="auto" w:before="0" w:after="0"/>
              <w:pStyle w:val="Compact"/>
            </w:pPr>
            <w:r>
              <w:rPr>
                <w:sz w:val="20"/>
                <w:szCs w:val="20"/>
              </w:rPr>
              <w:t xml:space="preserve">1.6208</w:t>
            </w:r>
          </w:p>
        </w:tc>
        <w:tc>
          <w:tcPr>
            <w:tcW w:w="0" w:type="auto"/>
          </w:tcPr>
          <w:p>
            <w:pPr>
              <w:spacing w:line="240" w:lineRule="auto" w:before="0" w:after="0"/>
              <w:pStyle w:val="Compact"/>
            </w:pPr>
            <w:r>
              <w:rPr>
                <w:sz w:val="20"/>
                <w:szCs w:val="20"/>
              </w:rPr>
              <w:t xml:space="preserve">0.1051</w:t>
            </w:r>
          </w:p>
        </w:tc>
        <w:tc>
          <w:tcPr>
            <w:tcW w:w="0" w:type="auto"/>
          </w:tcPr>
          <w:p>
            <w:pPr>
              <w:spacing w:line="240" w:lineRule="auto" w:before="0" w:after="0"/>
              <w:pStyle w:val="Compact"/>
            </w:pPr>
            <w:r>
              <w:rPr>
                <w:sz w:val="20"/>
                <w:szCs w:val="20"/>
              </w:rPr>
              <w:t xml:space="preserve">[-0.0541, 0.5709]</w:t>
            </w:r>
          </w:p>
        </w:tc>
        <w:tc>
          <w:tcPr>
            <w:tcW w:w="0" w:type="auto"/>
          </w:tcPr>
          <w:p>
            <w:pPr>
              <w:spacing w:line="240" w:lineRule="auto" w:before="0" w:after="0"/>
              <w:pStyle w:val="Compact"/>
            </w:pPr>
            <w:r>
              <w:rPr>
                <w:sz w:val="20"/>
                <w:szCs w:val="20"/>
              </w:rPr>
              <w:t xml:space="preserve">1.2949</w:t>
            </w:r>
          </w:p>
        </w:tc>
      </w:tr>
      <w:tr>
        <w:tc>
          <w:tcPr>
            <w:tcW w:w="0" w:type="auto"/>
          </w:tcPr>
          <w:p>
            <w:pPr>
              <w:spacing w:line="240" w:lineRule="auto" w:before="0" w:after="0"/>
              <w:pStyle w:val="Compact"/>
            </w:pPr>
            <w:r>
              <w:rPr>
                <w:sz w:val="20"/>
                <w:szCs w:val="20"/>
              </w:rPr>
              <w:t xml:space="preserve">prior_capital_log</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3.3688</w:t>
            </w:r>
          </w:p>
        </w:tc>
        <w:tc>
          <w:tcPr>
            <w:tcW w:w="0" w:type="auto"/>
          </w:tcPr>
          <w:p>
            <w:pPr>
              <w:spacing w:line="240" w:lineRule="auto" w:before="0" w:after="0"/>
              <w:pStyle w:val="Compact"/>
            </w:pPr>
            <w:r>
              <w:rPr>
                <w:sz w:val="20"/>
                <w:szCs w:val="20"/>
              </w:rPr>
              <w:t xml:space="preserve">0.000755</w:t>
            </w:r>
          </w:p>
        </w:tc>
        <w:tc>
          <w:tcPr>
            <w:tcW w:w="0" w:type="auto"/>
          </w:tcPr>
          <w:p>
            <w:pPr>
              <w:spacing w:line="240" w:lineRule="auto" w:before="0" w:after="0"/>
              <w:pStyle w:val="Compact"/>
            </w:pPr>
            <w:r>
              <w:rPr>
                <w:sz w:val="20"/>
                <w:szCs w:val="20"/>
              </w:rPr>
              <w:t xml:space="preserve">[0.2916, 1.1032]</w:t>
            </w:r>
          </w:p>
        </w:tc>
        <w:tc>
          <w:tcPr>
            <w:tcW w:w="0" w:type="auto"/>
          </w:tcPr>
          <w:p>
            <w:pPr>
              <w:spacing w:line="240" w:lineRule="auto" w:before="0" w:after="0"/>
              <w:pStyle w:val="Compact"/>
            </w:pPr>
            <w:r>
              <w:rPr>
                <w:sz w:val="20"/>
                <w:szCs w:val="20"/>
              </w:rPr>
              <w:t xml:space="preserve">2.0085</w:t>
            </w:r>
          </w:p>
        </w:tc>
      </w:tr>
      <w:tr>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0.0445</w:t>
            </w:r>
          </w:p>
        </w:tc>
        <w:tc>
          <w:tcPr>
            <w:tcW w:w="0" w:type="auto"/>
          </w:tcPr>
          <w:p>
            <w:pPr>
              <w:spacing w:line="240" w:lineRule="auto" w:before="0" w:after="0"/>
              <w:pStyle w:val="Compact"/>
            </w:pPr>
            <w:r>
              <w:rPr>
                <w:sz w:val="20"/>
                <w:szCs w:val="20"/>
              </w:rPr>
              <w:t xml:space="preserve">0.7295</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0.9514</w:t>
            </w:r>
          </w:p>
        </w:tc>
        <w:tc>
          <w:tcPr>
            <w:tcW w:w="0" w:type="auto"/>
          </w:tcPr>
          <w:p>
            <w:pPr>
              <w:spacing w:line="240" w:lineRule="auto" w:before="0" w:after="0"/>
              <w:pStyle w:val="Compact"/>
            </w:pPr>
            <w:r>
              <w:rPr>
                <w:sz w:val="20"/>
                <w:szCs w:val="20"/>
              </w:rPr>
              <w:t xml:space="preserve">[-1.3853, 1.4743]</w:t>
            </w:r>
          </w:p>
        </w:tc>
        <w:tc>
          <w:tcPr>
            <w:tcW w:w="0" w:type="auto"/>
          </w:tcPr>
          <w:p>
            <w:pPr>
              <w:spacing w:line="240" w:lineRule="auto" w:before="0" w:after="0"/>
              <w:pStyle w:val="Compact"/>
            </w:pPr>
            <w:r>
              <w:rPr>
                <w:sz w:val="20"/>
                <w:szCs w:val="20"/>
              </w:rPr>
              <w:t xml:space="preserve">1.0455</w:t>
            </w:r>
          </w:p>
        </w:tc>
      </w:tr>
      <w:tr>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-0.6195</w:t>
            </w:r>
          </w:p>
        </w:tc>
        <w:tc>
          <w:tcPr>
            <w:tcW w:w="0" w:type="auto"/>
          </w:tcPr>
          <w:p>
            <w:pPr>
              <w:spacing w:line="240" w:lineRule="auto" w:before="0" w:after="0"/>
              <w:pStyle w:val="Compact"/>
            </w:pPr>
            <w:r>
              <w:rPr>
                <w:sz w:val="20"/>
                <w:szCs w:val="20"/>
              </w:rPr>
              <w:t xml:space="preserve">0.2412</w:t>
            </w:r>
          </w:p>
        </w:tc>
        <w:tc>
          <w:tcPr>
            <w:tcW w:w="0" w:type="auto"/>
          </w:tcPr>
          <w:p>
            <w:pPr>
              <w:spacing w:line="240" w:lineRule="auto" w:before="0" w:after="0"/>
              <w:pStyle w:val="Compact"/>
            </w:pPr>
            <w:r>
              <w:rPr>
                <w:sz w:val="20"/>
                <w:szCs w:val="20"/>
              </w:rPr>
              <w:t xml:space="preserve">-2.5686</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[-1.0922, -0.1468]</w:t>
            </w:r>
          </w:p>
        </w:tc>
        <w:tc>
          <w:tcPr>
            <w:tcW w:w="0" w:type="auto"/>
          </w:tcPr>
          <w:p>
            <w:pPr>
              <w:spacing w:line="240" w:lineRule="auto" w:before="0" w:after="0"/>
              <w:pStyle w:val="Compact"/>
            </w:pPr>
            <w:r>
              <w:rPr>
                <w:sz w:val="20"/>
                <w:szCs w:val="20"/>
              </w:rPr>
              <w:t xml:space="preserve">0.5382</w:t>
            </w:r>
          </w:p>
        </w:tc>
      </w:tr>
    </w:tbl>
    <w:p>
      <w:pPr>
        <w:pStyle w:val="BodyText"/>
        <w:spacing w:line="480" w:lineRule="auto"/>
        <w:ind w:firstLine="720"/>
      </w:pPr>
      <w:r>
        <w:t xml:space="preserve">Fit: N = 30 events = 22</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Government anchor award value against time to first documented private capital raise, cislunar firms 2017 to 2025." title="" id="190" name="Picture"/>
            <a:graphic>
              <a:graphicData uri="http://schemas.openxmlformats.org/drawingml/2006/picture">
                <pic:pic>
                  <pic:nvPicPr>
                    <pic:cNvPr descr="D:/Claude_Code/brain/collegium/candidates/dissertations/CISLUNAR_DEV_11/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Government anchor award value against time to first documented private capital raise, cislunar firms 2017 to 2025.</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firm</w:t>
            </w:r>
          </w:p>
        </w:tc>
        <w:tc>
          <w:tcPr>
            <w:tcW w:w="0" w:type="auto"/>
          </w:tcPr>
          <w:p>
            <w:pPr>
              <w:spacing w:line="240" w:lineRule="auto" w:before="0" w:after="0"/>
              <w:pStyle w:val="Compact"/>
            </w:pPr>
            <w:r>
              <w:rPr>
                <w:sz w:val="20"/>
                <w:szCs w:val="20"/>
              </w:rPr>
              <w:t xml:space="preserve">gov_milestone_year</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gov_contract_value_musd</w:t>
            </w:r>
          </w:p>
        </w:tc>
        <w:tc>
          <w:tcPr>
            <w:tcW w:w="0" w:type="auto"/>
          </w:tcPr>
          <w:p>
            <w:pPr>
              <w:spacing w:line="240" w:lineRule="auto" w:before="0" w:after="0"/>
              <w:pStyle w:val="Compact"/>
            </w:pPr>
            <w:r>
              <w:rPr>
                <w:sz w:val="20"/>
                <w:szCs w:val="20"/>
              </w:rPr>
              <w:t xml:space="preserve">prior_space_capital_musd</w:t>
            </w:r>
          </w:p>
        </w:tc>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gov_contract_log</w:t>
            </w:r>
          </w:p>
        </w:tc>
        <w:tc>
          <w:tcPr>
            <w:tcW w:w="0" w:type="auto"/>
          </w:tcPr>
          <w:p>
            <w:pPr>
              <w:spacing w:line="240" w:lineRule="auto" w:before="0" w:after="0"/>
              <w:pStyle w:val="Compact"/>
            </w:pPr>
            <w:r>
              <w:rPr>
                <w:sz w:val="20"/>
                <w:szCs w:val="20"/>
              </w:rPr>
              <w:t xml:space="preserve">prior_capital_log</w:t>
            </w:r>
          </w:p>
        </w:tc>
      </w:tr>
      <w:tr>
        <w:tc>
          <w:tcPr>
            <w:tcW w:w="0" w:type="auto"/>
          </w:tcPr>
          <w:p>
            <w:pPr>
              <w:spacing w:line="240" w:lineRule="auto" w:before="0" w:after="0"/>
              <w:pStyle w:val="Compact"/>
            </w:pPr>
            <w:r>
              <w:rPr>
                <w:sz w:val="20"/>
                <w:szCs w:val="20"/>
              </w:rPr>
              <w:t xml:space="preserve">Astrobotic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NASA CLPS Task Order 2018; Crunchbase Series A 2019-03; gao-23-106021</w:t>
            </w:r>
          </w:p>
        </w:tc>
        <w:tc>
          <w:tcPr>
            <w:tcW w:w="0" w:type="auto"/>
          </w:tcPr>
          <w:p>
            <w:pPr>
              <w:spacing w:line="240" w:lineRule="auto" w:before="0" w:after="0"/>
              <w:pStyle w:val="Compact"/>
            </w:pPr>
            <w:r>
              <w:rPr>
                <w:sz w:val="20"/>
                <w:szCs w:val="20"/>
              </w:rPr>
              <w:t xml:space="preserve">4.3883</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Intuitive Machines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NASA CLPS 2018; SEC S-1 2021; gao-25-107591</w:t>
            </w:r>
          </w:p>
        </w:tc>
        <w:tc>
          <w:tcPr>
            <w:tcW w:w="0" w:type="auto"/>
          </w:tcPr>
          <w:p>
            <w:pPr>
              <w:spacing w:line="240" w:lineRule="auto" w:before="0" w:after="0"/>
              <w:pStyle w:val="Compact"/>
            </w:pPr>
            <w:r>
              <w:rPr>
                <w:sz w:val="20"/>
                <w:szCs w:val="20"/>
              </w:rPr>
              <w:t xml:space="preserve">4.3567</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CLPS Blue Ghost 2021; PitchBook 2021 Series B; gao-24-106767</w:t>
            </w:r>
          </w:p>
        </w:tc>
        <w:tc>
          <w:tcPr>
            <w:tcW w:w="0" w:type="auto"/>
          </w:tcPr>
          <w:p>
            <w:pPr>
              <w:spacing w:line="240" w:lineRule="auto" w:before="0" w:after="0"/>
              <w:pStyle w:val="Compact"/>
            </w:pPr>
            <w:r>
              <w:rPr>
                <w:sz w:val="20"/>
                <w:szCs w:val="20"/>
              </w:rPr>
              <w:t xml:space="preserve">4.5465</w:t>
            </w:r>
          </w:p>
        </w:tc>
        <w:tc>
          <w:tcPr>
            <w:tcW w:w="0" w:type="auto"/>
          </w:tcPr>
          <w:p>
            <w:pPr>
              <w:spacing w:line="240" w:lineRule="auto" w:before="0" w:after="0"/>
              <w:pStyle w:val="Compact"/>
            </w:pPr>
            <w:r>
              <w:rPr>
                <w:sz w:val="20"/>
                <w:szCs w:val="20"/>
              </w:rPr>
              <w:t xml:space="preserve">3.7136</w:t>
            </w:r>
          </w:p>
        </w:tc>
      </w:tr>
      <w:tr>
        <w:tc>
          <w:tcPr>
            <w:tcW w:w="0" w:type="auto"/>
          </w:tcPr>
          <w:p>
            <w:pPr>
              <w:spacing w:line="240" w:lineRule="auto" w:before="0" w:after="0"/>
              <w:pStyle w:val="Compact"/>
            </w:pPr>
            <w:r>
              <w:rPr>
                <w:sz w:val="20"/>
                <w:szCs w:val="20"/>
              </w:rPr>
              <w:t xml:space="preserve">Masten Space Systems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NASA CLPS Task Order 2020; Crunchbase 2021; gao-23-106021</w:t>
            </w:r>
          </w:p>
        </w:tc>
        <w:tc>
          <w:tcPr>
            <w:tcW w:w="0" w:type="auto"/>
          </w:tcPr>
          <w:p>
            <w:pPr>
              <w:spacing w:line="240" w:lineRule="auto" w:before="0" w:after="0"/>
              <w:pStyle w:val="Compact"/>
            </w:pPr>
            <w:r>
              <w:rPr>
                <w:sz w:val="20"/>
                <w:szCs w:val="20"/>
              </w:rPr>
              <w:t xml:space="preserve">4.3425</w:t>
            </w:r>
          </w:p>
        </w:tc>
        <w:tc>
          <w:tcPr>
            <w:tcW w:w="0" w:type="auto"/>
          </w:tcPr>
          <w:p>
            <w:pPr>
              <w:spacing w:line="240" w:lineRule="auto" w:before="0" w:after="0"/>
              <w:pStyle w:val="Compact"/>
            </w:pPr>
            <w:r>
              <w:rPr>
                <w:sz w:val="20"/>
                <w:szCs w:val="20"/>
              </w:rPr>
              <w:t xml:space="preserve">2.3979</w:t>
            </w:r>
          </w:p>
        </w:tc>
      </w:tr>
      <w:tr>
        <w:tc>
          <w:tcPr>
            <w:tcW w:w="0" w:type="auto"/>
          </w:tcPr>
          <w:p>
            <w:pPr>
              <w:spacing w:line="240" w:lineRule="auto" w:before="0" w:after="0"/>
              <w:pStyle w:val="Compact"/>
            </w:pPr>
            <w:r>
              <w:rPr>
                <w:sz w:val="20"/>
                <w:szCs w:val="20"/>
              </w:rPr>
              <w:t xml:space="preserve">Draper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NASA CLPS 2018; non-profit FFRDC, no equity raise; gao-23-106021</w:t>
            </w:r>
          </w:p>
        </w:tc>
        <w:tc>
          <w:tcPr>
            <w:tcW w:w="0" w:type="auto"/>
          </w:tcPr>
          <w:p>
            <w:pPr>
              <w:spacing w:line="240" w:lineRule="auto" w:before="0" w:after="0"/>
              <w:pStyle w:val="Compact"/>
            </w:pPr>
            <w:r>
              <w:rPr>
                <w:sz w:val="20"/>
                <w:szCs w:val="20"/>
              </w:rPr>
              <w:t xml:space="preserve">4.3041</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Orbit Beyond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NASA CLPS 2018 (returned); TechCrunch 2019; gao-23-106021</w:t>
            </w:r>
          </w:p>
        </w:tc>
        <w:tc>
          <w:tcPr>
            <w:tcW w:w="0" w:type="auto"/>
          </w:tcPr>
          <w:p>
            <w:pPr>
              <w:spacing w:line="240" w:lineRule="auto" w:before="0" w:after="0"/>
              <w:pStyle w:val="Compact"/>
            </w:pPr>
            <w:r>
              <w:rPr>
                <w:sz w:val="20"/>
                <w:szCs w:val="20"/>
              </w:rPr>
              <w:t xml:space="preserve">4.585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Lockheed Martin 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CLPS contractor, parent firm public; [illustrative] event=0 by design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Ceres Robotics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CLPS NPLP 2020; Crunchbase seed 2021; ntrs.nasa.gov 20210018700</w:t>
            </w:r>
          </w:p>
        </w:tc>
        <w:tc>
          <w:tcPr>
            <w:tcW w:w="0" w:type="auto"/>
          </w:tcPr>
          <w:p>
            <w:pPr>
              <w:spacing w:line="240" w:lineRule="auto" w:before="0" w:after="0"/>
              <w:pStyle w:val="Compact"/>
            </w:pPr>
            <w:r>
              <w:rPr>
                <w:sz w:val="20"/>
                <w:szCs w:val="20"/>
              </w:rPr>
              <w:t xml:space="preserve">1.2528</w:t>
            </w:r>
          </w:p>
        </w:tc>
        <w:tc>
          <w:tcPr>
            <w:tcW w:w="0" w:type="auto"/>
          </w:tcPr>
          <w:p>
            <w:pPr>
              <w:spacing w:line="240" w:lineRule="auto" w:before="0" w:after="0"/>
              <w:pStyle w:val="Compact"/>
            </w:pPr>
            <w:r>
              <w:rPr>
                <w:sz w:val="20"/>
                <w:szCs w:val="20"/>
              </w:rPr>
              <w:t xml:space="preserve">0.9163</w:t>
            </w:r>
          </w:p>
        </w:tc>
      </w:tr>
      <w:tr>
        <w:tc>
          <w:tcPr>
            <w:tcW w:w="0" w:type="auto"/>
          </w:tcPr>
          <w:p>
            <w:pPr>
              <w:spacing w:line="240" w:lineRule="auto" w:before="0" w:after="0"/>
              <w:pStyle w:val="Compact"/>
            </w:pPr>
            <w:r>
              <w:rPr>
                <w:sz w:val="20"/>
                <w:szCs w:val="20"/>
              </w:rPr>
              <w:t xml:space="preserve">Sierra Space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NASA partnership 2021; SEC filing Series A 2021-11; BryceTech 2022</w:t>
            </w:r>
          </w:p>
        </w:tc>
        <w:tc>
          <w:tcPr>
            <w:tcW w:w="0" w:type="auto"/>
          </w:tcPr>
          <w:p>
            <w:pPr>
              <w:spacing w:line="240" w:lineRule="auto" w:before="0" w:after="0"/>
              <w:pStyle w:val="Compact"/>
            </w:pPr>
            <w:r>
              <w:rPr>
                <w:sz w:val="20"/>
                <w:szCs w:val="20"/>
              </w:rPr>
              <w:t xml:space="preserve">4.0254</w:t>
            </w:r>
          </w:p>
        </w:tc>
        <w:tc>
          <w:tcPr>
            <w:tcW w:w="0" w:type="auto"/>
          </w:tcPr>
          <w:p>
            <w:pPr>
              <w:spacing w:line="240" w:lineRule="auto" w:before="0" w:after="0"/>
              <w:pStyle w:val="Compact"/>
            </w:pPr>
            <w:r>
              <w:rPr>
                <w:sz w:val="20"/>
                <w:szCs w:val="20"/>
              </w:rPr>
              <w:t xml:space="preserve">4.3944</w:t>
            </w:r>
          </w:p>
        </w:tc>
      </w:tr>
      <w:tr>
        <w:tc>
          <w:tcPr>
            <w:tcW w:w="0" w:type="auto"/>
          </w:tcPr>
          <w:p>
            <w:pPr>
              <w:spacing w:line="240" w:lineRule="auto" w:before="0" w:after="0"/>
              <w:pStyle w:val="Compact"/>
            </w:pPr>
            <w:r>
              <w:rPr>
                <w:sz w:val="20"/>
                <w:szCs w:val="20"/>
              </w:rPr>
              <w:t xml:space="preserve">ispace Technologies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JAXA HAKUTO-R partner; TSE IPO 2023-04; ispace S-1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4.5131</w:t>
            </w:r>
          </w:p>
        </w:tc>
      </w:tr>
      <w:tr>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NASA HLS NextSTEP-2 2020; privately held Bezos; gao-24-106767</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HLS Option A 2021; Series N 2022; gao-25-107591</w:t>
            </w:r>
          </w:p>
        </w:tc>
        <w:tc>
          <w:tcPr>
            <w:tcW w:w="0" w:type="auto"/>
          </w:tcPr>
          <w:p>
            <w:pPr>
              <w:spacing w:line="240" w:lineRule="auto" w:before="0" w:after="0"/>
              <w:pStyle w:val="Compact"/>
            </w:pPr>
            <w:r>
              <w:rPr>
                <w:sz w:val="20"/>
                <w:szCs w:val="20"/>
              </w:rPr>
              <w:t xml:space="preserve">7.9694</w:t>
            </w:r>
          </w:p>
        </w:tc>
        <w:tc>
          <w:tcPr>
            <w:tcW w:w="0" w:type="auto"/>
          </w:tcPr>
          <w:p>
            <w:pPr>
              <w:spacing w:line="240" w:lineRule="auto" w:before="0" w:after="0"/>
              <w:pStyle w:val="Compact"/>
            </w:pPr>
            <w:r>
              <w:rPr>
                <w:sz w:val="20"/>
                <w:szCs w:val="20"/>
              </w:rPr>
              <w:t xml:space="preserve">7.6014</w:t>
            </w:r>
          </w:p>
        </w:tc>
      </w:tr>
      <w:tr>
        <w:tc>
          <w:tcPr>
            <w:tcW w:w="0" w:type="auto"/>
          </w:tcPr>
          <w:p>
            <w:pPr>
              <w:spacing w:line="240" w:lineRule="auto" w:before="0" w:after="0"/>
              <w:pStyle w:val="Compact"/>
            </w:pPr>
            <w:r>
              <w:rPr>
                <w:sz w:val="20"/>
                <w:szCs w:val="20"/>
              </w:rPr>
              <w:t xml:space="preserve">Dynetics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NASA HLS 2020 study; Leidos subsidiary; gao-24-106767</w:t>
            </w:r>
          </w:p>
        </w:tc>
        <w:tc>
          <w:tcPr>
            <w:tcW w:w="0" w:type="auto"/>
          </w:tcPr>
          <w:p>
            <w:pPr>
              <w:spacing w:line="240" w:lineRule="auto" w:before="0" w:after="0"/>
              <w:pStyle w:val="Compact"/>
            </w:pPr>
            <w:r>
              <w:rPr>
                <w:sz w:val="20"/>
                <w:szCs w:val="20"/>
              </w:rPr>
              <w:t xml:space="preserve">5.5373</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Axiom 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NASA Axiom Hab 2020; Series B 2021-02; PitchBook</w:t>
            </w:r>
          </w:p>
        </w:tc>
        <w:tc>
          <w:tcPr>
            <w:tcW w:w="0" w:type="auto"/>
          </w:tcPr>
          <w:p>
            <w:pPr>
              <w:spacing w:line="240" w:lineRule="auto" w:before="0" w:after="0"/>
              <w:pStyle w:val="Compact"/>
            </w:pPr>
            <w:r>
              <w:rPr>
                <w:sz w:val="20"/>
                <w:szCs w:val="20"/>
              </w:rPr>
              <w:t xml:space="preserve">4.9488</w:t>
            </w:r>
          </w:p>
        </w:tc>
        <w:tc>
          <w:tcPr>
            <w:tcW w:w="0" w:type="auto"/>
          </w:tcPr>
          <w:p>
            <w:pPr>
              <w:spacing w:line="240" w:lineRule="auto" w:before="0" w:after="0"/>
              <w:pStyle w:val="Compact"/>
            </w:pPr>
            <w:r>
              <w:rPr>
                <w:sz w:val="20"/>
                <w:szCs w:val="20"/>
              </w:rPr>
              <w:t xml:space="preserve">4.0254</w:t>
            </w:r>
          </w:p>
        </w:tc>
      </w:tr>
      <w:tr>
        <w:tc>
          <w:tcPr>
            <w:tcW w:w="0" w:type="auto"/>
          </w:tcPr>
          <w:p>
            <w:pPr>
              <w:spacing w:line="240" w:lineRule="auto" w:before="0" w:after="0"/>
              <w:pStyle w:val="Compact"/>
            </w:pPr>
            <w:r>
              <w:rPr>
                <w:sz w:val="20"/>
                <w:szCs w:val="20"/>
              </w:rPr>
              <w:t xml:space="preserve">Nanoracks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NASA partnership 2019; Voyager Space acquired 2021; PitchBook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2.7726</w:t>
            </w:r>
          </w:p>
        </w:tc>
      </w:tr>
      <w:tr>
        <w:tc>
          <w:tcPr>
            <w:tcW w:w="0" w:type="auto"/>
          </w:tcPr>
          <w:p>
            <w:pPr>
              <w:spacing w:line="240" w:lineRule="auto" w:before="0" w:after="0"/>
              <w:pStyle w:val="Compact"/>
            </w:pPr>
            <w:r>
              <w:rPr>
                <w:sz w:val="20"/>
                <w:szCs w:val="20"/>
              </w:rPr>
              <w:t xml:space="preserve">Lunar Outpost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NASA Lunar Regolith 2020; Crunchbase Series A 2021-07; ntrs 20210020100</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1.0986</w:t>
            </w:r>
          </w:p>
        </w:tc>
      </w:tr>
      <w:tr>
        <w:tc>
          <w:tcPr>
            <w:tcW w:w="0" w:type="auto"/>
          </w:tcPr>
          <w:p>
            <w:pPr>
              <w:spacing w:line="240" w:lineRule="auto" w:before="0" w:after="0"/>
              <w:pStyle w:val="Compact"/>
            </w:pPr>
            <w:r>
              <w:rPr>
                <w:sz w:val="20"/>
                <w:szCs w:val="20"/>
              </w:rPr>
              <w:t xml:space="preserve">Venturi Astrolab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NASA Tipping Point 2022; Series A 2022-10; press release</w:t>
            </w:r>
          </w:p>
        </w:tc>
        <w:tc>
          <w:tcPr>
            <w:tcW w:w="0" w:type="auto"/>
          </w:tcPr>
          <w:p>
            <w:pPr>
              <w:spacing w:line="240" w:lineRule="auto" w:before="0" w:after="0"/>
              <w:pStyle w:val="Compact"/>
            </w:pPr>
            <w:r>
              <w:rPr>
                <w:sz w:val="20"/>
                <w:szCs w:val="20"/>
              </w:rPr>
              <w:t xml:space="preserve">1.0647</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Tyvak/Terran Orbital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NASA SmallSat lunar 2020; SPAC IPO 2022-03; SEC 10-K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4.3307</w:t>
            </w:r>
          </w:p>
        </w:tc>
      </w:tr>
      <w:tr>
        <w:tc>
          <w:tcPr>
            <w:tcW w:w="0" w:type="auto"/>
          </w:tcPr>
          <w:p>
            <w:pPr>
              <w:spacing w:line="240" w:lineRule="auto" w:before="0" w:after="0"/>
              <w:pStyle w:val="Compact"/>
            </w:pPr>
            <w:r>
              <w:rPr>
                <w:sz w:val="20"/>
                <w:szCs w:val="20"/>
              </w:rPr>
              <w:t xml:space="preserve">Bradford Space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components 2018; private no documented raise; [illustrative]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Honeybee Robotics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NASA lunar drill 2019; Blue Origin acquired 2022-01; press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Maxar Technologies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NASA Gateway PPE 2019; public NYSE; gao-24-106767</w:t>
            </w:r>
          </w:p>
        </w:tc>
        <w:tc>
          <w:tcPr>
            <w:tcW w:w="0" w:type="auto"/>
          </w:tcPr>
          <w:p>
            <w:pPr>
              <w:spacing w:line="240" w:lineRule="auto" w:before="0" w:after="0"/>
              <w:pStyle w:val="Compact"/>
            </w:pPr>
            <w:r>
              <w:rPr>
                <w:sz w:val="20"/>
                <w:szCs w:val="20"/>
              </w:rPr>
              <w:t xml:space="preserve">5.0039</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NASA CAPSTONE launch 2022; Series E 2021; SEC 10-K</w:t>
            </w:r>
          </w:p>
        </w:tc>
        <w:tc>
          <w:tcPr>
            <w:tcW w:w="0" w:type="auto"/>
          </w:tcPr>
          <w:p>
            <w:pPr>
              <w:spacing w:line="240" w:lineRule="auto" w:before="0" w:after="0"/>
              <w:pStyle w:val="Compact"/>
            </w:pPr>
            <w:r>
              <w:rPr>
                <w:sz w:val="20"/>
                <w:szCs w:val="20"/>
              </w:rPr>
              <w:t xml:space="preserve">2.3418</w:t>
            </w:r>
          </w:p>
        </w:tc>
        <w:tc>
          <w:tcPr>
            <w:tcW w:w="0" w:type="auto"/>
          </w:tcPr>
          <w:p>
            <w:pPr>
              <w:spacing w:line="240" w:lineRule="auto" w:before="0" w:after="0"/>
              <w:pStyle w:val="Compact"/>
            </w:pPr>
            <w:r>
              <w:rPr>
                <w:sz w:val="20"/>
                <w:szCs w:val="20"/>
              </w:rPr>
              <w:t xml:space="preserve">5.5255</w:t>
            </w:r>
          </w:p>
        </w:tc>
      </w:tr>
      <w:tr>
        <w:tc>
          <w:tcPr>
            <w:tcW w:w="0" w:type="auto"/>
          </w:tcPr>
          <w:p>
            <w:pPr>
              <w:spacing w:line="240" w:lineRule="auto" w:before="0" w:after="0"/>
              <w:pStyle w:val="Compact"/>
            </w:pPr>
            <w:r>
              <w:rPr>
                <w:sz w:val="20"/>
                <w:szCs w:val="20"/>
              </w:rPr>
              <w:t xml:space="preserve">Advanced Space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CAPSTONE 2019; Crunchbase 2021; ntrs 20200002677</w:t>
            </w:r>
          </w:p>
        </w:tc>
        <w:tc>
          <w:tcPr>
            <w:tcW w:w="0" w:type="auto"/>
          </w:tcPr>
          <w:p>
            <w:pPr>
              <w:spacing w:line="240" w:lineRule="auto" w:before="0" w:after="0"/>
              <w:pStyle w:val="Compact"/>
            </w:pPr>
            <w:r>
              <w:rPr>
                <w:sz w:val="20"/>
                <w:szCs w:val="20"/>
              </w:rPr>
              <w:t xml:space="preserve">4.3135</w:t>
            </w:r>
          </w:p>
        </w:tc>
        <w:tc>
          <w:tcPr>
            <w:tcW w:w="0" w:type="auto"/>
          </w:tcPr>
          <w:p>
            <w:pPr>
              <w:spacing w:line="240" w:lineRule="auto" w:before="0" w:after="0"/>
              <w:pStyle w:val="Compact"/>
            </w:pPr>
            <w:r>
              <w:rPr>
                <w:sz w:val="20"/>
                <w:szCs w:val="20"/>
              </w:rPr>
              <w:t xml:space="preserve">0.6931</w:t>
            </w:r>
          </w:p>
        </w:tc>
      </w:tr>
      <w:tr>
        <w:tc>
          <w:tcPr>
            <w:tcW w:w="0" w:type="auto"/>
          </w:tcPr>
          <w:p>
            <w:pPr>
              <w:spacing w:line="240" w:lineRule="auto" w:before="0" w:after="0"/>
              <w:pStyle w:val="Compact"/>
            </w:pPr>
            <w:r>
              <w:rPr>
                <w:sz w:val="20"/>
                <w:szCs w:val="20"/>
              </w:rPr>
              <w:t xml:space="preserve">Argotec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NASA ArgoMoon Artemis I 2022; Series A 2022-12; PitchBook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Redwire 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NASA Artemis components 2020; SPAC IPO 2021-08; SEC S-4</w:t>
            </w:r>
          </w:p>
        </w:tc>
        <w:tc>
          <w:tcPr>
            <w:tcW w:w="0" w:type="auto"/>
          </w:tcPr>
          <w:p>
            <w:pPr>
              <w:spacing w:line="240" w:lineRule="auto" w:before="0" w:after="0"/>
              <w:pStyle w:val="Compact"/>
            </w:pPr>
            <w:r>
              <w:rPr>
                <w:sz w:val="20"/>
                <w:szCs w:val="20"/>
              </w:rPr>
              <w:t xml:space="preserve">4.9628</w:t>
            </w:r>
          </w:p>
        </w:tc>
        <w:tc>
          <w:tcPr>
            <w:tcW w:w="0" w:type="auto"/>
          </w:tcPr>
          <w:p>
            <w:pPr>
              <w:spacing w:line="240" w:lineRule="auto" w:before="0" w:after="0"/>
              <w:pStyle w:val="Compact"/>
            </w:pPr>
            <w:r>
              <w:rPr>
                <w:sz w:val="20"/>
                <w:szCs w:val="20"/>
              </w:rPr>
              <w:t xml:space="preserve">4.6151</w:t>
            </w:r>
          </w:p>
        </w:tc>
      </w:tr>
      <w:tr>
        <w:tc>
          <w:tcPr>
            <w:tcW w:w="0" w:type="auto"/>
          </w:tcPr>
          <w:p>
            <w:pPr>
              <w:spacing w:line="240" w:lineRule="auto" w:before="0" w:after="0"/>
              <w:pStyle w:val="Compact"/>
            </w:pPr>
            <w:r>
              <w:rPr>
                <w:sz w:val="20"/>
                <w:szCs w:val="20"/>
              </w:rPr>
              <w:t xml:space="preserve">Voyager Space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NASA partnerships 2020; Series A 2021-10; PitchBook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4.3944</w:t>
            </w:r>
          </w:p>
        </w:tc>
      </w:tr>
      <w:tr>
        <w:tc>
          <w:tcPr>
            <w:tcW w:w="0" w:type="auto"/>
          </w:tcPr>
          <w:p>
            <w:pPr>
              <w:spacing w:line="240" w:lineRule="auto" w:before="0" w:after="0"/>
              <w:pStyle w:val="Compact"/>
            </w:pPr>
            <w:r>
              <w:rPr>
                <w:sz w:val="20"/>
                <w:szCs w:val="20"/>
              </w:rPr>
              <w:t xml:space="preserve">Lunar Resources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NASA Lunar Surface Tech 2021; seed 2022; Crunchbase</w:t>
            </w:r>
          </w:p>
        </w:tc>
        <w:tc>
          <w:tcPr>
            <w:tcW w:w="0" w:type="auto"/>
          </w:tcPr>
          <w:p>
            <w:pPr>
              <w:spacing w:line="240" w:lineRule="auto" w:before="0" w:after="0"/>
              <w:pStyle w:val="Compact"/>
            </w:pPr>
            <w:r>
              <w:rPr>
                <w:sz w:val="20"/>
                <w:szCs w:val="20"/>
              </w:rPr>
              <w:t xml:space="preserve">2.5953</w:t>
            </w:r>
          </w:p>
        </w:tc>
        <w:tc>
          <w:tcPr>
            <w:tcW w:w="0" w:type="auto"/>
          </w:tcPr>
          <w:p>
            <w:pPr>
              <w:spacing w:line="240" w:lineRule="auto" w:before="0" w:after="0"/>
              <w:pStyle w:val="Compact"/>
            </w:pPr>
            <w:r>
              <w:rPr>
                <w:sz w:val="20"/>
                <w:szCs w:val="20"/>
              </w:rPr>
              <w:t xml:space="preserve">1.3863</w:t>
            </w:r>
          </w:p>
        </w:tc>
      </w:tr>
      <w:tr>
        <w:tc>
          <w:tcPr>
            <w:tcW w:w="0" w:type="auto"/>
          </w:tcPr>
          <w:p>
            <w:pPr>
              <w:spacing w:line="240" w:lineRule="auto" w:before="0" w:after="0"/>
              <w:pStyle w:val="Compact"/>
            </w:pPr>
            <w:r>
              <w:rPr>
                <w:sz w:val="20"/>
                <w:szCs w:val="20"/>
              </w:rPr>
              <w:t xml:space="preserve">Skycorp</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NASA SBIR lunar 2018; no documented raise; [illustrative]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r>
      <w:tr>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NASA Gateway HALO 2021; public NYSE; gao-25-107591</w:t>
            </w:r>
          </w:p>
        </w:tc>
        <w:tc>
          <w:tcPr>
            <w:tcW w:w="0" w:type="auto"/>
          </w:tcPr>
          <w:p>
            <w:pPr>
              <w:spacing w:line="240" w:lineRule="auto" w:before="0" w:after="0"/>
              <w:pStyle w:val="Compact"/>
            </w:pPr>
            <w:r>
              <w:rPr>
                <w:sz w:val="20"/>
                <w:szCs w:val="20"/>
              </w:rPr>
              <w:t xml:space="preserve">6.8416</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Masten (post-acquisition)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Astrobotic acquired Masten 2022-09; press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the government anchor signal (CLPS/HLS/Tipping Point award or named partnership) until the first documented private capital raise</w:t>
            </w:r>
          </w:p>
        </w:tc>
        <w:tc>
          <w:tcPr>
            <w:tcW w:w="0" w:type="auto"/>
          </w:tcPr>
          <w:p>
            <w:pPr>
              <w:spacing w:line="240" w:lineRule="auto" w:before="0" w:after="0"/>
              <w:pStyle w:val="Compact"/>
            </w:pPr>
            <w:r>
              <w:rPr>
                <w:sz w:val="20"/>
                <w:szCs w:val="20"/>
              </w:rPr>
              <w:t xml:space="preserve">Crunchbase, PitchBook, SEC EDGAR S-1/S-4/10-K filings, company press releases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a private capital raise occurred within the observation window, 0 if right-censored at 36 months</w:t>
            </w:r>
          </w:p>
        </w:tc>
        <w:tc>
          <w:tcPr>
            <w:tcW w:w="0" w:type="auto"/>
          </w:tcPr>
          <w:p>
            <w:pPr>
              <w:spacing w:line="240" w:lineRule="auto" w:before="0" w:after="0"/>
              <w:pStyle w:val="Compact"/>
            </w:pPr>
            <w:r>
              <w:rPr>
                <w:sz w:val="20"/>
                <w:szCs w:val="20"/>
              </w:rPr>
              <w:t xml:space="preserve">Same disclosure sources; censoring rule from BryceTech Start-Up Space 2022 coding convention</w:t>
            </w:r>
          </w:p>
        </w:tc>
      </w:tr>
      <w:tr>
        <w:tc>
          <w:tcPr>
            <w:tcW w:w="0" w:type="auto"/>
          </w:tcPr>
          <w:p>
            <w:pPr>
              <w:spacing w:line="240" w:lineRule="auto" w:before="0" w:after="0"/>
              <w:pStyle w:val="Compact"/>
            </w:pPr>
            <w:r>
              <w:rPr>
                <w:sz w:val="20"/>
                <w:szCs w:val="20"/>
              </w:rPr>
              <w:t xml:space="preserve">gov_contract_value_musd</w:t>
            </w:r>
          </w:p>
        </w:tc>
        <w:tc>
          <w:tcPr>
            <w:tcW w:w="0" w:type="auto"/>
          </w:tcPr>
          <w:p>
            <w:pPr>
              <w:spacing w:line="240" w:lineRule="auto" w:before="0" w:after="0"/>
              <w:pStyle w:val="Compact"/>
            </w:pPr>
            <w:r>
              <w:rPr>
                <w:sz w:val="20"/>
                <w:szCs w:val="20"/>
              </w:rPr>
              <w:t xml:space="preserve">Disclosed value of the triggering government award in millions USD; 0 for non-contract partnership signals</w:t>
            </w:r>
          </w:p>
        </w:tc>
        <w:tc>
          <w:tcPr>
            <w:tcW w:w="0" w:type="auto"/>
          </w:tcPr>
          <w:p>
            <w:pPr>
              <w:spacing w:line="240" w:lineRule="auto" w:before="0" w:after="0"/>
              <w:pStyle w:val="Compact"/>
            </w:pPr>
            <w:r>
              <w:rPr>
                <w:sz w:val="20"/>
                <w:szCs w:val="20"/>
              </w:rPr>
              <w:t xml:space="preserve">NASA Acquisition Office postings; GAO-23-106021; GAO-24-106767; GAO-25-107591</w:t>
            </w:r>
          </w:p>
        </w:tc>
      </w:tr>
      <w:tr>
        <w:tc>
          <w:tcPr>
            <w:tcW w:w="0" w:type="auto"/>
          </w:tcPr>
          <w:p>
            <w:pPr>
              <w:spacing w:line="240" w:lineRule="auto" w:before="0" w:after="0"/>
              <w:pStyle w:val="Compact"/>
            </w:pPr>
            <w:r>
              <w:rPr>
                <w:sz w:val="20"/>
                <w:szCs w:val="20"/>
              </w:rPr>
              <w:t xml:space="preserve">prior_space_capital_musd</w:t>
            </w:r>
          </w:p>
        </w:tc>
        <w:tc>
          <w:tcPr>
            <w:tcW w:w="0" w:type="auto"/>
          </w:tcPr>
          <w:p>
            <w:pPr>
              <w:spacing w:line="240" w:lineRule="auto" w:before="0" w:after="0"/>
              <w:pStyle w:val="Compact"/>
            </w:pPr>
            <w:r>
              <w:rPr>
                <w:sz w:val="20"/>
                <w:szCs w:val="20"/>
              </w:rPr>
              <w:t xml:space="preserve">Cumulative private capital raised by the firm before the government anchor signal, millions USD</w:t>
            </w:r>
          </w:p>
        </w:tc>
        <w:tc>
          <w:tcPr>
            <w:tcW w:w="0" w:type="auto"/>
          </w:tcPr>
          <w:p>
            <w:pPr>
              <w:spacing w:line="240" w:lineRule="auto" w:before="0" w:after="0"/>
              <w:pStyle w:val="Compact"/>
            </w:pPr>
            <w:r>
              <w:rPr>
                <w:sz w:val="20"/>
                <w:szCs w:val="20"/>
              </w:rPr>
              <w:t xml:space="preserve">Crunchbase; PitchBook; SEC filings</w:t>
            </w:r>
          </w:p>
        </w:tc>
      </w:tr>
      <w:tr>
        <w:tc>
          <w:tcPr>
            <w:tcW w:w="0" w:type="auto"/>
          </w:tcPr>
          <w:p>
            <w:pPr>
              <w:spacing w:line="240" w:lineRule="auto" w:before="0" w:after="0"/>
              <w:pStyle w:val="Compact"/>
            </w:pPr>
            <w:r>
              <w:rPr>
                <w:sz w:val="20"/>
                <w:szCs w:val="20"/>
              </w:rPr>
              <w:t xml:space="preserve">founder_gov_experience</w:t>
            </w:r>
          </w:p>
        </w:tc>
        <w:tc>
          <w:tcPr>
            <w:tcW w:w="0" w:type="auto"/>
          </w:tcPr>
          <w:p>
            <w:pPr>
              <w:spacing w:line="240" w:lineRule="auto" w:before="0" w:after="0"/>
              <w:pStyle w:val="Compact"/>
            </w:pPr>
            <w:r>
              <w:rPr>
                <w:sz w:val="20"/>
                <w:szCs w:val="20"/>
              </w:rPr>
              <w:t xml:space="preserve">Binary indicator equal to 1 if any founder or C-suite officer held NASA, DoD, or FFRDC experience at signal date</w:t>
            </w:r>
          </w:p>
        </w:tc>
        <w:tc>
          <w:tcPr>
            <w:tcW w:w="0" w:type="auto"/>
          </w:tcPr>
          <w:p>
            <w:pPr>
              <w:spacing w:line="240" w:lineRule="auto" w:before="0" w:after="0"/>
              <w:pStyle w:val="Compact"/>
            </w:pPr>
            <w:r>
              <w:rPr>
                <w:sz w:val="20"/>
                <w:szCs w:val="20"/>
              </w:rPr>
              <w:t xml:space="preserve">LinkedIn-verified executive biographies; company About pages</w:t>
            </w:r>
          </w:p>
        </w:tc>
      </w:tr>
      <w:tr>
        <w:tc>
          <w:tcPr>
            <w:tcW w:w="0" w:type="auto"/>
          </w:tcPr>
          <w:p>
            <w:pPr>
              <w:spacing w:line="240" w:lineRule="auto" w:before="0" w:after="0"/>
              <w:pStyle w:val="Compact"/>
            </w:pPr>
            <w:r>
              <w:rPr>
                <w:sz w:val="20"/>
                <w:szCs w:val="20"/>
              </w:rPr>
              <w:t xml:space="preserve">team_size_log</w:t>
            </w:r>
          </w:p>
        </w:tc>
        <w:tc>
          <w:tcPr>
            <w:tcW w:w="0" w:type="auto"/>
          </w:tcPr>
          <w:p>
            <w:pPr>
              <w:spacing w:line="240" w:lineRule="auto" w:before="0" w:after="0"/>
              <w:pStyle w:val="Compact"/>
            </w:pPr>
            <w:r>
              <w:rPr>
                <w:sz w:val="20"/>
                <w:szCs w:val="20"/>
              </w:rPr>
              <w:t xml:space="preserve">Natural log of headcount at the date of the government anchor signal</w:t>
            </w:r>
          </w:p>
        </w:tc>
        <w:tc>
          <w:tcPr>
            <w:tcW w:w="0" w:type="auto"/>
          </w:tcPr>
          <w:p>
            <w:pPr>
              <w:spacing w:line="240" w:lineRule="auto" w:before="0" w:after="0"/>
              <w:pStyle w:val="Compact"/>
            </w:pPr>
            <w:r>
              <w:rPr>
                <w:sz w:val="20"/>
                <w:szCs w:val="20"/>
              </w:rPr>
              <w:t xml:space="preserve">PitchBook; LinkedIn company pages; firm 10-K disclosures where available</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77" Type="http://schemas.openxmlformats.org/officeDocument/2006/relationships/hyperlink" Target="https://doi.org/10.1016/j.actaastro.2017.04.034" TargetMode="External"/><Relationship Id="rId135" Type="http://schemas.openxmlformats.org/officeDocument/2006/relationships/hyperlink" Target="https://doi.org/10.1016/j.actaastro.2021.06.017" TargetMode="External"/><Relationship Id="rId171" Type="http://schemas.openxmlformats.org/officeDocument/2006/relationships/hyperlink" Target="https://doi.org/10.1016/j.actaastro.2024.09.005" TargetMode="External"/><Relationship Id="rId175" Type="http://schemas.openxmlformats.org/officeDocument/2006/relationships/hyperlink" Target="https://doi.org/10.1016/j.actaastro.2024.12.056" TargetMode="External"/><Relationship Id="rId167" Type="http://schemas.openxmlformats.org/officeDocument/2006/relationships/hyperlink" Target="https://doi.org/10.1016/j.actaastro.2025.04.041" TargetMode="External"/><Relationship Id="rId169" Type="http://schemas.openxmlformats.org/officeDocument/2006/relationships/hyperlink" Target="https://doi.org/10.1016/j.actaastro.2025.06.067" TargetMode="External"/><Relationship Id="rId164" Type="http://schemas.openxmlformats.org/officeDocument/2006/relationships/hyperlink" Target="https://doi.org/10.1016/j.actaastro.2026.03.026" TargetMode="External"/><Relationship Id="rId173" Type="http://schemas.openxmlformats.org/officeDocument/2006/relationships/hyperlink" Target="https://doi.org/10.1016/j.actaastro.2026.05.056" TargetMode="External"/><Relationship Id="rId156" Type="http://schemas.openxmlformats.org/officeDocument/2006/relationships/hyperlink" Target="https://doi.org/10.64861/GBKE2290" TargetMode="External"/><Relationship Id="rId158" Type="http://schemas.openxmlformats.org/officeDocument/2006/relationships/hyperlink" Target="https://doi.org/10.64861/KLYS1084" TargetMode="External"/><Relationship Id="rId133" Type="http://schemas.openxmlformats.org/officeDocument/2006/relationships/hyperlink" Target="https://doi.org/10.64861/MVHC2799" TargetMode="External"/><Relationship Id="rId151" Type="http://schemas.openxmlformats.org/officeDocument/2006/relationships/hyperlink" Target="https://doi.org/10.64861/QBNC8763" TargetMode="External"/><Relationship Id="rId138" Type="http://schemas.openxmlformats.org/officeDocument/2006/relationships/hyperlink" Target="https://doi.org/10.64861/RBTM5104" TargetMode="External"/><Relationship Id="rId153" Type="http://schemas.openxmlformats.org/officeDocument/2006/relationships/hyperlink" Target="https://doi.org/10.64861/SYQO6621" TargetMode="External"/><Relationship Id="rId160" Type="http://schemas.openxmlformats.org/officeDocument/2006/relationships/hyperlink" Target="https://doi.org/10.64861/ZCTH5543" TargetMode="External"/></Relationships>
</file>

<file path=word/_rels/footnotes.xml.rels><?xml version='1.0' encoding='UTF-8' standalone='yes'?>
<Relationships xmlns="http://schemas.openxmlformats.org/package/2006/relationships"><Relationship Id="rId177" Type="http://schemas.openxmlformats.org/officeDocument/2006/relationships/hyperlink" Target="https://doi.org/10.1016/j.actaastro.2017.04.034" TargetMode="External"/><Relationship Id="rId135" Type="http://schemas.openxmlformats.org/officeDocument/2006/relationships/hyperlink" Target="https://doi.org/10.1016/j.actaastro.2021.06.017" TargetMode="External"/><Relationship Id="rId171" Type="http://schemas.openxmlformats.org/officeDocument/2006/relationships/hyperlink" Target="https://doi.org/10.1016/j.actaastro.2024.09.005" TargetMode="External"/><Relationship Id="rId175" Type="http://schemas.openxmlformats.org/officeDocument/2006/relationships/hyperlink" Target="https://doi.org/10.1016/j.actaastro.2024.12.056" TargetMode="External"/><Relationship Id="rId167" Type="http://schemas.openxmlformats.org/officeDocument/2006/relationships/hyperlink" Target="https://doi.org/10.1016/j.actaastro.2025.04.041" TargetMode="External"/><Relationship Id="rId169" Type="http://schemas.openxmlformats.org/officeDocument/2006/relationships/hyperlink" Target="https://doi.org/10.1016/j.actaastro.2025.06.067" TargetMode="External"/><Relationship Id="rId164" Type="http://schemas.openxmlformats.org/officeDocument/2006/relationships/hyperlink" Target="https://doi.org/10.1016/j.actaastro.2026.03.026" TargetMode="External"/><Relationship Id="rId173" Type="http://schemas.openxmlformats.org/officeDocument/2006/relationships/hyperlink" Target="https://doi.org/10.1016/j.actaastro.2026.05.056" TargetMode="External"/><Relationship Id="rId156" Type="http://schemas.openxmlformats.org/officeDocument/2006/relationships/hyperlink" Target="https://doi.org/10.64861/GBKE2290" TargetMode="External"/><Relationship Id="rId158" Type="http://schemas.openxmlformats.org/officeDocument/2006/relationships/hyperlink" Target="https://doi.org/10.64861/KLYS1084" TargetMode="External"/><Relationship Id="rId133" Type="http://schemas.openxmlformats.org/officeDocument/2006/relationships/hyperlink" Target="https://doi.org/10.64861/MVHC2799" TargetMode="External"/><Relationship Id="rId151" Type="http://schemas.openxmlformats.org/officeDocument/2006/relationships/hyperlink" Target="https://doi.org/10.64861/QBNC8763" TargetMode="External"/><Relationship Id="rId138" Type="http://schemas.openxmlformats.org/officeDocument/2006/relationships/hyperlink" Target="https://doi.org/10.64861/RBTM5104" TargetMode="External"/><Relationship Id="rId153" Type="http://schemas.openxmlformats.org/officeDocument/2006/relationships/hyperlink" Target="https://doi.org/10.64861/SYQO6621" TargetMode="External"/><Relationship Id="rId160" Type="http://schemas.openxmlformats.org/officeDocument/2006/relationships/hyperlink" Target="https://doi.org/10.64861/ZCTH55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Commercial Capital Follow or Lead Government Lunar Demand? A Lead-Lag Analysis of Cislunar Investment Cycles, 2015 to 2025</dc:title>
  <dc:creator>Elias Khan (1B-LUN-112)</dc:creator>
  <cp:keywords/>
  <dcterms:created xsi:type="dcterms:W3CDTF">2026-07-03T21:48:18Z</dcterms:created>
  <dcterms:modified xsi:type="dcterms:W3CDTF">2026-07-03T21:48:18Z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