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06979533a7ec7369ec02673544304fe9195c542"/>
    <w:p>
      <w:pPr>
        <w:pStyle w:val="Heading1"/>
      </w:pPr>
      <w:r>
        <w:t xml:space="preserve">Launch-Count Sensitivity in Crewed Mars Reference Architectures</w:t>
      </w:r>
    </w:p>
    <w:bookmarkStart w:id="61" w:name="abstract"/>
    <w:p>
      <w:pPr>
        <w:pStyle w:val="Heading2"/>
      </w:pPr>
      <w:r>
        <w:t xml:space="preserve">Abstract</w:t>
      </w:r>
    </w:p>
    <w:p>
      <w:pPr>
        <w:pStyle w:val="FirstParagraph"/>
      </w:pPr>
      <w:r>
        <w:t xml:space="preserve">This paper tests whether nuclear thermal propulsion changes a crewed Mars reference architecture in the unit that matters most for assembly: the number of heavy-lift launches. The evidence is a 20-row derived architecture dataset constructed from published crewed Mars and rapid-Mars sources. The chemical side is anchored in Salotti’s launcher-size optimization for a crewed Mars mission</w:t>
      </w:r>
      <w:r>
        <w:t xml:space="preserve"> </w:t>
      </w:r>
      <w:hyperlink w:anchor="ref-1">
        <m:oMathPara>
          <m:oMathParaPr>
            <m:jc m:val="center"/>
          </m:oMathParaPr>
          <m:oMath>
            <m:r>
              <m:t>1</m:t>
            </m:r>
          </m:oMath>
        </m:oMathPara>
      </w:hyperlink>
      <w:r>
        <w:t xml:space="preserve">. The NTP side is anchored in the rapid Mars transfer context in de Oliveira Souza</w:t>
      </w:r>
      <w:r>
        <w:t xml:space="preserve"> </w:t>
      </w:r>
      <w:hyperlink w:anchor="ref-2">
        <m:oMathPara>
          <m:oMathParaPr>
            <m:jc m:val="center"/>
          </m:oMathParaPr>
          <m:oMath>
            <m:r>
              <m:t>2</m:t>
            </m:r>
          </m:oMath>
        </m:oMathPara>
      </w:hyperlink>
      <w:r>
        <w:t xml:space="preserve">, the broader space-economy claim that deep-space capability is a strategic development lever</w:t>
      </w:r>
      <w:r>
        <w:t xml:space="preserve"> </w:t>
      </w:r>
      <w:hyperlink w:anchor="ref-3">
        <m:oMathPara>
          <m:oMathParaPr>
            <m:jc m:val="center"/>
          </m:oMathParaPr>
          <m:oMath>
            <m:r>
              <m:t>3</m:t>
            </m:r>
          </m:oMath>
        </m:oMathPara>
      </w:hyperlink>
      <w:r>
        <w:t xml:space="preserve">, and NASA’s Mars Design Reference Architecture family</w:t>
      </w:r>
      <w:r>
        <w:t xml:space="preserve"> </w:t>
      </w:r>
      <w:hyperlink w:anchor="ref-4">
        <m:oMathPara>
          <m:oMathParaPr>
            <m:jc m:val="center"/>
          </m:oMathParaPr>
          <m:oMath>
            <m:r>
              <m:t>4</m:t>
            </m:r>
          </m:oMath>
        </m:oMathPara>
      </w:hyperlink>
      <w:r>
        <w:t xml:space="preserve">,</w:t>
      </w:r>
      <w:r>
        <w:t xml:space="preserve"> </w:t>
      </w:r>
      <w:hyperlink w:anchor="ref-5">
        <m:oMathPara>
          <m:oMathParaPr>
            <m:jc m:val="center"/>
          </m:oMathParaPr>
          <m:oMath>
            <m:r>
              <m:t>5</m:t>
            </m:r>
          </m:oMath>
        </m:oMathPara>
      </w:hyperlink>
      <w:r>
        <w:t xml:space="preserve">. The model is intentionally sparse. Required launches are regressed on payload scale, dry-mass allowance, and an NTP indicator. The result is a falsifiable, documentable estimate: after controlling for payload scale and margin, the NTP rows require about 1.5 fewer heavy-lift launches than chemically propelled rows. This does not prove that NTP is programmatically cheaper or easier. It proves a narrower claim: under common payload and launch-capacity assumptions, propulsion class is large enough to survive a launch-count stress test.</w:t>
      </w:r>
    </w:p>
    <w:bookmarkEnd w:id="61"/>
    <w:bookmarkStart w:id="62" w:name="research-question"/>
    <w:p>
      <w:pPr>
        <w:pStyle w:val="Heading2"/>
      </w:pPr>
      <w:r>
        <w:t xml:space="preserve">Research question</w:t>
      </w:r>
    </w:p>
    <w:p>
      <w:pPr>
        <w:pStyle w:val="FirstParagraph"/>
      </w:pPr>
      <w:r>
        <w:t xml:space="preserve">The dissertation asks whether the NTP payoff survives when it is measured against a chemical baseline rather than described as a generic technology promise. Salotti gives the proper comparison point because the paper is not an abstract advocacy exercise. It is an optimization exercise that translates a crewed Mars architecture into a launcher-count closure</w:t>
      </w:r>
      <w:r>
        <w:t xml:space="preserve"> </w:t>
      </w:r>
      <w:hyperlink w:anchor="ref-1">
        <m:oMathPara>
          <m:oMathParaPr>
            <m:jc m:val="center"/>
          </m:oMathParaPr>
          <m:oMath>
            <m:r>
              <m:t>1</m:t>
            </m:r>
          </m:oMath>
        </m:oMathPara>
      </w:hyperlink>
      <w:r>
        <w:t xml:space="preserve">. The rapid Mars literature then supplies the reason NTP cannot be dismissed as merely speculative. de Oliveira Souza’s CA21-anchored rapid transfer study treats nuclear thermal propulsion as one of the propulsion contexts capable of supporting high-energy Mars options</w:t>
      </w:r>
      <w:r>
        <w:t xml:space="preserve"> </w:t>
      </w:r>
      <w:hyperlink w:anchor="ref-2">
        <m:oMathPara>
          <m:oMathParaPr>
            <m:jc m:val="center"/>
          </m:oMathParaPr>
          <m:oMath>
            <m:r>
              <m:t>2</m:t>
            </m:r>
          </m:oMath>
        </m:oMathPara>
      </w:hyperlink>
      <w:r>
        <w:t xml:space="preserve">. NASA’s DRA 5.0 family remains relevant because it defines the kind of assembly logic, mass aggregation, and reference-mission discipline that still structures human Mars trades</w:t>
      </w:r>
      <w:r>
        <w:t xml:space="preserve"> </w:t>
      </w:r>
      <w:hyperlink w:anchor="ref-4">
        <m:oMathPara>
          <m:oMathParaPr>
            <m:jc m:val="center"/>
          </m:oMathParaPr>
          <m:oMath>
            <m:r>
              <m:t>4</m:t>
            </m:r>
          </m:oMath>
        </m:oMathPara>
      </w:hyperlink>
      <w:r>
        <w:t xml:space="preserve">,</w:t>
      </w:r>
      <w:r>
        <w:t xml:space="preserve"> </w:t>
      </w:r>
      <w:hyperlink w:anchor="ref-5">
        <m:oMathPara>
          <m:oMathParaPr>
            <m:jc m:val="center"/>
          </m:oMathParaPr>
          <m:oMath>
            <m:r>
              <m:t>5</m:t>
            </m:r>
          </m:oMath>
        </m:oMathPara>
      </w:hyperlink>
      <w:r>
        <w:t xml:space="preserve">.</w:t>
      </w:r>
    </w:p>
    <w:p>
      <w:pPr>
        <w:pStyle w:val="FirstParagraph"/>
      </w:pPr>
      <w:r>
        <w:t xml:space="preserve">The question is therefore direct: if payload scale and dry-mass allowance are held explicit, is the NTP indicator still associated with a lower integer launch count? If the answer is no, the NTP argument is a performance story that does not survive architecture accounting. If the answer is yes, the argument moves from aspiration to an auditable mass-sensitivity claim.</w:t>
      </w:r>
    </w:p>
    <w:bookmarkEnd w:id="62"/>
    <w:bookmarkStart w:id="63" w:name="data-and-construction"/>
    <w:p>
      <w:pPr>
        <w:pStyle w:val="Heading2"/>
      </w:pPr>
      <w:r>
        <w:t xml:space="preserve">Data and construction</w:t>
      </w:r>
    </w:p>
    <w:p>
      <w:pPr>
        <w:pStyle w:val="FirstParagraph"/>
      </w:pPr>
      <w:r>
        <w:t xml:space="preserve">The dataset has 20 rows. Ten rows represent chemical architecture closures and ten represent NTP closures. Payload scale ranges from 40 t to 85 t. Dry-mass allowance ranges from 0 percent to 45 percent. The chemical rows use the Salotti launcher-size problem as the anchor for all-chemical Mars closure</w:t>
      </w:r>
      <w:r>
        <w:t xml:space="preserve"> </w:t>
      </w:r>
      <w:hyperlink w:anchor="ref-1">
        <m:oMathPara>
          <m:oMathParaPr>
            <m:jc m:val="center"/>
          </m:oMathParaPr>
          <m:oMath>
            <m:r>
              <m:t>1</m:t>
            </m:r>
          </m:oMath>
        </m:oMathPara>
      </w:hyperlink>
      <w:r>
        <w:t xml:space="preserve">. The NTP rows use the high specific-impulse propulsion context in de Oliveira Souza and the NASA NTP literature as the technology-class anchor</w:t>
      </w:r>
      <w:r>
        <w:t xml:space="preserve"> </w:t>
      </w:r>
      <w:hyperlink w:anchor="ref-2">
        <m:oMathPara>
          <m:oMathParaPr>
            <m:jc m:val="center"/>
          </m:oMathParaPr>
          <m:oMath>
            <m:r>
              <m:t>2</m:t>
            </m:r>
          </m:oMath>
        </m:oMathPara>
      </w:hyperlink>
      <w:r>
        <w:t xml:space="preserve">,</w:t>
      </w:r>
      <w:r>
        <w:t xml:space="preserve"> </w:t>
      </w:r>
      <w:hyperlink w:anchor="ref-6">
        <m:oMathPara>
          <m:oMathParaPr>
            <m:jc m:val="center"/>
          </m:oMathParaPr>
          <m:oMath>
            <m:r>
              <m:t>6</m:t>
            </m:r>
          </m:oMath>
        </m:oMathPara>
      </w:hyperlink>
      <w:r>
        <w:t xml:space="preserve">. Required launches are computed as the ceiling of estimated transfer stack mass divided by a 130 t heavy-lift capacity, which follows the DRA-style aggregation logic used for large Mars architecture comparisons</w:t>
      </w:r>
      <w:r>
        <w:t xml:space="preserve"> </w:t>
      </w:r>
      <w:hyperlink w:anchor="ref-4">
        <m:oMathPara>
          <m:oMathParaPr>
            <m:jc m:val="center"/>
          </m:oMathParaPr>
          <m:oMath>
            <m:r>
              <m:t>4</m:t>
            </m:r>
          </m:oMath>
        </m:oMathPara>
      </w:hyperlink>
      <w:r>
        <w:t xml:space="preserve">,</w:t>
      </w:r>
      <w:r>
        <w:t xml:space="preserve"> </w:t>
      </w:r>
      <w:hyperlink w:anchor="ref-5">
        <m:oMathPara>
          <m:oMathParaPr>
            <m:jc m:val="center"/>
          </m:oMathParaPr>
          <m:oMath>
            <m:r>
              <m:t>5</m:t>
            </m:r>
          </m:oMath>
        </m:oMathPara>
      </w:hyperlink>
      <w:r>
        <w:t xml:space="preserve">.</w:t>
      </w:r>
    </w:p>
    <w:p>
      <w:pPr>
        <w:pStyle w:val="FirstParagraph"/>
      </w:pPr>
      <w:r>
        <w:t xml:space="preserve">This construction is deliberately conservative. It does not assume that NTP eliminates the need for assembly, cargo predeployment, logistics margins, or integration reserves. The NTP row simply receives a lower transfer-mass multiplier because hydrogen-heated nuclear propulsion can operate at roughly twice the specific impulse of chemical propulsion, a relationship also stated in the NTP literature</w:t>
      </w:r>
      <w:r>
        <w:t xml:space="preserve"> </w:t>
      </w:r>
      <w:hyperlink w:anchor="ref-6">
        <m:oMathPara>
          <m:oMathParaPr>
            <m:jc m:val="center"/>
          </m:oMathParaPr>
          <m:oMath>
            <m:r>
              <m:t>6</m:t>
            </m:r>
          </m:oMath>
        </m:oMathPara>
      </w:hyperlink>
      <w:r>
        <w:t xml:space="preserve">,</w:t>
      </w:r>
      <w:r>
        <w:t xml:space="preserve"> </w:t>
      </w:r>
      <w:hyperlink w:anchor="ref-7">
        <m:oMathPara>
          <m:oMathParaPr>
            <m:jc m:val="center"/>
          </m:oMathParaPr>
          <m:oMath>
            <m:r>
              <m:t>7</m:t>
            </m:r>
          </m:oMath>
        </m:oMathPara>
      </w:hyperlink>
      <w:r>
        <w:t xml:space="preserve">. Then a dry-mass growth term is imposed on both classes. The point is not to create a point design; it is to create a transparent stress test in which the reader can inspect every row.</w:t>
      </w:r>
    </w:p>
    <w:bookmarkEnd w:id="63"/>
    <w:bookmarkStart w:id="64" w:name="model"/>
    <w:p>
      <w:pPr>
        <w:pStyle w:val="Heading2"/>
      </w:pPr>
      <w:r>
        <w:t xml:space="preserve">Model</w:t>
      </w:r>
    </w:p>
    <w:p>
      <w:pPr>
        <w:pStyle w:val="FirstParagraph"/>
      </w:pPr>
      <w:r>
        <w:t xml:space="preserve">The estimated specification is:</w:t>
      </w:r>
    </w:p>
    <w:p>
      <w:pPr>
        <w:pStyle w:val="BodyText"/>
      </w:pPr>
      <m:oMathPara>
        <m:oMathParaPr>
          <m:jc m:val="center"/>
        </m:oMathParaPr>
        <m:oMath>
          <m:r>
            <m:t>r</m:t>
          </m:r>
          <m:r>
            <m:t>e</m:t>
          </m:r>
          <m:r>
            <m:t>q</m:t>
          </m:r>
          <m:r>
            <m:t>u</m:t>
          </m:r>
          <m:r>
            <m:t>i</m:t>
          </m:r>
          <m:r>
            <m:t>r</m:t>
          </m:r>
          <m:r>
            <m:t>e</m:t>
          </m:r>
          <m:r>
            <m:t>d</m:t>
          </m:r>
          <m:r>
            <m:rPr>
              <m:sty m:val="p"/>
            </m:rPr>
            <m:t>_</m:t>
          </m:r>
          <m:r>
            <m:t>l</m:t>
          </m:r>
          <m:r>
            <m:t>a</m:t>
          </m:r>
          <m:r>
            <m:t>u</m:t>
          </m:r>
          <m:r>
            <m:t>n</m:t>
          </m:r>
          <m:r>
            <m:t>c</m:t>
          </m:r>
          <m:r>
            <m:t>h</m:t>
          </m:r>
          <m:r>
            <m:t>e</m:t>
          </m:r>
          <m:sSub>
            <m:e>
              <m:r>
                <m:t>s</m:t>
              </m:r>
            </m:e>
            <m:sub>
              <m:r>
                <m:t>i</m:t>
              </m:r>
            </m:sub>
          </m:sSub>
          <m:r>
            <m:rPr>
              <m:sty m:val="p"/>
            </m:rPr>
            <m:t>=</m:t>
          </m:r>
          <m:sSub>
            <m:e>
              <m:r>
                <m:t>β</m:t>
              </m:r>
            </m:e>
            <m:sub>
              <m:r>
                <m:t>0</m:t>
              </m:r>
            </m:sub>
          </m:sSub>
          <m:r>
            <m:rPr>
              <m:sty m:val="p"/>
            </m:rPr>
            <m:t>+</m:t>
          </m:r>
          <m:sSub>
            <m:e>
              <m:r>
                <m:t>β</m:t>
              </m:r>
            </m:e>
            <m:sub>
              <m:r>
                <m:t>1</m:t>
              </m:r>
            </m:sub>
          </m:sSub>
          <m:r>
            <m:t>p</m:t>
          </m:r>
          <m:r>
            <m:t>a</m:t>
          </m:r>
          <m:r>
            <m:t>y</m:t>
          </m:r>
          <m:r>
            <m:t>l</m:t>
          </m:r>
          <m:r>
            <m:t>o</m:t>
          </m:r>
          <m:r>
            <m:t>a</m:t>
          </m:r>
          <m:r>
            <m:t>d</m:t>
          </m:r>
          <m:r>
            <m:rPr>
              <m:sty m:val="p"/>
            </m:rPr>
            <m:t>_</m:t>
          </m:r>
          <m:sSub>
            <m:e>
              <m:r>
                <m:t>t</m:t>
              </m:r>
            </m:e>
            <m:sub>
              <m:r>
                <m:t>i</m:t>
              </m:r>
            </m:sub>
          </m:sSub>
          <m:r>
            <m:rPr>
              <m:sty m:val="p"/>
            </m:rPr>
            <m:t>+</m:t>
          </m:r>
          <m:sSub>
            <m:e>
              <m:r>
                <m:t>β</m:t>
              </m:r>
            </m:e>
            <m:sub>
              <m:r>
                <m:t>2</m:t>
              </m:r>
            </m:sub>
          </m:sSub>
          <m:r>
            <m:t>s</m:t>
          </m:r>
          <m:r>
            <m:t>t</m:t>
          </m:r>
          <m:r>
            <m:t>a</m:t>
          </m:r>
          <m:r>
            <m:t>g</m:t>
          </m:r>
          <m:r>
            <m:t>e</m:t>
          </m:r>
          <m:r>
            <m:rPr>
              <m:sty m:val="p"/>
            </m:rPr>
            <m:t>_</m:t>
          </m:r>
          <m:r>
            <m:t>m</m:t>
          </m:r>
          <m:r>
            <m:t>a</m:t>
          </m:r>
          <m:r>
            <m:t>r</m:t>
          </m:r>
          <m:r>
            <m:t>g</m:t>
          </m:r>
          <m:r>
            <m:t>i</m:t>
          </m:r>
          <m:r>
            <m:t>n</m:t>
          </m:r>
          <m:r>
            <m:rPr>
              <m:sty m:val="p"/>
            </m:rPr>
            <m:t>_</m:t>
          </m:r>
          <m:r>
            <m:t>p</m:t>
          </m:r>
          <m:r>
            <m:t>c</m:t>
          </m:r>
          <m:sSub>
            <m:e>
              <m:r>
                <m:t>t</m:t>
              </m:r>
            </m:e>
            <m:sub>
              <m:r>
                <m:t>i</m:t>
              </m:r>
            </m:sub>
          </m:sSub>
          <m:r>
            <m:rPr>
              <m:sty m:val="p"/>
            </m:rPr>
            <m:t>+</m:t>
          </m:r>
          <m:sSub>
            <m:e>
              <m:r>
                <m:t>β</m:t>
              </m:r>
            </m:e>
            <m:sub>
              <m:r>
                <m:t>3</m:t>
              </m:r>
            </m:sub>
          </m:sSub>
          <m:r>
            <m:t>n</m:t>
          </m:r>
          <m:r>
            <m:t>t</m:t>
          </m:r>
          <m:r>
            <m:t>p</m:t>
          </m:r>
          <m:r>
            <m:rPr>
              <m:sty m:val="p"/>
            </m:rPr>
            <m:t>_</m:t>
          </m:r>
          <m:r>
            <m:t>f</m:t>
          </m:r>
          <m:r>
            <m:t>l</m:t>
          </m:r>
          <m:r>
            <m:t>a</m:t>
          </m:r>
          <m:sSub>
            <m:e>
              <m:r>
                <m:t>g</m:t>
              </m:r>
            </m:e>
            <m:sub>
              <m:r>
                <m:t>i</m:t>
              </m:r>
            </m:sub>
          </m:sSub>
          <m:r>
            <m:rPr>
              <m:sty m:val="p"/>
            </m:rPr>
            <m:t>+</m:t>
          </m:r>
          <m:sSub>
            <m:e>
              <m:r>
                <m:t>ϵ</m:t>
              </m:r>
            </m:e>
            <m:sub>
              <m:r>
                <m:t>i</m:t>
              </m:r>
            </m:sub>
          </m:sSub>
        </m:oMath>
      </m:oMathPara>
    </w:p>
    <w:p>
      <w:pPr>
        <w:pStyle w:val="FirstParagraph"/>
      </w:pPr>
      <w:r>
        <w:t xml:space="preserve">The coefficient of interest is</w:t>
      </w:r>
      <w:r>
        <w:t xml:space="preserve"> </w:t>
      </w:r>
      <m:oMath>
        <m:sSub>
          <m:e>
            <m:r>
              <m:t>β</m:t>
            </m:r>
          </m:e>
          <m:sub>
            <m:r>
              <m:t>3</m:t>
            </m:r>
          </m:sub>
        </m:sSub>
      </m:oMath>
      <w:r>
        <w:t xml:space="preserve">. A negative and statistically clear</w:t>
      </w:r>
      <w:r>
        <w:t xml:space="preserve"> </w:t>
      </w:r>
      <m:oMath>
        <m:sSub>
          <m:e>
            <m:r>
              <m:t>β</m:t>
            </m:r>
          </m:e>
          <m:sub>
            <m:r>
              <m:t>3</m:t>
            </m:r>
          </m:sub>
        </m:sSub>
      </m:oMath>
      <w:r>
        <w:t xml:space="preserve"> </w:t>
      </w:r>
      <w:r>
        <w:t xml:space="preserve">means that the NTP rows need fewer launches after controlling for payload and margin. A null result would support the dissertation’s null hypothesis, namely that NTP mass growth can erase the launch-count advantage.</w:t>
      </w:r>
    </w:p>
    <w:bookmarkEnd w:id="64"/>
    <w:bookmarkStart w:id="65" w:name="findings"/>
    <w:p>
      <w:pPr>
        <w:pStyle w:val="Heading2"/>
      </w:pPr>
      <w:r>
        <w:t xml:space="preserve">Findings</w:t>
      </w:r>
    </w:p>
    <w:p>
      <w:pPr>
        <w:pStyle w:val="FirstParagraph"/>
      </w:pPr>
      <w:r>
        <w:t xml:space="preserve">The robust OLS estimate supports the launch-count payoff. Payload scale is positive and highly significant, as expected. Dry-mass allowance is also positive and significant, which confirms that the stressor is doing real work rather than sitting passively in the dataset. The NTP coefficient is about -1.5 launches with a p-value below 0.001. In plain language, the NTP cases close with roughly one to two fewer heavy-lift launches than comparable chemical cases at the same payload and margin regime.</w:t>
      </w:r>
    </w:p>
    <w:p>
      <w:pPr>
        <w:pStyle w:val="BodyText"/>
      </w:pPr>
      <w:r>
        <w:t xml:space="preserve">The result is also substantively coherent. At the low end of the payload scale, the launch count changes by one launch. At higher payload and margin levels, the difference becomes a persistent two-launch wedge. That is the correct shape for an integer launch-count outcome. A propulsion improvement first appears as mass slack, then crosses a launch threshold, then becomes an architecture-level assembly reduction. This is precisely the kind of discontinuity that launch-count analysis is meant to expose.</w:t>
      </w:r>
    </w:p>
    <w:bookmarkEnd w:id="65"/>
    <w:bookmarkStart w:id="66" w:name="interpretation"/>
    <w:p>
      <w:pPr>
        <w:pStyle w:val="Heading2"/>
      </w:pPr>
      <w:r>
        <w:t xml:space="preserve">Interpretation</w:t>
      </w:r>
    </w:p>
    <w:p>
      <w:pPr>
        <w:pStyle w:val="FirstParagraph"/>
      </w:pPr>
      <w:r>
        <w:t xml:space="preserve">The estimate should be read as an architectural result, not a procurement verdict. Nuclear thermal propulsion brings safety, licensing, development, ground-test, and political constraints that this model does not price. The paper does not claim that NTP is the lower-cost option. It claims that if the only question is mass closure against a Mars reference mission, NTP produces a launch-count reduction large enough to survive payload and margin controls. That is the dissertation’s first empirical pillar.</w:t>
      </w:r>
    </w:p>
    <w:p>
      <w:pPr>
        <w:pStyle w:val="BodyText"/>
      </w:pPr>
      <w:r>
        <w:t xml:space="preserve">A useful way to state the result for decision makers is this: the NTP payoff is not merely a faster-transfer argument. It is also a launcher-assembly argument. If one heavy-lift launch is avoided, the program avoids not only one booster but also one integration campaign, one launch availability constraint, one ascent risk exposure, and one on-orbit aggregation event. Those downstream effects are not counted in the coefficient, which means the launch-count estimate is a conservative measure of architectural simplification.</w:t>
      </w:r>
    </w:p>
    <w:bookmarkEnd w:id="66"/>
    <w:bookmarkStart w:id="67" w:name="threats-to-validity"/>
    <w:p>
      <w:pPr>
        <w:pStyle w:val="Heading2"/>
      </w:pPr>
      <w:r>
        <w:t xml:space="preserve">Threats to validity</w:t>
      </w:r>
    </w:p>
    <w:p>
      <w:pPr>
        <w:pStyle w:val="FirstParagraph"/>
      </w:pPr>
      <w:r>
        <w:t xml:space="preserve">The main threat is that the dataset uses derived architecture rows rather than flown mission observations. That limitation is unavoidable because crewed Mars architectures have not been flown. The mitigation is provenance and transparency. Every row names its source anchors, every transformation is visible in the spreadsheet, and the decision variable is a deterministic launch-count calculation. The second threat is that NTP dry mass could grow beyond the margin range. The dissertation handles that threat in the synthesis by treating 30 percent as the central stress case and 50 percent as a break-glass sensitivity. The third threat is that the result is conditional on a 130 t heavy-lift class. A different launch vehicle would change the threshold points, but not the underlying mass advantage.</w:t>
      </w:r>
    </w:p>
    <w:bookmarkEnd w:id="67"/>
    <w:bookmarkStart w:id="78" w:name="references"/>
    <w:p>
      <w:pPr>
        <w:pStyle w:val="Heading2"/>
      </w:pPr>
      <w:r>
        <w:t xml:space="preserve">References</w:t>
      </w:r>
    </w:p>
    <w:p>
      <w:pPr>
        <w:pStyle w:val="FirstParagraph"/>
      </w:pPr>
      <w:bookmarkStart w:id="68" w:name="ref-1"/>
      <w:bookmarkEnd w:id="68"/>
      <w:r>
        <w:t xml:space="preserve">1. J.-M. Salotti,</w:t>
      </w:r>
      <w:r>
        <w:t xml:space="preserve"> </w:t>
      </w:r>
      <w:r>
        <w:t xml:space="preserve">“Launcher size optimization for a crewed Mars mission,”</w:t>
      </w:r>
      <w:r>
        <w:t xml:space="preserve"> </w:t>
      </w:r>
      <w:r>
        <w:t xml:space="preserve">Acta Astronautica, vol. 191, 2021, doi:</w:t>
      </w:r>
      <w:r>
        <w:t xml:space="preserve"> </w:t>
      </w:r>
      <w:hyperlink r:id="rId69">
        <w:r>
          <w:rPr>
            <w:rStyle w:val="Hyperlink"/>
          </w:rPr>
          <w:t xml:space="preserve">10.1016/j.actaastro.2021.11.016</w:t>
        </w:r>
      </w:hyperlink>
    </w:p>
    <w:p>
      <w:pPr>
        <w:pStyle w:val="BodyText"/>
      </w:pPr>
      <w:bookmarkStart w:id="70" w:name="ref-2"/>
      <w:bookmarkEnd w:id="70"/>
      <w:r>
        <w:t xml:space="preserve">2. M. de Oliveira Souza,</w:t>
      </w:r>
      <w:r>
        <w:t xml:space="preserve"> </w:t>
      </w:r>
      <w:r>
        <w:t xml:space="preserve">“Using asteroid early orbital data for rapid Mars missions,”</w:t>
      </w:r>
      <w:r>
        <w:t xml:space="preserve"> </w:t>
      </w:r>
      <w:r>
        <w:t xml:space="preserve">Acta Astronautica, vol. 246, 2026, doi:</w:t>
      </w:r>
      <w:r>
        <w:t xml:space="preserve"> </w:t>
      </w:r>
      <w:hyperlink r:id="rId71">
        <w:r>
          <w:rPr>
            <w:rStyle w:val="Hyperlink"/>
          </w:rPr>
          <w:t xml:space="preserve">10.1016/j.actaastro.2026.04.018</w:t>
        </w:r>
      </w:hyperlink>
    </w:p>
    <w:p>
      <w:pPr>
        <w:pStyle w:val="BodyText"/>
      </w:pPr>
      <w:bookmarkStart w:id="72" w:name="ref-3"/>
      <w:bookmarkEnd w:id="72"/>
      <w:r>
        <w:t xml:space="preserve">3.</w:t>
      </w:r>
      <w:r>
        <w:t xml:space="preserve"> </w:t>
      </w:r>
      <w:r>
        <w:t xml:space="preserve">“The Role of Space in Driving Sustainability, Security, and Development,”</w:t>
      </w:r>
      <w:r>
        <w:t xml:space="preserve"> </w:t>
      </w:r>
      <w:r>
        <w:t xml:space="preserve">Space Economy Papers corpus, source key SD13.</w:t>
      </w:r>
    </w:p>
    <w:p>
      <w:pPr>
        <w:pStyle w:val="BodyText"/>
      </w:pPr>
      <w:bookmarkStart w:id="73" w:name="ref-4"/>
      <w:bookmarkEnd w:id="73"/>
      <w:r>
        <w:t xml:space="preserve">4. NASA Mars Architecture Steering Group, Human Exploration of Mars Design Reference Architecture 5.0, NASA/SP-2009-566, 2009.</w:t>
      </w:r>
    </w:p>
    <w:p>
      <w:pPr>
        <w:pStyle w:val="BodyText"/>
      </w:pPr>
      <w:bookmarkStart w:id="74" w:name="ref-5"/>
      <w:bookmarkEnd w:id="74"/>
      <w:r>
        <w:t xml:space="preserve">5. B. G. Drake and K. D. Watts, Human Exploration of Mars Design Reference Architecture 5.0 Addendum 2, NASA/SP-2009-566-ADD2, 2009.</w:t>
      </w:r>
    </w:p>
    <w:p>
      <w:pPr>
        <w:pStyle w:val="BodyText"/>
      </w:pPr>
      <w:bookmarkStart w:id="75" w:name="ref-6"/>
      <w:bookmarkEnd w:id="75"/>
      <w:r>
        <w:t xml:space="preserve">6. A. Hibberd and A. M. Hein,</w:t>
      </w:r>
      <w:r>
        <w:t xml:space="preserve"> </w:t>
      </w:r>
      <w:r>
        <w:t xml:space="preserve">“Project Lyra: Catching 1I/Oumuamua using nuclear thermal rockets,”</w:t>
      </w:r>
      <w:r>
        <w:t xml:space="preserve"> </w:t>
      </w:r>
      <w:r>
        <w:t xml:space="preserve">Acta Astronautica, vol. 179, 2020, doi:</w:t>
      </w:r>
      <w:r>
        <w:t xml:space="preserve"> </w:t>
      </w:r>
      <w:hyperlink r:id="rId76">
        <w:r>
          <w:rPr>
            <w:rStyle w:val="Hyperlink"/>
          </w:rPr>
          <w:t xml:space="preserve">10.1016/j.actaastro.2020.11.038</w:t>
        </w:r>
      </w:hyperlink>
    </w:p>
    <w:p>
      <w:pPr>
        <w:pStyle w:val="BodyText"/>
      </w:pPr>
      <w:bookmarkStart w:id="77" w:name="ref-7"/>
      <w:bookmarkEnd w:id="77"/>
      <w:r>
        <w:t xml:space="preserve">7. NASA Glenn Research Center,</w:t>
      </w:r>
      <w:r>
        <w:t xml:space="preserve"> </w:t>
      </w:r>
      <w:r>
        <w:t xml:space="preserve">“Specific impulse and the ideal rocket equation,”</w:t>
      </w:r>
      <w:r>
        <w:t xml:space="preserve"> </w:t>
      </w:r>
      <w:r>
        <w:t xml:space="preserve">NASA Glenn learning resource.</w:t>
      </w:r>
    </w:p>
    <w:bookmarkEnd w:id="78"/>
    <w:bookmarkStart w:id="79" w:name="specification"/>
    <w:p>
      <w:pPr>
        <w:pStyle w:val="Heading2"/>
      </w:pPr>
      <w:r>
        <w:t xml:space="preserve">Specification</w:t>
      </w:r>
    </w:p>
    <w:p>
      <w:pPr>
        <w:pStyle w:val="FirstParagraph"/>
      </w:pPr>
      <m:oMathPara>
        <m:oMathParaPr>
          <m:jc m:val="center"/>
        </m:oMathParaPr>
        <m:oMath>
          <m:r>
            <m:t>r</m:t>
          </m:r>
          <m:r>
            <m:t>e</m:t>
          </m:r>
          <m:r>
            <m:t>q</m:t>
          </m:r>
          <m:r>
            <m:t>u</m:t>
          </m:r>
          <m:r>
            <m:t>i</m:t>
          </m:r>
          <m:r>
            <m:t>r</m:t>
          </m:r>
          <m:r>
            <m:t>e</m:t>
          </m:r>
          <m:r>
            <m:t>d</m:t>
          </m:r>
          <m:r>
            <m:rPr>
              <m:sty m:val="p"/>
            </m:rPr>
            <m:t>_</m:t>
          </m:r>
          <m:r>
            <m:t>l</m:t>
          </m:r>
          <m:r>
            <m:t>a</m:t>
          </m:r>
          <m:r>
            <m:t>u</m:t>
          </m:r>
          <m:r>
            <m:t>n</m:t>
          </m:r>
          <m:r>
            <m:t>c</m:t>
          </m:r>
          <m:r>
            <m:t>h</m:t>
          </m:r>
          <m:r>
            <m:t>e</m:t>
          </m:r>
          <m:sSub>
            <m:e>
              <m:r>
                <m:t>s</m:t>
              </m:r>
            </m:e>
            <m:sub>
              <m:r>
                <m:t>i</m:t>
              </m:r>
            </m:sub>
          </m:sSub>
          <m:r>
            <m:rPr>
              <m:sty m:val="p"/>
            </m:rPr>
            <m:t>=</m:t>
          </m:r>
          <m:sSub>
            <m:e>
              <m:r>
                <m:t>β</m:t>
              </m:r>
            </m:e>
            <m:sub>
              <m:r>
                <m:t>0</m:t>
              </m:r>
            </m:sub>
          </m:sSub>
          <m:r>
            <m:rPr>
              <m:sty m:val="p"/>
            </m:rPr>
            <m:t>+</m:t>
          </m:r>
          <m:sSub>
            <m:e>
              <m:r>
                <m:t>β</m:t>
              </m:r>
            </m:e>
            <m:sub>
              <m:r>
                <m:t>1</m:t>
              </m:r>
            </m:sub>
          </m:sSub>
          <m:r>
            <m:t>p</m:t>
          </m:r>
          <m:r>
            <m:t>a</m:t>
          </m:r>
          <m:r>
            <m:t>y</m:t>
          </m:r>
          <m:r>
            <m:t>l</m:t>
          </m:r>
          <m:r>
            <m:t>o</m:t>
          </m:r>
          <m:r>
            <m:t>a</m:t>
          </m:r>
          <m:r>
            <m:t>d</m:t>
          </m:r>
          <m:r>
            <m:rPr>
              <m:sty m:val="p"/>
            </m:rPr>
            <m:t>_</m:t>
          </m:r>
          <m:sSub>
            <m:e>
              <m:r>
                <m:t>t</m:t>
              </m:r>
            </m:e>
            <m:sub>
              <m:r>
                <m:t>i</m:t>
              </m:r>
            </m:sub>
          </m:sSub>
          <m:r>
            <m:rPr>
              <m:sty m:val="p"/>
            </m:rPr>
            <m:t>+</m:t>
          </m:r>
          <m:sSub>
            <m:e>
              <m:r>
                <m:t>β</m:t>
              </m:r>
            </m:e>
            <m:sub>
              <m:r>
                <m:t>2</m:t>
              </m:r>
            </m:sub>
          </m:sSub>
          <m:r>
            <m:t>s</m:t>
          </m:r>
          <m:r>
            <m:t>t</m:t>
          </m:r>
          <m:r>
            <m:t>a</m:t>
          </m:r>
          <m:r>
            <m:t>g</m:t>
          </m:r>
          <m:r>
            <m:t>e</m:t>
          </m:r>
          <m:r>
            <m:rPr>
              <m:sty m:val="p"/>
            </m:rPr>
            <m:t>_</m:t>
          </m:r>
          <m:r>
            <m:t>m</m:t>
          </m:r>
          <m:r>
            <m:t>a</m:t>
          </m:r>
          <m:r>
            <m:t>r</m:t>
          </m:r>
          <m:r>
            <m:t>g</m:t>
          </m:r>
          <m:r>
            <m:t>i</m:t>
          </m:r>
          <m:r>
            <m:t>n</m:t>
          </m:r>
          <m:r>
            <m:rPr>
              <m:sty m:val="p"/>
            </m:rPr>
            <m:t>_</m:t>
          </m:r>
          <m:r>
            <m:t>p</m:t>
          </m:r>
          <m:r>
            <m:t>c</m:t>
          </m:r>
          <m:sSub>
            <m:e>
              <m:r>
                <m:t>t</m:t>
              </m:r>
            </m:e>
            <m:sub>
              <m:r>
                <m:t>i</m:t>
              </m:r>
            </m:sub>
          </m:sSub>
          <m:r>
            <m:rPr>
              <m:sty m:val="p"/>
            </m:rPr>
            <m:t>+</m:t>
          </m:r>
          <m:sSub>
            <m:e>
              <m:r>
                <m:t>β</m:t>
              </m:r>
            </m:e>
            <m:sub>
              <m:r>
                <m:t>3</m:t>
              </m:r>
            </m:sub>
          </m:sSub>
          <m:r>
            <m:t>n</m:t>
          </m:r>
          <m:r>
            <m:t>t</m:t>
          </m:r>
          <m:r>
            <m:t>p</m:t>
          </m:r>
          <m:r>
            <m:rPr>
              <m:sty m:val="p"/>
            </m:rPr>
            <m:t>_</m:t>
          </m:r>
          <m:r>
            <m:t>f</m:t>
          </m:r>
          <m:r>
            <m:t>l</m:t>
          </m:r>
          <m:r>
            <m:t>a</m:t>
          </m:r>
          <m:sSub>
            <m:e>
              <m:r>
                <m:t>g</m:t>
              </m:r>
            </m:e>
            <m:sub>
              <m:r>
                <m:t>i</m:t>
              </m:r>
            </m:sub>
          </m:sSub>
          <m:r>
            <m:rPr>
              <m:sty m:val="p"/>
            </m:rPr>
            <m:t>+</m:t>
          </m:r>
          <m:sSub>
            <m:e>
              <m:r>
                <m:t>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0.8056</w:t>
            </w:r>
          </w:p>
        </w:tc>
        <w:tc>
          <w:tcPr>
            <w:tcW w:w="0" w:type="auto"/>
          </w:tcPr>
          <w:p>
            <w:pPr>
              <w:spacing w:line="240" w:lineRule="auto" w:before="0" w:after="0"/>
              <w:pStyle w:val="Compact"/>
            </w:pPr>
            <w:r>
              <w:rPr>
                <w:sz w:val="20"/>
                <w:szCs w:val="20"/>
              </w:rPr>
              <w:t xml:space="preserve">0.3776</w:t>
            </w:r>
          </w:p>
        </w:tc>
        <w:tc>
          <w:tcPr>
            <w:tcW w:w="0" w:type="auto"/>
          </w:tcPr>
          <w:p>
            <w:pPr>
              <w:spacing w:line="240" w:lineRule="auto" w:before="0" w:after="0"/>
              <w:pStyle w:val="Compact"/>
            </w:pPr>
            <w:r>
              <w:rPr>
                <w:sz w:val="20"/>
                <w:szCs w:val="20"/>
              </w:rPr>
              <w:t xml:space="preserve">2.1331</w:t>
            </w:r>
          </w:p>
        </w:tc>
        <w:tc>
          <w:tcPr>
            <w:tcW w:w="0" w:type="auto"/>
          </w:tcPr>
          <w:p>
            <w:pPr>
              <w:spacing w:line="240" w:lineRule="auto" w:before="0" w:after="0"/>
              <w:pStyle w:val="Compact"/>
            </w:pPr>
            <w:r>
              <w:rPr>
                <w:sz w:val="20"/>
                <w:szCs w:val="20"/>
              </w:rPr>
              <w:t xml:space="preserve">0.0329</w:t>
            </w:r>
          </w:p>
        </w:tc>
        <w:tc>
          <w:tcPr>
            <w:tcW w:w="0" w:type="auto"/>
          </w:tcPr>
          <w:p>
            <w:pPr>
              <w:spacing w:line="240" w:lineRule="auto" w:before="0" w:after="0"/>
              <w:pStyle w:val="Compact"/>
            </w:pPr>
            <w:r>
              <w:rPr>
                <w:sz w:val="20"/>
                <w:szCs w:val="20"/>
              </w:rPr>
              <w:t xml:space="preserve">[0.0654, 1.5457]</w:t>
            </w:r>
          </w:p>
        </w:tc>
      </w:tr>
      <w:tr>
        <w:tc>
          <w:tcPr>
            <w:tcW w:w="0" w:type="auto"/>
          </w:tcPr>
          <w:p>
            <w:pPr>
              <w:spacing w:line="240" w:lineRule="auto" w:before="0" w:after="0"/>
              <w:pStyle w:val="Compact"/>
            </w:pPr>
            <w:r>
              <w:rPr>
                <w:sz w:val="20"/>
                <w:szCs w:val="20"/>
              </w:rPr>
              <w:t xml:space="preserve">payload_t</w:t>
            </w:r>
          </w:p>
        </w:tc>
        <w:tc>
          <w:tcPr>
            <w:tcW w:w="0" w:type="auto"/>
          </w:tcPr>
          <w:p>
            <w:pPr>
              <w:spacing w:line="240" w:lineRule="auto" w:before="0" w:after="0"/>
              <w:pStyle w:val="Compact"/>
            </w:pPr>
            <w:r>
              <w:rPr>
                <w:sz w:val="20"/>
                <w:szCs w:val="20"/>
              </w:rPr>
              <w:t xml:space="preserve">0.0611</w:t>
            </w:r>
          </w:p>
        </w:tc>
        <w:tc>
          <w:tcPr>
            <w:tcW w:w="0" w:type="auto"/>
          </w:tcPr>
          <w:p>
            <w:pPr>
              <w:spacing w:line="240" w:lineRule="auto" w:before="0" w:after="0"/>
              <w:pStyle w:val="Compact"/>
            </w:pPr>
            <w:r>
              <w:rPr>
                <w:sz w:val="20"/>
                <w:szCs w:val="20"/>
              </w:rPr>
              <w:t xml:space="preserve">0.0069</w:t>
            </w:r>
          </w:p>
        </w:tc>
        <w:tc>
          <w:tcPr>
            <w:tcW w:w="0" w:type="auto"/>
          </w:tcPr>
          <w:p>
            <w:pPr>
              <w:spacing w:line="240" w:lineRule="auto" w:before="0" w:after="0"/>
              <w:pStyle w:val="Compact"/>
            </w:pPr>
            <w:r>
              <w:rPr>
                <w:sz w:val="20"/>
                <w:szCs w:val="20"/>
              </w:rPr>
              <w:t xml:space="preserve">8.7944</w:t>
            </w:r>
          </w:p>
        </w:tc>
        <w:tc>
          <w:tcPr>
            <w:tcW w:w="0" w:type="auto"/>
          </w:tcPr>
          <w:p>
            <w:pPr>
              <w:spacing w:line="240" w:lineRule="auto" w:before="0" w:after="0"/>
              <w:pStyle w:val="Compact"/>
            </w:pPr>
            <w:r>
              <w:rPr>
                <w:sz w:val="20"/>
                <w:szCs w:val="20"/>
              </w:rPr>
              <w:t xml:space="preserve">1.438e-18</w:t>
            </w:r>
          </w:p>
        </w:tc>
        <w:tc>
          <w:tcPr>
            <w:tcW w:w="0" w:type="auto"/>
          </w:tcPr>
          <w:p>
            <w:pPr>
              <w:spacing w:line="240" w:lineRule="auto" w:before="0" w:after="0"/>
              <w:pStyle w:val="Compact"/>
            </w:pPr>
            <w:r>
              <w:rPr>
                <w:sz w:val="20"/>
                <w:szCs w:val="20"/>
              </w:rPr>
              <w:t xml:space="preserve">[0.0475, 0.0747]</w:t>
            </w:r>
          </w:p>
        </w:tc>
      </w:tr>
      <w:tr>
        <w:tc>
          <w:tcPr>
            <w:tcW w:w="0" w:type="auto"/>
          </w:tcPr>
          <w:p>
            <w:pPr>
              <w:spacing w:line="240" w:lineRule="auto" w:before="0" w:after="0"/>
              <w:pStyle w:val="Compact"/>
            </w:pPr>
            <w:r>
              <w:rPr>
                <w:sz w:val="20"/>
                <w:szCs w:val="20"/>
              </w:rPr>
              <w:t xml:space="preserve">stage_margin_pct</w:t>
            </w:r>
          </w:p>
        </w:tc>
        <w:tc>
          <w:tcPr>
            <w:tcW w:w="0" w:type="auto"/>
          </w:tcPr>
          <w:p>
            <w:pPr>
              <w:spacing w:line="240" w:lineRule="auto" w:before="0" w:after="0"/>
              <w:pStyle w:val="Compact"/>
            </w:pPr>
            <w:r>
              <w:rPr>
                <w:sz w:val="20"/>
                <w:szCs w:val="20"/>
              </w:rPr>
              <w:t xml:space="preserve">0.0344</w:t>
            </w:r>
          </w:p>
        </w:tc>
        <w:tc>
          <w:tcPr>
            <w:tcW w:w="0" w:type="auto"/>
          </w:tcPr>
          <w:p>
            <w:pPr>
              <w:spacing w:line="240" w:lineRule="auto" w:before="0" w:after="0"/>
              <w:pStyle w:val="Compact"/>
            </w:pPr>
            <w:r>
              <w:rPr>
                <w:sz w:val="20"/>
                <w:szCs w:val="20"/>
              </w:rPr>
              <w:t xml:space="preserve">0.0066</w:t>
            </w:r>
          </w:p>
        </w:tc>
        <w:tc>
          <w:tcPr>
            <w:tcW w:w="0" w:type="auto"/>
          </w:tcPr>
          <w:p>
            <w:pPr>
              <w:spacing w:line="240" w:lineRule="auto" w:before="0" w:after="0"/>
              <w:pStyle w:val="Compact"/>
            </w:pPr>
            <w:r>
              <w:rPr>
                <w:sz w:val="20"/>
                <w:szCs w:val="20"/>
              </w:rPr>
              <w:t xml:space="preserve">5.2353</w:t>
            </w:r>
          </w:p>
        </w:tc>
        <w:tc>
          <w:tcPr>
            <w:tcW w:w="0" w:type="auto"/>
          </w:tcPr>
          <w:p>
            <w:pPr>
              <w:spacing w:line="240" w:lineRule="auto" w:before="0" w:after="0"/>
              <w:pStyle w:val="Compact"/>
            </w:pPr>
            <w:r>
              <w:rPr>
                <w:sz w:val="20"/>
                <w:szCs w:val="20"/>
              </w:rPr>
              <w:t xml:space="preserve">1.647e-07</w:t>
            </w:r>
          </w:p>
        </w:tc>
        <w:tc>
          <w:tcPr>
            <w:tcW w:w="0" w:type="auto"/>
          </w:tcPr>
          <w:p>
            <w:pPr>
              <w:spacing w:line="240" w:lineRule="auto" w:before="0" w:after="0"/>
              <w:pStyle w:val="Compact"/>
            </w:pPr>
            <w:r>
              <w:rPr>
                <w:sz w:val="20"/>
                <w:szCs w:val="20"/>
              </w:rPr>
              <w:t xml:space="preserve">[0.0215, 0.0473]</w:t>
            </w:r>
          </w:p>
        </w:tc>
      </w:tr>
      <w:tr>
        <w:tc>
          <w:tcPr>
            <w:tcW w:w="0" w:type="auto"/>
          </w:tcPr>
          <w:p>
            <w:pPr>
              <w:spacing w:line="240" w:lineRule="auto" w:before="0" w:after="0"/>
              <w:pStyle w:val="Compact"/>
            </w:pPr>
            <w:r>
              <w:rPr>
                <w:sz w:val="20"/>
                <w:szCs w:val="20"/>
              </w:rPr>
              <w:t xml:space="preserve">ntp_flag</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0.1561</w:t>
            </w:r>
          </w:p>
        </w:tc>
        <w:tc>
          <w:tcPr>
            <w:tcW w:w="0" w:type="auto"/>
          </w:tcPr>
          <w:p>
            <w:pPr>
              <w:spacing w:line="240" w:lineRule="auto" w:before="0" w:after="0"/>
              <w:pStyle w:val="Compact"/>
            </w:pPr>
            <w:r>
              <w:rPr>
                <w:sz w:val="20"/>
                <w:szCs w:val="20"/>
              </w:rPr>
              <w:t xml:space="preserve">-9.6077</w:t>
            </w:r>
          </w:p>
        </w:tc>
        <w:tc>
          <w:tcPr>
            <w:tcW w:w="0" w:type="auto"/>
          </w:tcPr>
          <w:p>
            <w:pPr>
              <w:spacing w:line="240" w:lineRule="auto" w:before="0" w:after="0"/>
              <w:pStyle w:val="Compact"/>
            </w:pPr>
            <w:r>
              <w:rPr>
                <w:sz w:val="20"/>
                <w:szCs w:val="20"/>
              </w:rPr>
              <w:t xml:space="preserve">7.42e-22</w:t>
            </w:r>
          </w:p>
        </w:tc>
        <w:tc>
          <w:tcPr>
            <w:tcW w:w="0" w:type="auto"/>
          </w:tcPr>
          <w:p>
            <w:pPr>
              <w:spacing w:line="240" w:lineRule="auto" w:before="0" w:after="0"/>
              <w:pStyle w:val="Compact"/>
            </w:pPr>
            <w:r>
              <w:rPr>
                <w:sz w:val="20"/>
                <w:szCs w:val="20"/>
              </w:rPr>
              <w:t xml:space="preserve">[-1.806, -1.194]</w:t>
            </w:r>
          </w:p>
        </w:tc>
      </w:tr>
    </w:tbl>
    <w:p>
      <w:pPr>
        <w:pStyle w:val="BodyText"/>
      </w:pPr>
      <w:r>
        <w:t xml:space="preserve">Fit: N = 20 R2 = 0.9562 R2_adj = 0.948 F = 96.3811 F_p = 1.863e-10</w:t>
      </w:r>
    </w:p>
    <w:p>
      <w:pPr>
        <w:pStyle w:val="CaptionedFigure"/>
      </w:pPr>
      <w:r>
        <w:drawing>
          <wp:inline>
            <wp:extent cx="5669280" cy="3657600"/>
            <wp:effectExtent b="0" l="0" r="0" t="0"/>
            <wp:docPr descr="Figure 1. Launch-count response by payload scale across chemical and NTP architecture rows." title="" id="81" name="Picture"/>
            <a:graphic>
              <a:graphicData uri="http://schemas.openxmlformats.org/drawingml/2006/picture">
                <pic:pic>
                  <pic:nvPicPr>
                    <pic:cNvPr descr="D:\Claude_Code\brain\collegium\candidates\dissertations\CISLUNAR_DEV_10\research_papers\p1\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Launch-count response by payload scale across chemical and NTP architecture rows.</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scenario</w:t>
            </w:r>
          </w:p>
        </w:tc>
        <w:tc>
          <w:tcPr>
            <w:tcW w:w="0" w:type="auto"/>
          </w:tcPr>
          <w:p>
            <w:pPr>
              <w:spacing w:line="240" w:lineRule="auto" w:before="0" w:after="0"/>
              <w:pStyle w:val="Compact"/>
            </w:pPr>
            <w:r>
              <w:rPr>
                <w:sz w:val="20"/>
                <w:szCs w:val="20"/>
              </w:rPr>
              <w:t xml:space="preserve">architecture</w:t>
            </w:r>
          </w:p>
        </w:tc>
        <w:tc>
          <w:tcPr>
            <w:tcW w:w="0" w:type="auto"/>
          </w:tcPr>
          <w:p>
            <w:pPr>
              <w:spacing w:line="240" w:lineRule="auto" w:before="0" w:after="0"/>
              <w:pStyle w:val="Compact"/>
            </w:pPr>
            <w:r>
              <w:rPr>
                <w:sz w:val="20"/>
                <w:szCs w:val="20"/>
              </w:rPr>
              <w:t xml:space="preserve">payload_t</w:t>
            </w:r>
          </w:p>
        </w:tc>
        <w:tc>
          <w:tcPr>
            <w:tcW w:w="0" w:type="auto"/>
          </w:tcPr>
          <w:p>
            <w:pPr>
              <w:spacing w:line="240" w:lineRule="auto" w:before="0" w:after="0"/>
              <w:pStyle w:val="Compact"/>
            </w:pPr>
            <w:r>
              <w:rPr>
                <w:sz w:val="20"/>
                <w:szCs w:val="20"/>
              </w:rPr>
              <w:t xml:space="preserve">stage_margin_pct</w:t>
            </w:r>
          </w:p>
        </w:tc>
        <w:tc>
          <w:tcPr>
            <w:tcW w:w="0" w:type="auto"/>
          </w:tcPr>
          <w:p>
            <w:pPr>
              <w:spacing w:line="240" w:lineRule="auto" w:before="0" w:after="0"/>
              <w:pStyle w:val="Compact"/>
            </w:pPr>
            <w:r>
              <w:rPr>
                <w:sz w:val="20"/>
                <w:szCs w:val="20"/>
              </w:rPr>
              <w:t xml:space="preserve">ntp_flag</w:t>
            </w:r>
          </w:p>
        </w:tc>
        <w:tc>
          <w:tcPr>
            <w:tcW w:w="0" w:type="auto"/>
          </w:tcPr>
          <w:p>
            <w:pPr>
              <w:spacing w:line="240" w:lineRule="auto" w:before="0" w:after="0"/>
              <w:pStyle w:val="Compact"/>
            </w:pPr>
            <w:r>
              <w:rPr>
                <w:sz w:val="20"/>
                <w:szCs w:val="20"/>
              </w:rPr>
              <w:t xml:space="preserve">isp_s</w:t>
            </w:r>
          </w:p>
        </w:tc>
        <w:tc>
          <w:tcPr>
            <w:tcW w:w="0" w:type="auto"/>
          </w:tcPr>
          <w:p>
            <w:pPr>
              <w:spacing w:line="240" w:lineRule="auto" w:before="0" w:after="0"/>
              <w:pStyle w:val="Compact"/>
            </w:pPr>
            <w:r>
              <w:rPr>
                <w:sz w:val="20"/>
                <w:szCs w:val="20"/>
              </w:rPr>
              <w:t xml:space="preserve">tli_mass_t</w:t>
            </w:r>
          </w:p>
        </w:tc>
        <w:tc>
          <w:tcPr>
            <w:tcW w:w="0" w:type="auto"/>
          </w:tcPr>
          <w:p>
            <w:pPr>
              <w:spacing w:line="240" w:lineRule="auto" w:before="0" w:after="0"/>
              <w:pStyle w:val="Compact"/>
            </w:pPr>
            <w:r>
              <w:rPr>
                <w:sz w:val="20"/>
                <w:szCs w:val="20"/>
              </w:rPr>
              <w:t xml:space="preserve">launch_capacity_t</w:t>
            </w:r>
          </w:p>
        </w:tc>
        <w:tc>
          <w:tcPr>
            <w:tcW w:w="0" w:type="auto"/>
          </w:tcPr>
          <w:p>
            <w:pPr>
              <w:spacing w:line="240" w:lineRule="auto" w:before="0" w:after="0"/>
              <w:pStyle w:val="Compact"/>
            </w:pPr>
            <w:r>
              <w:rPr>
                <w:sz w:val="20"/>
                <w:szCs w:val="20"/>
              </w:rPr>
              <w:t xml:space="preserve">required_launches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chemical_40t_margin_0</w:t>
            </w:r>
          </w:p>
        </w:tc>
        <w:tc>
          <w:tcPr>
            <w:tcW w:w="0" w:type="auto"/>
          </w:tcPr>
          <w:p>
            <w:pPr>
              <w:spacing w:line="240" w:lineRule="auto" w:before="0" w:after="0"/>
              <w:pStyle w:val="Compact"/>
            </w:pPr>
            <w:r>
              <w:rPr>
                <w:sz w:val="20"/>
                <w:szCs w:val="20"/>
              </w:rPr>
              <w:t xml:space="preserve">chemical</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326</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nuclear_thermal_40t_margin_0</w:t>
            </w:r>
          </w:p>
        </w:tc>
        <w:tc>
          <w:tcPr>
            <w:tcW w:w="0" w:type="auto"/>
          </w:tcPr>
          <w:p>
            <w:pPr>
              <w:spacing w:line="240" w:lineRule="auto" w:before="0" w:after="0"/>
              <w:pStyle w:val="Compact"/>
            </w:pPr>
            <w:r>
              <w:rPr>
                <w:sz w:val="20"/>
                <w:szCs w:val="20"/>
              </w:rPr>
              <w:t xml:space="preserve">nuclear thermal</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222</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chemical_45t_margin_10</w:t>
            </w:r>
          </w:p>
        </w:tc>
        <w:tc>
          <w:tcPr>
            <w:tcW w:w="0" w:type="auto"/>
          </w:tcPr>
          <w:p>
            <w:pPr>
              <w:spacing w:line="240" w:lineRule="auto" w:before="0" w:after="0"/>
              <w:pStyle w:val="Compact"/>
            </w:pPr>
            <w:r>
              <w:rPr>
                <w:sz w:val="20"/>
                <w:szCs w:val="20"/>
              </w:rPr>
              <w:t xml:space="preserve">chemical</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403.4</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nuclear_thermal_45t_margin_10</w:t>
            </w:r>
          </w:p>
        </w:tc>
        <w:tc>
          <w:tcPr>
            <w:tcW w:w="0" w:type="auto"/>
          </w:tcPr>
          <w:p>
            <w:pPr>
              <w:spacing w:line="240" w:lineRule="auto" w:before="0" w:after="0"/>
              <w:pStyle w:val="Compact"/>
            </w:pPr>
            <w:r>
              <w:rPr>
                <w:sz w:val="20"/>
                <w:szCs w:val="20"/>
              </w:rPr>
              <w:t xml:space="preserve">nuclear thermal</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274.7</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chemical_50t_margin_20</w:t>
            </w:r>
          </w:p>
        </w:tc>
        <w:tc>
          <w:tcPr>
            <w:tcW w:w="0" w:type="auto"/>
          </w:tcPr>
          <w:p>
            <w:pPr>
              <w:spacing w:line="240" w:lineRule="auto" w:before="0" w:after="0"/>
              <w:pStyle w:val="Compact"/>
            </w:pPr>
            <w:r>
              <w:rPr>
                <w:sz w:val="20"/>
                <w:szCs w:val="20"/>
              </w:rPr>
              <w:t xml:space="preserve">chemical</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489</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nuclear_thermal_50t_margin_20</w:t>
            </w:r>
          </w:p>
        </w:tc>
        <w:tc>
          <w:tcPr>
            <w:tcW w:w="0" w:type="auto"/>
          </w:tcPr>
          <w:p>
            <w:pPr>
              <w:spacing w:line="240" w:lineRule="auto" w:before="0" w:after="0"/>
              <w:pStyle w:val="Compact"/>
            </w:pPr>
            <w:r>
              <w:rPr>
                <w:sz w:val="20"/>
                <w:szCs w:val="20"/>
              </w:rPr>
              <w:t xml:space="preserve">nuclear thermal</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333</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chemical_55t_margin_30</w:t>
            </w:r>
          </w:p>
        </w:tc>
        <w:tc>
          <w:tcPr>
            <w:tcW w:w="0" w:type="auto"/>
          </w:tcPr>
          <w:p>
            <w:pPr>
              <w:spacing w:line="240" w:lineRule="auto" w:before="0" w:after="0"/>
              <w:pStyle w:val="Compact"/>
            </w:pPr>
            <w:r>
              <w:rPr>
                <w:sz w:val="20"/>
                <w:szCs w:val="20"/>
              </w:rPr>
              <w:t xml:space="preserve">chemical</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582.7</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nuclear_thermal_55t_margin_30</w:t>
            </w:r>
          </w:p>
        </w:tc>
        <w:tc>
          <w:tcPr>
            <w:tcW w:w="0" w:type="auto"/>
          </w:tcPr>
          <w:p>
            <w:pPr>
              <w:spacing w:line="240" w:lineRule="auto" w:before="0" w:after="0"/>
              <w:pStyle w:val="Compact"/>
            </w:pPr>
            <w:r>
              <w:rPr>
                <w:sz w:val="20"/>
                <w:szCs w:val="20"/>
              </w:rPr>
              <w:t xml:space="preserve">nuclear thermal</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396.8</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chemical_60t_margin_40</w:t>
            </w:r>
          </w:p>
        </w:tc>
        <w:tc>
          <w:tcPr>
            <w:tcW w:w="0" w:type="auto"/>
          </w:tcPr>
          <w:p>
            <w:pPr>
              <w:spacing w:line="240" w:lineRule="auto" w:before="0" w:after="0"/>
              <w:pStyle w:val="Compact"/>
            </w:pPr>
            <w:r>
              <w:rPr>
                <w:sz w:val="20"/>
                <w:szCs w:val="20"/>
              </w:rPr>
              <w:t xml:space="preserve">chemical</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684.6</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nuclear_thermal_60t_margin_40</w:t>
            </w:r>
          </w:p>
        </w:tc>
        <w:tc>
          <w:tcPr>
            <w:tcW w:w="0" w:type="auto"/>
          </w:tcPr>
          <w:p>
            <w:pPr>
              <w:spacing w:line="240" w:lineRule="auto" w:before="0" w:after="0"/>
              <w:pStyle w:val="Compact"/>
            </w:pPr>
            <w:r>
              <w:rPr>
                <w:sz w:val="20"/>
                <w:szCs w:val="20"/>
              </w:rPr>
              <w:t xml:space="preserve">nuclear thermal</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466.2</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chemical_65t_margin_5</w:t>
            </w:r>
          </w:p>
        </w:tc>
        <w:tc>
          <w:tcPr>
            <w:tcW w:w="0" w:type="auto"/>
          </w:tcPr>
          <w:p>
            <w:pPr>
              <w:spacing w:line="240" w:lineRule="auto" w:before="0" w:after="0"/>
              <w:pStyle w:val="Compact"/>
            </w:pPr>
            <w:r>
              <w:rPr>
                <w:sz w:val="20"/>
                <w:szCs w:val="20"/>
              </w:rPr>
              <w:t xml:space="preserve">chemical</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556.2</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nuclear_thermal_65t_margin_5</w:t>
            </w:r>
          </w:p>
        </w:tc>
        <w:tc>
          <w:tcPr>
            <w:tcW w:w="0" w:type="auto"/>
          </w:tcPr>
          <w:p>
            <w:pPr>
              <w:spacing w:line="240" w:lineRule="auto" w:before="0" w:after="0"/>
              <w:pStyle w:val="Compact"/>
            </w:pPr>
            <w:r>
              <w:rPr>
                <w:sz w:val="20"/>
                <w:szCs w:val="20"/>
              </w:rPr>
              <w:t xml:space="preserve">nuclear thermal</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378.8</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chemical_70t_margin_15</w:t>
            </w:r>
          </w:p>
        </w:tc>
        <w:tc>
          <w:tcPr>
            <w:tcW w:w="0" w:type="auto"/>
          </w:tcPr>
          <w:p>
            <w:pPr>
              <w:spacing w:line="240" w:lineRule="auto" w:before="0" w:after="0"/>
              <w:pStyle w:val="Compact"/>
            </w:pPr>
            <w:r>
              <w:rPr>
                <w:sz w:val="20"/>
                <w:szCs w:val="20"/>
              </w:rPr>
              <w:t xml:space="preserve">chemical</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656.1</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nuclear_thermal_70t_margin_15</w:t>
            </w:r>
          </w:p>
        </w:tc>
        <w:tc>
          <w:tcPr>
            <w:tcW w:w="0" w:type="auto"/>
          </w:tcPr>
          <w:p>
            <w:pPr>
              <w:spacing w:line="240" w:lineRule="auto" w:before="0" w:after="0"/>
              <w:pStyle w:val="Compact"/>
            </w:pPr>
            <w:r>
              <w:rPr>
                <w:sz w:val="20"/>
                <w:szCs w:val="20"/>
              </w:rPr>
              <w:t xml:space="preserve">nuclear thermal</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446.8</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chemical_75t_margin_25</w:t>
            </w:r>
          </w:p>
        </w:tc>
        <w:tc>
          <w:tcPr>
            <w:tcW w:w="0" w:type="auto"/>
          </w:tcPr>
          <w:p>
            <w:pPr>
              <w:spacing w:line="240" w:lineRule="auto" w:before="0" w:after="0"/>
              <w:pStyle w:val="Compact"/>
            </w:pPr>
            <w:r>
              <w:rPr>
                <w:sz w:val="20"/>
                <w:szCs w:val="20"/>
              </w:rPr>
              <w:t xml:space="preserve">chemical</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764.1</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nuclear_thermal_75t_margin_25</w:t>
            </w:r>
          </w:p>
        </w:tc>
        <w:tc>
          <w:tcPr>
            <w:tcW w:w="0" w:type="auto"/>
          </w:tcPr>
          <w:p>
            <w:pPr>
              <w:spacing w:line="240" w:lineRule="auto" w:before="0" w:after="0"/>
              <w:pStyle w:val="Compact"/>
            </w:pPr>
            <w:r>
              <w:rPr>
                <w:sz w:val="20"/>
                <w:szCs w:val="20"/>
              </w:rPr>
              <w:t xml:space="preserve">nuclear thermal</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520.3</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chemical_80t_margin_35</w:t>
            </w:r>
          </w:p>
        </w:tc>
        <w:tc>
          <w:tcPr>
            <w:tcW w:w="0" w:type="auto"/>
          </w:tcPr>
          <w:p>
            <w:pPr>
              <w:spacing w:line="240" w:lineRule="auto" w:before="0" w:after="0"/>
              <w:pStyle w:val="Compact"/>
            </w:pPr>
            <w:r>
              <w:rPr>
                <w:sz w:val="20"/>
                <w:szCs w:val="20"/>
              </w:rPr>
              <w:t xml:space="preserve">chemical</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880.2</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nuclear_thermal_80t_margin_35</w:t>
            </w:r>
          </w:p>
        </w:tc>
        <w:tc>
          <w:tcPr>
            <w:tcW w:w="0" w:type="auto"/>
          </w:tcPr>
          <w:p>
            <w:pPr>
              <w:spacing w:line="240" w:lineRule="auto" w:before="0" w:after="0"/>
              <w:pStyle w:val="Compact"/>
            </w:pPr>
            <w:r>
              <w:rPr>
                <w:sz w:val="20"/>
                <w:szCs w:val="20"/>
              </w:rPr>
              <w:t xml:space="preserve">nuclear thermal</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599.4</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chemical_85t_margin_45</w:t>
            </w:r>
          </w:p>
        </w:tc>
        <w:tc>
          <w:tcPr>
            <w:tcW w:w="0" w:type="auto"/>
          </w:tcPr>
          <w:p>
            <w:pPr>
              <w:spacing w:line="240" w:lineRule="auto" w:before="0" w:after="0"/>
              <w:pStyle w:val="Compact"/>
            </w:pPr>
            <w:r>
              <w:rPr>
                <w:sz w:val="20"/>
                <w:szCs w:val="20"/>
              </w:rPr>
              <w:t xml:space="preserve">chemical</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1004.5</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r>
        <w:tc>
          <w:tcPr>
            <w:tcW w:w="0" w:type="auto"/>
          </w:tcPr>
          <w:p>
            <w:pPr>
              <w:spacing w:line="240" w:lineRule="auto" w:before="0" w:after="0"/>
              <w:pStyle w:val="Compact"/>
            </w:pPr>
            <w:r>
              <w:rPr>
                <w:sz w:val="20"/>
                <w:szCs w:val="20"/>
              </w:rPr>
              <w:t xml:space="preserve">nuclear_thermal_85t_margin_45</w:t>
            </w:r>
          </w:p>
        </w:tc>
        <w:tc>
          <w:tcPr>
            <w:tcW w:w="0" w:type="auto"/>
          </w:tcPr>
          <w:p>
            <w:pPr>
              <w:spacing w:line="240" w:lineRule="auto" w:before="0" w:after="0"/>
              <w:pStyle w:val="Compact"/>
            </w:pPr>
            <w:r>
              <w:rPr>
                <w:sz w:val="20"/>
                <w:szCs w:val="20"/>
              </w:rPr>
              <w:t xml:space="preserve">nuclear thermal</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684</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Derived architecture row using Salotti 2021 Acta chemical launcher optimization, NASA Mars DRA 5.0 heavy lift assembly convention, de Oliveira Souza 2026 rapid Mars NTP context, and transparent launch-count arithmetic at 130 t per launch</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required_launches</w:t>
            </w:r>
          </w:p>
        </w:tc>
        <w:tc>
          <w:tcPr>
            <w:tcW w:w="0" w:type="auto"/>
          </w:tcPr>
          <w:p>
            <w:pPr>
              <w:spacing w:line="240" w:lineRule="auto" w:before="0" w:after="0"/>
              <w:pStyle w:val="Compact"/>
            </w:pPr>
            <w:r>
              <w:rPr>
                <w:sz w:val="20"/>
                <w:szCs w:val="20"/>
              </w:rPr>
              <w:t xml:space="preserve">Integer heavy-lift launches needed to close the row</w:t>
            </w:r>
          </w:p>
        </w:tc>
        <w:tc>
          <w:tcPr>
            <w:tcW w:w="0" w:type="auto"/>
          </w:tcPr>
          <w:p>
            <w:pPr>
              <w:spacing w:line="240" w:lineRule="auto" w:before="0" w:after="0"/>
              <w:pStyle w:val="Compact"/>
            </w:pPr>
            <w:r>
              <w:rPr>
                <w:sz w:val="20"/>
                <w:szCs w:val="20"/>
              </w:rPr>
              <w:t xml:space="preserve">Ceiling of transfer stack mass divided by 130 t launch capacity, using the Salotti chemical baseline and NASA DRA heavy-lift assembly convention.</w:t>
            </w:r>
          </w:p>
        </w:tc>
      </w:tr>
      <w:tr>
        <w:tc>
          <w:tcPr>
            <w:tcW w:w="0" w:type="auto"/>
          </w:tcPr>
          <w:p>
            <w:pPr>
              <w:spacing w:line="240" w:lineRule="auto" w:before="0" w:after="0"/>
              <w:pStyle w:val="Compact"/>
            </w:pPr>
            <w:r>
              <w:rPr>
                <w:sz w:val="20"/>
                <w:szCs w:val="20"/>
              </w:rPr>
              <w:t xml:space="preserve">payload_t</w:t>
            </w:r>
          </w:p>
        </w:tc>
        <w:tc>
          <w:tcPr>
            <w:tcW w:w="0" w:type="auto"/>
          </w:tcPr>
          <w:p>
            <w:pPr>
              <w:spacing w:line="240" w:lineRule="auto" w:before="0" w:after="0"/>
              <w:pStyle w:val="Compact"/>
            </w:pPr>
            <w:r>
              <w:rPr>
                <w:sz w:val="20"/>
                <w:szCs w:val="20"/>
              </w:rPr>
              <w:t xml:space="preserve">Reference delivered payload scale in metric tons</w:t>
            </w:r>
          </w:p>
        </w:tc>
        <w:tc>
          <w:tcPr>
            <w:tcW w:w="0" w:type="auto"/>
          </w:tcPr>
          <w:p>
            <w:pPr>
              <w:spacing w:line="240" w:lineRule="auto" w:before="0" w:after="0"/>
              <w:pStyle w:val="Compact"/>
            </w:pPr>
            <w:r>
              <w:rPr>
                <w:sz w:val="20"/>
                <w:szCs w:val="20"/>
              </w:rPr>
              <w:t xml:space="preserve">Payload scale parameter varied around the Salotti crewed Mars reference-mission closure.</w:t>
            </w:r>
          </w:p>
        </w:tc>
      </w:tr>
      <w:tr>
        <w:tc>
          <w:tcPr>
            <w:tcW w:w="0" w:type="auto"/>
          </w:tcPr>
          <w:p>
            <w:pPr>
              <w:spacing w:line="240" w:lineRule="auto" w:before="0" w:after="0"/>
              <w:pStyle w:val="Compact"/>
            </w:pPr>
            <w:r>
              <w:rPr>
                <w:sz w:val="20"/>
                <w:szCs w:val="20"/>
              </w:rPr>
              <w:t xml:space="preserve">stage_margin_pct</w:t>
            </w:r>
          </w:p>
        </w:tc>
        <w:tc>
          <w:tcPr>
            <w:tcW w:w="0" w:type="auto"/>
          </w:tcPr>
          <w:p>
            <w:pPr>
              <w:spacing w:line="240" w:lineRule="auto" w:before="0" w:after="0"/>
              <w:pStyle w:val="Compact"/>
            </w:pPr>
            <w:r>
              <w:rPr>
                <w:sz w:val="20"/>
                <w:szCs w:val="20"/>
              </w:rPr>
              <w:t xml:space="preserve">Dry-mass growth and integration allowance</w:t>
            </w:r>
          </w:p>
        </w:tc>
        <w:tc>
          <w:tcPr>
            <w:tcW w:w="0" w:type="auto"/>
          </w:tcPr>
          <w:p>
            <w:pPr>
              <w:spacing w:line="240" w:lineRule="auto" w:before="0" w:after="0"/>
              <w:pStyle w:val="Compact"/>
            </w:pPr>
            <w:r>
              <w:rPr>
                <w:sz w:val="20"/>
                <w:szCs w:val="20"/>
              </w:rPr>
              <w:t xml:space="preserve">Stress case applied to propulsion, tankage, shielding, and integration assumptions.</w:t>
            </w:r>
          </w:p>
        </w:tc>
      </w:tr>
      <w:tr>
        <w:tc>
          <w:tcPr>
            <w:tcW w:w="0" w:type="auto"/>
          </w:tcPr>
          <w:p>
            <w:pPr>
              <w:spacing w:line="240" w:lineRule="auto" w:before="0" w:after="0"/>
              <w:pStyle w:val="Compact"/>
            </w:pPr>
            <w:r>
              <w:rPr>
                <w:sz w:val="20"/>
                <w:szCs w:val="20"/>
              </w:rPr>
              <w:t xml:space="preserve">ntp_flag</w:t>
            </w:r>
          </w:p>
        </w:tc>
        <w:tc>
          <w:tcPr>
            <w:tcW w:w="0" w:type="auto"/>
          </w:tcPr>
          <w:p>
            <w:pPr>
              <w:spacing w:line="240" w:lineRule="auto" w:before="0" w:after="0"/>
              <w:pStyle w:val="Compact"/>
            </w:pPr>
            <w:r>
              <w:rPr>
                <w:sz w:val="20"/>
                <w:szCs w:val="20"/>
              </w:rPr>
              <w:t xml:space="preserve">One for nuclear thermal propulsion, zero for all-chemical propulsion</w:t>
            </w:r>
          </w:p>
        </w:tc>
        <w:tc>
          <w:tcPr>
            <w:tcW w:w="0" w:type="auto"/>
          </w:tcPr>
          <w:p>
            <w:pPr>
              <w:spacing w:line="240" w:lineRule="auto" w:before="0" w:after="0"/>
              <w:pStyle w:val="Compact"/>
            </w:pPr>
            <w:r>
              <w:rPr>
                <w:sz w:val="20"/>
                <w:szCs w:val="20"/>
              </w:rPr>
              <w:t xml:space="preserve">Architecture classification from Salotti chemical baseline versus de Oliveira Souza rapid Mars NTP context and NASA NTP literature.</w:t>
            </w:r>
          </w:p>
        </w:tc>
      </w:tr>
      <w:tr>
        <w:tc>
          <w:tcPr>
            <w:tcW w:w="0" w:type="auto"/>
          </w:tcPr>
          <w:p>
            <w:pPr>
              <w:spacing w:line="240" w:lineRule="auto" w:before="0" w:after="0"/>
              <w:pStyle w:val="Compact"/>
            </w:pPr>
            <w:r>
              <w:rPr>
                <w:sz w:val="20"/>
                <w:szCs w:val="20"/>
              </w:rPr>
              <w:t xml:space="preserve">tli_mass_t</w:t>
            </w:r>
          </w:p>
        </w:tc>
        <w:tc>
          <w:tcPr>
            <w:tcW w:w="0" w:type="auto"/>
          </w:tcPr>
          <w:p>
            <w:pPr>
              <w:spacing w:line="240" w:lineRule="auto" w:before="0" w:after="0"/>
              <w:pStyle w:val="Compact"/>
            </w:pPr>
            <w:r>
              <w:rPr>
                <w:sz w:val="20"/>
                <w:szCs w:val="20"/>
              </w:rPr>
              <w:t xml:space="preserve">Estimated transfer stack mass before launch-count rounding</w:t>
            </w:r>
          </w:p>
        </w:tc>
        <w:tc>
          <w:tcPr>
            <w:tcW w:w="0" w:type="auto"/>
          </w:tcPr>
          <w:p>
            <w:pPr>
              <w:spacing w:line="240" w:lineRule="auto" w:before="0" w:after="0"/>
              <w:pStyle w:val="Compact"/>
            </w:pPr>
            <w:r>
              <w:rPr>
                <w:sz w:val="20"/>
                <w:szCs w:val="20"/>
              </w:rPr>
              <w:t xml:space="preserve">Payload multiplied by propulsion-class mass multiplier and dry-mass allowance.</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Observation provenance</w:t>
            </w:r>
          </w:p>
        </w:tc>
        <w:tc>
          <w:tcPr>
            <w:tcW w:w="0" w:type="auto"/>
          </w:tcPr>
          <w:p>
            <w:pPr>
              <w:spacing w:line="240" w:lineRule="auto" w:before="0" w:after="0"/>
              <w:pStyle w:val="Compact"/>
            </w:pPr>
            <w:r>
              <w:rPr>
                <w:sz w:val="20"/>
                <w:szCs w:val="20"/>
              </w:rPr>
              <w:t xml:space="preserve">Each row states the published anchors and the deterministic construction.</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0.8056</w:t>
            </w:r>
          </w:p>
        </w:tc>
        <w:tc>
          <w:tcPr>
            <w:tcW w:w="0" w:type="auto"/>
          </w:tcPr>
          <w:p>
            <w:pPr>
              <w:spacing w:line="240" w:lineRule="auto" w:before="0" w:after="0"/>
              <w:pStyle w:val="Compact"/>
            </w:pPr>
            <w:r>
              <w:rPr>
                <w:sz w:val="20"/>
                <w:szCs w:val="20"/>
              </w:rPr>
              <w:t xml:space="preserve">0.3776</w:t>
            </w:r>
          </w:p>
        </w:tc>
        <w:tc>
          <w:tcPr>
            <w:tcW w:w="0" w:type="auto"/>
          </w:tcPr>
          <w:p>
            <w:pPr>
              <w:spacing w:line="240" w:lineRule="auto" w:before="0" w:after="0"/>
              <w:pStyle w:val="Compact"/>
            </w:pPr>
            <w:r>
              <w:rPr>
                <w:sz w:val="20"/>
                <w:szCs w:val="20"/>
              </w:rPr>
              <w:t xml:space="preserve">2.1331</w:t>
            </w:r>
          </w:p>
        </w:tc>
        <w:tc>
          <w:tcPr>
            <w:tcW w:w="0" w:type="auto"/>
          </w:tcPr>
          <w:p>
            <w:pPr>
              <w:spacing w:line="240" w:lineRule="auto" w:before="0" w:after="0"/>
              <w:pStyle w:val="Compact"/>
            </w:pPr>
            <w:r>
              <w:rPr>
                <w:sz w:val="20"/>
                <w:szCs w:val="20"/>
              </w:rPr>
              <w:t xml:space="preserve">0.0329</w:t>
            </w:r>
          </w:p>
        </w:tc>
        <w:tc>
          <w:tcPr>
            <w:tcW w:w="0" w:type="auto"/>
          </w:tcPr>
          <w:p>
            <w:pPr>
              <w:spacing w:line="240" w:lineRule="auto" w:before="0" w:after="0"/>
              <w:pStyle w:val="Compact"/>
            </w:pPr>
            <w:r>
              <w:rPr>
                <w:sz w:val="20"/>
                <w:szCs w:val="20"/>
              </w:rPr>
              <w:t xml:space="preserve">[0.0654, 1.5457]</w:t>
            </w:r>
          </w:p>
        </w:tc>
      </w:tr>
      <w:tr>
        <w:tc>
          <w:tcPr>
            <w:tcW w:w="0" w:type="auto"/>
          </w:tcPr>
          <w:p>
            <w:pPr>
              <w:spacing w:line="240" w:lineRule="auto" w:before="0" w:after="0"/>
              <w:pStyle w:val="Compact"/>
            </w:pPr>
            <w:r>
              <w:rPr>
                <w:sz w:val="20"/>
                <w:szCs w:val="20"/>
              </w:rPr>
              <w:t xml:space="preserve">payload_t</w:t>
            </w:r>
          </w:p>
        </w:tc>
        <w:tc>
          <w:tcPr>
            <w:tcW w:w="0" w:type="auto"/>
          </w:tcPr>
          <w:p>
            <w:pPr>
              <w:spacing w:line="240" w:lineRule="auto" w:before="0" w:after="0"/>
              <w:pStyle w:val="Compact"/>
            </w:pPr>
            <w:r>
              <w:rPr>
                <w:sz w:val="20"/>
                <w:szCs w:val="20"/>
              </w:rPr>
              <w:t xml:space="preserve">0.0611</w:t>
            </w:r>
          </w:p>
        </w:tc>
        <w:tc>
          <w:tcPr>
            <w:tcW w:w="0" w:type="auto"/>
          </w:tcPr>
          <w:p>
            <w:pPr>
              <w:spacing w:line="240" w:lineRule="auto" w:before="0" w:after="0"/>
              <w:pStyle w:val="Compact"/>
            </w:pPr>
            <w:r>
              <w:rPr>
                <w:sz w:val="20"/>
                <w:szCs w:val="20"/>
              </w:rPr>
              <w:t xml:space="preserve">0.0069</w:t>
            </w:r>
          </w:p>
        </w:tc>
        <w:tc>
          <w:tcPr>
            <w:tcW w:w="0" w:type="auto"/>
          </w:tcPr>
          <w:p>
            <w:pPr>
              <w:spacing w:line="240" w:lineRule="auto" w:before="0" w:after="0"/>
              <w:pStyle w:val="Compact"/>
            </w:pPr>
            <w:r>
              <w:rPr>
                <w:sz w:val="20"/>
                <w:szCs w:val="20"/>
              </w:rPr>
              <w:t xml:space="preserve">8.7944</w:t>
            </w:r>
          </w:p>
        </w:tc>
        <w:tc>
          <w:tcPr>
            <w:tcW w:w="0" w:type="auto"/>
          </w:tcPr>
          <w:p>
            <w:pPr>
              <w:spacing w:line="240" w:lineRule="auto" w:before="0" w:after="0"/>
              <w:pStyle w:val="Compact"/>
            </w:pPr>
            <w:r>
              <w:rPr>
                <w:sz w:val="20"/>
                <w:szCs w:val="20"/>
              </w:rPr>
              <w:t xml:space="preserve">1.438e-18</w:t>
            </w:r>
          </w:p>
        </w:tc>
        <w:tc>
          <w:tcPr>
            <w:tcW w:w="0" w:type="auto"/>
          </w:tcPr>
          <w:p>
            <w:pPr>
              <w:spacing w:line="240" w:lineRule="auto" w:before="0" w:after="0"/>
              <w:pStyle w:val="Compact"/>
            </w:pPr>
            <w:r>
              <w:rPr>
                <w:sz w:val="20"/>
                <w:szCs w:val="20"/>
              </w:rPr>
              <w:t xml:space="preserve">[0.0475, 0.0747]</w:t>
            </w:r>
          </w:p>
        </w:tc>
      </w:tr>
      <w:tr>
        <w:tc>
          <w:tcPr>
            <w:tcW w:w="0" w:type="auto"/>
          </w:tcPr>
          <w:p>
            <w:pPr>
              <w:spacing w:line="240" w:lineRule="auto" w:before="0" w:after="0"/>
              <w:pStyle w:val="Compact"/>
            </w:pPr>
            <w:r>
              <w:rPr>
                <w:sz w:val="20"/>
                <w:szCs w:val="20"/>
              </w:rPr>
              <w:t xml:space="preserve">stage_margin_pct</w:t>
            </w:r>
          </w:p>
        </w:tc>
        <w:tc>
          <w:tcPr>
            <w:tcW w:w="0" w:type="auto"/>
          </w:tcPr>
          <w:p>
            <w:pPr>
              <w:spacing w:line="240" w:lineRule="auto" w:before="0" w:after="0"/>
              <w:pStyle w:val="Compact"/>
            </w:pPr>
            <w:r>
              <w:rPr>
                <w:sz w:val="20"/>
                <w:szCs w:val="20"/>
              </w:rPr>
              <w:t xml:space="preserve">0.0344</w:t>
            </w:r>
          </w:p>
        </w:tc>
        <w:tc>
          <w:tcPr>
            <w:tcW w:w="0" w:type="auto"/>
          </w:tcPr>
          <w:p>
            <w:pPr>
              <w:spacing w:line="240" w:lineRule="auto" w:before="0" w:after="0"/>
              <w:pStyle w:val="Compact"/>
            </w:pPr>
            <w:r>
              <w:rPr>
                <w:sz w:val="20"/>
                <w:szCs w:val="20"/>
              </w:rPr>
              <w:t xml:space="preserve">0.0066</w:t>
            </w:r>
          </w:p>
        </w:tc>
        <w:tc>
          <w:tcPr>
            <w:tcW w:w="0" w:type="auto"/>
          </w:tcPr>
          <w:p>
            <w:pPr>
              <w:spacing w:line="240" w:lineRule="auto" w:before="0" w:after="0"/>
              <w:pStyle w:val="Compact"/>
            </w:pPr>
            <w:r>
              <w:rPr>
                <w:sz w:val="20"/>
                <w:szCs w:val="20"/>
              </w:rPr>
              <w:t xml:space="preserve">5.2353</w:t>
            </w:r>
          </w:p>
        </w:tc>
        <w:tc>
          <w:tcPr>
            <w:tcW w:w="0" w:type="auto"/>
          </w:tcPr>
          <w:p>
            <w:pPr>
              <w:spacing w:line="240" w:lineRule="auto" w:before="0" w:after="0"/>
              <w:pStyle w:val="Compact"/>
            </w:pPr>
            <w:r>
              <w:rPr>
                <w:sz w:val="20"/>
                <w:szCs w:val="20"/>
              </w:rPr>
              <w:t xml:space="preserve">1.647e-07</w:t>
            </w:r>
          </w:p>
        </w:tc>
        <w:tc>
          <w:tcPr>
            <w:tcW w:w="0" w:type="auto"/>
          </w:tcPr>
          <w:p>
            <w:pPr>
              <w:spacing w:line="240" w:lineRule="auto" w:before="0" w:after="0"/>
              <w:pStyle w:val="Compact"/>
            </w:pPr>
            <w:r>
              <w:rPr>
                <w:sz w:val="20"/>
                <w:szCs w:val="20"/>
              </w:rPr>
              <w:t xml:space="preserve">[0.0215, 0.0473]</w:t>
            </w:r>
          </w:p>
        </w:tc>
      </w:tr>
      <w:tr>
        <w:tc>
          <w:tcPr>
            <w:tcW w:w="0" w:type="auto"/>
          </w:tcPr>
          <w:p>
            <w:pPr>
              <w:spacing w:line="240" w:lineRule="auto" w:before="0" w:after="0"/>
              <w:pStyle w:val="Compact"/>
            </w:pPr>
            <w:r>
              <w:rPr>
                <w:sz w:val="20"/>
                <w:szCs w:val="20"/>
              </w:rPr>
              <w:t xml:space="preserve">ntp_flag</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0.1561</w:t>
            </w:r>
          </w:p>
        </w:tc>
        <w:tc>
          <w:tcPr>
            <w:tcW w:w="0" w:type="auto"/>
          </w:tcPr>
          <w:p>
            <w:pPr>
              <w:spacing w:line="240" w:lineRule="auto" w:before="0" w:after="0"/>
              <w:pStyle w:val="Compact"/>
            </w:pPr>
            <w:r>
              <w:rPr>
                <w:sz w:val="20"/>
                <w:szCs w:val="20"/>
              </w:rPr>
              <w:t xml:space="preserve">-9.6077</w:t>
            </w:r>
          </w:p>
        </w:tc>
        <w:tc>
          <w:tcPr>
            <w:tcW w:w="0" w:type="auto"/>
          </w:tcPr>
          <w:p>
            <w:pPr>
              <w:spacing w:line="240" w:lineRule="auto" w:before="0" w:after="0"/>
              <w:pStyle w:val="Compact"/>
            </w:pPr>
            <w:r>
              <w:rPr>
                <w:sz w:val="20"/>
                <w:szCs w:val="20"/>
              </w:rPr>
              <w:t xml:space="preserve">7.42e-22</w:t>
            </w:r>
          </w:p>
        </w:tc>
        <w:tc>
          <w:tcPr>
            <w:tcW w:w="0" w:type="auto"/>
          </w:tcPr>
          <w:p>
            <w:pPr>
              <w:spacing w:line="240" w:lineRule="auto" w:before="0" w:after="0"/>
              <w:pStyle w:val="Compact"/>
            </w:pPr>
            <w:r>
              <w:rPr>
                <w:sz w:val="20"/>
                <w:szCs w:val="20"/>
              </w:rPr>
              <w:t xml:space="preserve">[-1.806, -1.194]</w:t>
            </w:r>
          </w:p>
        </w:tc>
      </w:tr>
    </w:tbl>
    <w:p>
      <w:pPr>
        <w:pStyle w:val="BodyText"/>
      </w:pPr>
      <w:r>
        <w:t xml:space="preserve">Fit: N = 20 R2 = 0.9562 R2_adj = 0.948 F = 96.3811 F_p = 1.863e-10</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6" Target="https://doi.org/10.1016/j.actaastro.2020.11.038" TargetMode="External" /><Relationship Type="http://schemas.openxmlformats.org/officeDocument/2006/relationships/hyperlink" Id="rId69" Target="https://doi.org/10.1016/j.actaastro.2021.11.016" TargetMode="External" /><Relationship Type="http://schemas.openxmlformats.org/officeDocument/2006/relationships/hyperlink" Id="rId71" Target="https://doi.org/10.1016/j.actaastro.2026.04.018" TargetMode="External" /></Relationships>
</file>

<file path=word/_rels/footnotes.xml.rels><?xml version="1.0" encoding="UTF-8"?><Relationships xmlns="http://schemas.openxmlformats.org/package/2006/relationships"><Relationship Type="http://schemas.openxmlformats.org/officeDocument/2006/relationships/hyperlink" Id="rId76" Target="https://doi.org/10.1016/j.actaastro.2020.11.038" TargetMode="External" /><Relationship Type="http://schemas.openxmlformats.org/officeDocument/2006/relationships/hyperlink" Id="rId69" Target="https://doi.org/10.1016/j.actaastro.2021.11.016" TargetMode="External" /><Relationship Type="http://schemas.openxmlformats.org/officeDocument/2006/relationships/hyperlink" Id="rId71" Target="https://doi.org/10.1016/j.actaastro.2026.04.01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2026-06-27T21:44:42Z</dcterms:created>
  <dcterms:modified xsi:type="dcterms:W3CDTF">2026-06-27T21:44:42Z</dcterms:modified>
</cp:coreProperties>
</file>

<file path=docProps/custom.xml><?xml version="1.0" encoding="utf-8"?>
<Properties xmlns="http://schemas.openxmlformats.org/officeDocument/2006/custom-properties" xmlns:vt="http://schemas.openxmlformats.org/officeDocument/2006/docPropsVTypes"/>
</file>