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MARS TRANSIT ARCHITECTURE AND THE NUCLEAR-PROPULSION PAYOFF: A FALSIFIABLE MASS-SENSITIVITY TEST</w:t>
      </w:r>
    </w:p>
    <w:p>
      <w:pPr>
        <w:jc w:val="center"/>
      </w:pPr>
    </w:p>
    <w:p>
      <w:pPr>
        <w:jc w:val="center"/>
      </w:pPr>
      <w:r>
        <w:rPr>
          <w:rFonts w:ascii="Times New Roman" w:hAnsi="Times New Roman"/>
          <w:sz w:val="24"/>
        </w:rPr>
        <w:t>by</w:t>
      </w:r>
    </w:p>
    <w:p>
      <w:pPr>
        <w:jc w:val="center"/>
      </w:pPr>
      <w:r>
        <w:rPr>
          <w:rFonts w:ascii="Times New Roman" w:hAnsi="Times New Roman"/>
          <w:b/>
          <w:sz w:val="28"/>
        </w:rPr>
        <w:t>Mateo Haddad</w:t>
      </w:r>
    </w:p>
    <w:p>
      <w:pPr>
        <w:jc w:val="center"/>
      </w:pPr>
      <w:r>
        <w:rPr>
          <w:rFonts w:ascii="Times New Roman" w:hAnsi="Times New Roman"/>
          <w:sz w:val="24"/>
        </w:rPr>
        <w:t>1B-LUN-143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introduction"/>
    <w:p>
      <w:pPr>
        <w:pStyle w:val="Heading1"/>
        <w:spacing w:line="480" w:lineRule="auto"/>
      </w:pPr>
      <w:r>
        <w:t xml:space="preserve">Introduction</w:t>
      </w:r>
    </w:p>
    <w:p>
      <w:pPr>
        <w:pStyle w:val="FirstParagraph"/>
        <w:spacing w:line="480" w:lineRule="auto"/>
      </w:pPr>
      <w:r>
        <w:t xml:space="preserve">A crewed Mars campaign collides with a mass problem long before it meets a propulsion one. Boil down any serious human round-trip study and it reduces to one blunt accounting question: how many tonnes have to leave Earth and be stacked in low orbit before departure. That quantity, the initial mass in low Earth orbit, drives nearly everything that follows, from the count of heavy-lift flights and the duration of the on-orbit assembly campaign to how long the crew waits inside abort-limited departure windows and whether the program can outlast the administrations that fund it. Propulsion matters to the argument for one reason: it shifts that quantity. Squeeze more velocity out of each kilogram of propellant and the stage carries less of it; carry less propellant and the stack shrinks; shrink the stack and the flight count drops. Stating the chain takes a sentence. Auditing it turns out to be far harder, because a trap sits in the middle of it.</w:t>
      </w:r>
    </w:p>
    <w:p>
      <w:pPr>
        <w:pStyle w:val="BodyText"/>
        <w:spacing w:line="480" w:lineRule="auto"/>
        <w:ind w:firstLine="720"/>
      </w:pPr>
      <w:r>
        <w:t xml:space="preserve">One link is what this dissertation audits. The question is whether nuclear thermal propulsion, the capability most often advertised as the enabler of human Mars transit, genuinely cuts the count of heavy-lift flights required to close a crewed Mars reference mission, and whether whatever cut it delivers holds once honest mass-growth penalties are billed to the reactor, the shielding, and the hydrogen tankage. Narrowness here is a choice. Cheaper, safer, more politically achievable: none of those are the subject. The subject is one thing, whether the mass advantage the class is credited with survives as an integer flight-count result once it is put under an explicit stress test.</w:t>
      </w:r>
    </w:p>
    <w:bookmarkStart w:id="61" w:name="Xbaf9fa11ffc9fc90a1ae0f71e34e51786c7c387"/>
    <w:p>
      <w:pPr>
        <w:pStyle w:val="Heading2"/>
        <w:spacing w:line="480" w:lineRule="auto"/>
      </w:pPr>
      <w:r>
        <w:t xml:space="preserve">The problem and why it resists easy answers</w:t>
      </w:r>
    </w:p>
    <w:p>
      <w:pPr>
        <w:pStyle w:val="FirstParagraph"/>
        <w:spacing w:line="480" w:lineRule="auto"/>
      </w:pPr>
      <w:r>
        <w:t xml:space="preserve">Begin at the baseline, where Salotti laid out the modern launcher problem with rare precision. His launcher-size optimization for a crewed Mars mission fixes a fully chemical architecture and asks for the fewest heavy-lift flights that can close it, landing on a five-launch answer under declared assumptions about launcher capacity, Mars surface payload, and crew size</w:t>
      </w:r>
      <w:r>
        <w:t xml:space="preserve"> </w:t>
      </w:r>
      <w:hyperlink w:anchor="ref-16">
        <w:r>
          <w:rPr>
            <w:rStyle w:val="Hyperlink"/>
          </w:rPr>
          <w:t xml:space="preserve">[16]</w:t>
        </w:r>
      </w:hyperlink>
      <w:r>
        <w:t xml:space="preserve"> </w:t>
      </w:r>
      <w:hyperlink w:anchor="ref-1">
        <w:r>
          <w:rPr>
            <w:rStyle w:val="Hyperlink"/>
          </w:rPr>
          <w:t xml:space="preserve">[1]</w:t>
        </w:r>
      </w:hyperlink>
      <w:r>
        <w:t xml:space="preserve">. The virtue of that answer is that it can be proven wrong. It turns an aspiration into something countable, and any reader who doubts the figure can pry open the assumptions and rerun the arithmetic.</w:t>
      </w:r>
    </w:p>
    <w:p>
      <w:pPr>
        <w:pStyle w:val="BodyText"/>
        <w:spacing w:line="480" w:lineRule="auto"/>
        <w:ind w:firstLine="720"/>
      </w:pPr>
      <w:r>
        <w:t xml:space="preserve">No comparable rigor has ever been demanded of the nuclear side. The pitch for nuclear thermal propulsion usually lists generic gains: about double the specific impulse of chemical systems, faster transits, roomier launch windows, a lighter radiation dose on the crew. Physics backs those claims. What almost never accompanies them is a repeatable comparison against a fixed chemical baseline under shared payload and launch-capacity assumptions. Rapid-Mars transfer studies treat nuclear propulsion as one context among several that can sustain high-energy trajectories, and they stop short of re-deriving the launcher trade against a chemical reference</w:t>
      </w:r>
      <w:r>
        <w:t xml:space="preserve"> </w:t>
      </w:r>
      <w:hyperlink w:anchor="ref-22">
        <w:r>
          <w:rPr>
            <w:rStyle w:val="Hyperlink"/>
          </w:rPr>
          <w:t xml:space="preserve">[22]</w:t>
        </w:r>
      </w:hyperlink>
      <w:r>
        <w:t xml:space="preserve"> </w:t>
      </w:r>
      <w:hyperlink w:anchor="ref-2">
        <w:r>
          <w:rPr>
            <w:rStyle w:val="Hyperlink"/>
          </w:rPr>
          <w:t xml:space="preserve">[2]</w:t>
        </w:r>
      </w:hyperlink>
      <w:r>
        <w:t xml:space="preserve">. Strategy and space-economy writing tags deep-space nuclear capability as a development lever and never hands a skeptic a sensitivity model to push on</w:t>
      </w:r>
      <w:r>
        <w:t xml:space="preserve"> </w:t>
      </w:r>
      <w:hyperlink w:anchor="ref-3">
        <w:r>
          <w:rPr>
            <w:rStyle w:val="Hyperlink"/>
          </w:rPr>
          <w:t xml:space="preserve">[3]</w:t>
        </w:r>
      </w:hyperlink>
      <w:r>
        <w:t xml:space="preserve">. Assertion outpaces testing by a wide margin.</w:t>
      </w:r>
    </w:p>
    <w:p>
      <w:pPr>
        <w:pStyle w:val="BodyText"/>
        <w:spacing w:line="480" w:lineRule="auto"/>
        <w:ind w:firstLine="720"/>
      </w:pPr>
      <w:r>
        <w:t xml:space="preserve">Why the problem shrugs off easy answers is structural: flight count is an integer, and propulsion gains show up first as continuous mass slack that stays invisible until it tips over a launch threshold. Trim ten percent of mass and the payoff can be nothing when the architecture already rested well inside a launch boundary, or a whole flight when it teetered just past one. So a fair test cannot deal in percentages. It has to speak in flights, and it has to do so across many payloads and margins, letting the threshold behavior surface instead of vanishing inside one point design.</w:t>
      </w:r>
    </w:p>
    <w:p>
      <w:pPr>
        <w:pStyle w:val="BodyText"/>
        <w:spacing w:line="480" w:lineRule="auto"/>
        <w:ind w:firstLine="720"/>
      </w:pPr>
      <w:r>
        <w:t xml:space="preserve">A second complication piles onto the first. Optimism is baked into most published performance figures, and reactor mass, shield mass, and cryogenic hydrogen tankage all have a habit of swelling on the road from concept to hardware.</w:t>
      </w:r>
    </w:p>
    <w:p>
      <w:pPr>
        <w:pStyle w:val="BodyText"/>
        <w:spacing w:line="480" w:lineRule="auto"/>
        <w:ind w:firstLine="720"/>
      </w:pPr>
      <w:r>
        <w:t xml:space="preserve">Suppose the flight-count advantage lives only at optimistic dry masses and dies under a thirty percent growth allowance. Then it carries no weight for a decision maker. Refuse to bill the analysis for mass growth and what remains is not a test at all. It is the brochure, restated.</w:t>
      </w:r>
    </w:p>
    <w:bookmarkEnd w:id="61"/>
    <w:bookmarkStart w:id="62" w:name="the-stakes"/>
    <w:p>
      <w:pPr>
        <w:pStyle w:val="Heading2"/>
        <w:spacing w:line="480" w:lineRule="auto"/>
      </w:pPr>
      <w:r>
        <w:t xml:space="preserve">The stakes</w:t>
      </w:r>
    </w:p>
    <w:p>
      <w:pPr>
        <w:pStyle w:val="FirstParagraph"/>
        <w:spacing w:line="480" w:lineRule="auto"/>
      </w:pPr>
      <w:r>
        <w:t xml:space="preserve">What is at stake is programmatic, not merely academic. One avoided heavy-lift flight is never simply one booster spared.</w:t>
      </w:r>
    </w:p>
    <w:p>
      <w:pPr>
        <w:pStyle w:val="BodyText"/>
        <w:spacing w:line="480" w:lineRule="auto"/>
        <w:ind w:firstLine="720"/>
      </w:pPr>
      <w:r>
        <w:t xml:space="preserve">It is an integration campaign that vanishes, a launch-availability constraint that loosens, an ascent-risk exposure that disappears, an on-orbit aggregation event that no longer has to go right. Among the least forgiving stretches of a Mars campaign are the assembly events, each a serial dependency, since nothing departs until the final piece arrives and mates. Trim the number of those events and the risk posture of the entire program moves, and the gain grows with every extra margin the architecture is made to shoulder.</w:t>
      </w:r>
    </w:p>
    <w:p>
      <w:pPr>
        <w:pStyle w:val="BodyText"/>
        <w:spacing w:line="480" w:lineRule="auto"/>
        <w:ind w:firstLine="720"/>
      </w:pPr>
      <w:r>
        <w:t xml:space="preserve">A strategic dimension rides alongside. Developing nuclear propulsion is slow and costly, and it drags along licensing, ground-test, and nonproliferation constraints that chemical systems escape. Committing to that development deserves a foundation sturdier than a performance slide. When the mass advantage proves real and durable, the investment case gains an anchor; when it proves brittle, the case has to stand on other ground, transit time or abort flexibility, and the mass claim ought to be shelved rather than recited. Either path leaves the field better off with a number that invites attack than with a promise that forbids it.</w:t>
      </w:r>
    </w:p>
    <w:bookmarkEnd w:id="62"/>
    <w:bookmarkStart w:id="63" w:name="the-single-falsifiable-contribution"/>
    <w:p>
      <w:pPr>
        <w:pStyle w:val="Heading2"/>
        <w:spacing w:line="480" w:lineRule="auto"/>
      </w:pPr>
      <w:r>
        <w:t xml:space="preserve">The single falsifiable contribution</w:t>
      </w:r>
    </w:p>
    <w:p>
      <w:pPr>
        <w:pStyle w:val="FirstParagraph"/>
        <w:spacing w:line="480" w:lineRule="auto"/>
      </w:pPr>
      <w:r>
        <w:t xml:space="preserve">One contribution is what this dissertation offers, and it defends that one. The contribution is a pre-registered, transparent test of whether nuclear thermal propulsion lowers the required heavy-lift flight count for a crewed Mars reference mission, with payload, destination, and launch capacity pinned, and with an explicit dry-mass growth allowance charged to the nuclear stage. Framed as rival hypotheses, the two sides run as follows. Under the null, at a realistic dry-mass growth allowance of at least thirty percent above optimistic published values, the nuclear architecture fails to bring the required count of heavy-lift flights below the all-chemical baseline taken from Salotti</w:t>
      </w:r>
      <w:r>
        <w:t xml:space="preserve"> </w:t>
      </w:r>
      <w:hyperlink w:anchor="ref-1">
        <w:r>
          <w:rPr>
            <w:rStyle w:val="Hyperlink"/>
          </w:rPr>
          <w:t xml:space="preserve">[1]</w:t>
        </w:r>
      </w:hyperlink>
      <w:r>
        <w:t xml:space="preserve"> </w:t>
      </w:r>
      <w:hyperlink w:anchor="ref-16">
        <w:r>
          <w:rPr>
            <w:rStyle w:val="Hyperlink"/>
          </w:rPr>
          <w:t xml:space="preserve">[16]</w:t>
        </w:r>
      </w:hyperlink>
      <w:r>
        <w:t xml:space="preserve">. Under the alternative, even at that thirty percent allowance, the nuclear architecture removes at least one full flight relative to the chemical baseline.</w:t>
      </w:r>
    </w:p>
    <w:p>
      <w:pPr>
        <w:pStyle w:val="BodyText"/>
        <w:spacing w:line="480" w:lineRule="auto"/>
        <w:ind w:firstLine="720"/>
      </w:pPr>
      <w:r>
        <w:t xml:space="preserve">One-sided by design, the test is candid about its own undoing. Let the nuclear flight-count advantage evaporate once the stage is billed a plausible mass penalty, and the null stands, with the dissertation reporting that the mass case for nuclear propulsion cannot survive architecture accounting. That verdict is genuinely on the table, and a contribution engineered so it cannot lose is not worth mounting. Two lines of attack form the empirical spine, chosen precisely to fend off that fragility. First comes an outcome model, regressing required launches on payload scale, dry-mass allowance, and a nuclear indicator, so the propulsion effect emerges net of the two variables most apt to confound it. Second comes a mechanism model, regressing mass ratio on specific impulse in log-log form, so the flight-count result can be walked back to the rocket equation beneath it. Let both arrows point one way and the flight-count finding stops being a labeling artifact; it becomes the countable shadow of an exponential physical relationship, with no lone modeling choice available to blame for it.</w:t>
      </w:r>
    </w:p>
    <w:bookmarkEnd w:id="63"/>
    <w:bookmarkStart w:id="64" w:name="scope-and-what-is-deliberately-excluded"/>
    <w:p>
      <w:pPr>
        <w:pStyle w:val="Heading2"/>
        <w:spacing w:line="480" w:lineRule="auto"/>
      </w:pPr>
      <w:r>
        <w:t xml:space="preserve">Scope and what is deliberately excluded</w:t>
      </w:r>
    </w:p>
    <w:p>
      <w:pPr>
        <w:pStyle w:val="FirstParagraph"/>
        <w:spacing w:line="480" w:lineRule="auto"/>
      </w:pPr>
      <w:r>
        <w:t xml:space="preserve">Mass and flight count define the scope. Cost, schedule, nuclear licensing, ground-test policy, and political feasibility sit outside it, left out on purpose rather than by oversight. Each is a separable contribution owed its own falsifiable test, and stuffing them into a mass study would smear the single claim this dissertation can defend without apology. The reference mission comes straight from Salotti, conjunction-class profile and surface payload included, so every finding is conditional on those choices</w:t>
      </w:r>
      <w:r>
        <w:t xml:space="preserve"> </w:t>
      </w:r>
      <w:hyperlink w:anchor="ref-1">
        <w:r>
          <w:rPr>
            <w:rStyle w:val="Hyperlink"/>
          </w:rPr>
          <w:t xml:space="preserve">[1]</w:t>
        </w:r>
      </w:hyperlink>
      <w:r>
        <w:t xml:space="preserve">. Shift to a short-stay or opposition-class profile and the pipeline would have to be rerun, a limit the dissertation states outright rather than papering over with a generality it has not earned.</w:t>
      </w:r>
    </w:p>
    <w:p>
      <w:pPr>
        <w:pStyle w:val="BodyText"/>
        <w:spacing w:line="480" w:lineRule="auto"/>
        <w:ind w:firstLine="720"/>
      </w:pPr>
      <w:r>
        <w:t xml:space="preserve">Derived, not flown, is what the dataset is, for the plain reason that nobody has ever assembled a crewed Mars architecture. That is a real limitation, and provenance is how it is managed. Each row cites its published anchors, each transformation is deterministic and open to inspection, and the flight-count outcome is the rounding of a mass figure rather than a random draw, so a reader is free to reject an assumption and recompute what follows from it. Reachability and mission-design work in the neighboring literature explains why transparent, auditable models earn their keep when flight data is missing and the trade space runs wide</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w:t>
      </w:r>
    </w:p>
    <w:bookmarkEnd w:id="64"/>
    <w:bookmarkStart w:id="65" w:name="roadmap"/>
    <w:p>
      <w:pPr>
        <w:pStyle w:val="Heading2"/>
        <w:spacing w:line="480" w:lineRule="auto"/>
      </w:pPr>
      <w:r>
        <w:t xml:space="preserve">Roadmap</w:t>
      </w:r>
    </w:p>
    <w:p>
      <w:pPr>
        <w:pStyle w:val="FirstParagraph"/>
        <w:spacing w:line="480" w:lineRule="auto"/>
      </w:pPr>
      <w:r>
        <w:t xml:space="preserve">From here the chapters assemble the case in sequence. Chapter two places the work against the crewed Mars architecture literature, the nuclear and advanced-propulsion literature, and the strategy and reachability strands that explain why flight count is the right unit of analysis. Chapter three builds the theory, treating the rocket equation as mechanism, the integer flight count as outcome, and the testable predictions that join them. Chapter four lays out the two estimators, the ordinary least squares flight-count model and the log-log elasticity model, and shows why pinning the reference mission isolates a propulsion effect instead of a confound. Chapter five records the data, the variable construction, the sources, and the sample of twenty rows per model. Chapter six presents the estimator output exactly as the underlying configurations and prose report it, including the nuclear coefficient near minus one and one-half launches at a p-value below one in a thousand, and the specific-impulse elasticity near minus eighty-five hundredths at the same significance. Chapter seven reads those findings, names the threats to validity, and draws the line past which the data falls silent. Chapter eight gathers the conclusions, ties them to program and governance decisions, and sketches the future work that would carry the test beyond mass into the cost and licensing questions this study leaves open</w:t>
      </w:r>
      <w:r>
        <w:t xml:space="preserve"> </w:t>
      </w:r>
      <w:hyperlink w:anchor="ref-3">
        <w:r>
          <w:rPr>
            <w:rStyle w:val="Hyperlink"/>
          </w:rPr>
          <w:t xml:space="preserve">[3]</w:t>
        </w:r>
      </w:hyperlink>
      <w:r>
        <w:t xml:space="preserve">.</w:t>
      </w:r>
    </w:p>
    <w:p>
      <w:pPr>
        <w:pStyle w:val="BodyText"/>
        <w:spacing w:line="480" w:lineRule="auto"/>
        <w:ind w:firstLine="720"/>
      </w:pPr>
      <w:r>
        <w:t xml:space="preserve">Threaded through the whole thing is a discipline about units. Much Mars-transit talk runs on adjectives: faster, cleaner, more capable. This work runs on launches and mass ratios instead, since those are what a program office has to square against a budget and a manifest. Render the nuclear argument in those units, put it under stress, and it either holds or it breaks, and the reader gets to watch which. That rendering, paired with a willingness to let it break, is the entire point.</w:t>
      </w:r>
    </w:p>
    <w:bookmarkEnd w:id="65"/>
    <w:bookmarkStart w:id="66" w:name="why-launch-count-is-the-right-unit"/>
    <w:p>
      <w:pPr>
        <w:pStyle w:val="Heading2"/>
        <w:spacing w:line="480" w:lineRule="auto"/>
      </w:pPr>
      <w:r>
        <w:t xml:space="preserve">Why launch count is the right unit</w:t>
      </w:r>
    </w:p>
    <w:p>
      <w:pPr>
        <w:pStyle w:val="FirstParagraph"/>
        <w:spacing w:line="480" w:lineRule="auto"/>
      </w:pPr>
      <w:r>
        <w:t xml:space="preserve">A reader might fairly wonder why the study leans on flight count rather than the more familiar initial mass in low Earth orbit.</w:t>
      </w:r>
    </w:p>
    <w:p>
      <w:pPr>
        <w:pStyle w:val="BodyText"/>
        <w:spacing w:line="480" w:lineRule="auto"/>
        <w:ind w:firstLine="720"/>
      </w:pPr>
      <w:r>
        <w:t xml:space="preserve">Being continuous, mass reports cleanly as a percentage improvement, and that convenience is exactly what fails a decision maker. No program purchases a fraction of a launch. It purchases whole boosters. It purchases whole integration campaigns and whole aggregation events, and its budget and manifest are laid out in integers. A mass gain that never crosses an integer boundary rewrites the slide and leaves the manifest untouched, while one that does cross rewrites both. Reporting in launches makes the analysis face that discontinuity head-on rather than sanding it smooth, and it ties the finding to the quantity a program genuinely schedules and pays for.</w:t>
      </w:r>
    </w:p>
    <w:p>
      <w:pPr>
        <w:pStyle w:val="BodyText"/>
        <w:spacing w:line="480" w:lineRule="auto"/>
        <w:ind w:firstLine="720"/>
      </w:pPr>
      <w:r>
        <w:t xml:space="preserve">A second reason grows out of how architecture fights are actually settled. Pit two propulsion classes against each other on continuous mass and the quarrel drags on forever over which percentage counts and how to weigh it against cost. Recast the same contest in whole launches and it collapses to a single countable question that either breaks for one class or does not. Advocacy finds that collapse uncomfortable, because it strips away the slack that vague performance claims live on, which is exactly why the unit suits a falsifiable test. Flight count wins the dissertation’s allegiance not because mass is trivial but because flight count is where mass turns into a decision.</w:t>
      </w:r>
    </w:p>
    <w:bookmarkEnd w:id="66"/>
    <w:bookmarkStart w:id="67" w:name="the-evidentiary-posture"/>
    <w:p>
      <w:pPr>
        <w:pStyle w:val="Heading2"/>
        <w:spacing w:line="480" w:lineRule="auto"/>
      </w:pPr>
      <w:r>
        <w:t xml:space="preserve">The evidentiary posture</w:t>
      </w:r>
    </w:p>
    <w:p>
      <w:pPr>
        <w:pStyle w:val="FirstParagraph"/>
        <w:spacing w:line="480" w:lineRule="auto"/>
      </w:pPr>
      <w:r>
        <w:t xml:space="preserve">A posture underlies the study that is worth naming up front, since it shapes how every later claim ought to be read. With no crewed Mars architecture ever built, the evidence cannot be a sample of flown outcomes. It is instead a body of derived observations, each a deterministic consequence of a published parameter and a stated transformation. Set against flight data, this is weaker in one way and stronger in another. Weaker, because it cannot catch couplings nobody has modeled. Stronger, because it is fully auditable: no measurement noise to bicker over, no instrument to calibrate, no concealed data-generating process, only published inputs and arithmetic laid bare.</w:t>
      </w:r>
    </w:p>
    <w:p>
      <w:pPr>
        <w:pStyle w:val="BodyText"/>
        <w:spacing w:line="480" w:lineRule="auto"/>
        <w:ind w:firstLine="720"/>
      </w:pPr>
      <w:r>
        <w:t xml:space="preserve">That posture fixes the standard a reader should bring. The fair question to put to this dissertation is not whether its rows match a flown mission, since none exists, but whether its inputs come from legitimate sources and its transformations are correct and visible. Find an assumption wanting and the reader can swap it and recompute the result, since the study is built to make that recomputation cheap. Reachability and mission-design work has already struck this bargain for systems that cannot be instrumented, granting a transparent, stressable model the standing of evidence</w:t>
      </w:r>
      <w:r>
        <w:t xml:space="preserve"> </w:t>
      </w:r>
      <w:hyperlink w:anchor="ref-10">
        <w:r>
          <w:rPr>
            <w:rStyle w:val="Hyperlink"/>
          </w:rPr>
          <w:t xml:space="preserve">[10]</w:t>
        </w:r>
      </w:hyperlink>
      <w:r>
        <w:t xml:space="preserve"> </w:t>
      </w:r>
      <w:hyperlink w:anchor="ref-9">
        <w:r>
          <w:rPr>
            <w:rStyle w:val="Hyperlink"/>
          </w:rPr>
          <w:t xml:space="preserve">[9]</w:t>
        </w:r>
      </w:hyperlink>
      <w:r>
        <w:t xml:space="preserve">. This work takes on that standard and binds itself to it, and every chapter is arranged so each number traces back to a source and forward to a conclusion.</w:t>
      </w:r>
    </w:p>
    <w:bookmarkEnd w:id="67"/>
    <w:bookmarkStart w:id="68" w:name="the-shape-of-the-argument-in-miniature"/>
    <w:p>
      <w:pPr>
        <w:pStyle w:val="Heading2"/>
        <w:spacing w:line="480" w:lineRule="auto"/>
      </w:pPr>
      <w:r>
        <w:t xml:space="preserve">The shape of the argument in miniature</w:t>
      </w:r>
    </w:p>
    <w:p>
      <w:pPr>
        <w:pStyle w:val="FirstParagraph"/>
        <w:spacing w:line="480" w:lineRule="auto"/>
      </w:pPr>
      <w:r>
        <w:t xml:space="preserve">Seeing the whole argument compressed helps before it stretches across eight chapters. The logic is short. Nuclear thermal propulsion delivers roughly twice the specific impulse of chemical propulsion</w:t>
      </w:r>
      <w:r>
        <w:t xml:space="preserve"> </w:t>
      </w:r>
      <w:hyperlink w:anchor="ref-6">
        <w:r>
          <w:rPr>
            <w:rStyle w:val="Hyperlink"/>
          </w:rPr>
          <w:t xml:space="preserve">[6]</w:t>
        </w:r>
      </w:hyperlink>
      <w:r>
        <w:t xml:space="preserve">. Specific impulse rides in the denominator of the rocket equation’s exponent, so doubling it drops the propellant mass a transfer stage must haul, and it drops along an exponential curve at its steepest right where Mars transfer velocities sit</w:t>
      </w:r>
      <w:r>
        <w:t xml:space="preserve"> </w:t>
      </w:r>
      <w:hyperlink w:anchor="ref-7">
        <w:r>
          <w:rPr>
            <w:rStyle w:val="Hyperlink"/>
          </w:rPr>
          <w:t xml:space="preserve">[7]</w:t>
        </w:r>
      </w:hyperlink>
      <w:r>
        <w:t xml:space="preserve">. A lighter transfer stack calls for fewer heavy-lift flights to build, once the mass is split by a fixed launch capacity and rounded up to whole launches</w:t>
      </w:r>
      <w:r>
        <w:t xml:space="preserve"> </w:t>
      </w:r>
      <w:hyperlink w:anchor="ref-4">
        <w:r>
          <w:rPr>
            <w:rStyle w:val="Hyperlink"/>
          </w:rPr>
          <w:t xml:space="preserve">[4]</w:t>
        </w:r>
      </w:hyperlink>
      <w:r>
        <w:t xml:space="preserve">. The lone serious objection is that a genuine nuclear stage runs heavier than the brochure claims, in its reactor, its shield, and its cryogenic tankage, so the study meets that objection head-on by imposing a dry-mass growth allowance and asking whether the flight savings endure. They endure, and a second regression on the rocket equation itself certifies that the savings are physics, not bookkeeping.</w:t>
      </w:r>
    </w:p>
    <w:p>
      <w:pPr>
        <w:pStyle w:val="BodyText"/>
        <w:spacing w:line="480" w:lineRule="auto"/>
        <w:ind w:firstLine="720"/>
      </w:pPr>
      <w:r>
        <w:t xml:space="preserve">Even compressed, the argument shows why the study needs its structure, because the claim is a chain and every link is exposed to attack. Dispute the specific-impulse figure, and it stands sourced to the propulsion literature. Doubt the exponential relationship, and it stands estimated as an elasticity. Question the aggregation into launches, and it follows a published convention. Challenge the dry-mass optimism, and it stands stressed. Dismiss the whole result as a construction artifact, and it stands corroborated by a second, independent estimator. Each chapter to come defends one link, and the dissertation is no stronger than the weakest of them, which is why each is built with care.</w:t>
      </w:r>
    </w:p>
    <w:bookmarkEnd w:id="68"/>
    <w:bookmarkStart w:id="69" w:name="contribution-to-the-broader-field"/>
    <w:p>
      <w:pPr>
        <w:pStyle w:val="Heading2"/>
        <w:spacing w:line="480" w:lineRule="auto"/>
      </w:pPr>
      <w:r>
        <w:t xml:space="preserve">Contribution to the broader field</w:t>
      </w:r>
    </w:p>
    <w:p>
      <w:pPr>
        <w:pStyle w:val="FirstParagraph"/>
        <w:spacing w:line="480" w:lineRule="auto"/>
      </w:pPr>
      <w:r>
        <w:t xml:space="preserve">Past the specific propulsion question, the dissertation offers a way of adjudicating architecture claims that the field badly needs more of. Human spaceflight advocacy leans hard on the confident performance slide, the figure defensible in isolation yet never stressed, never cast in the unit that binds a program, never traced to its mechanism</w:t>
      </w:r>
      <w:r>
        <w:t xml:space="preserve"> </w:t>
      </w:r>
      <w:hyperlink w:anchor="ref-3">
        <w:r>
          <w:rPr>
            <w:rStyle w:val="Hyperlink"/>
          </w:rPr>
          <w:t xml:space="preserve">[3]</w:t>
        </w:r>
      </w:hyperlink>
      <w:r>
        <w:t xml:space="preserve">. The cure modeled here is not fancier modeling but stricter claiming: choose the unit a program manifests, bill the claim a realistic penalty, and demand a mechanism check. Turned on nuclear thermal propulsion, that discipline produces a result an advocate and a skeptic can both sign, because it was built to be capable of failing and did not fail. Turned elsewhere, the same discipline could lift the evidentiary bar across a whole family of propulsion and architecture debates that now run on assertion, and it could do so without new data, since the raw material of most such debates is already published and waiting only to be stressed in the right unit.</w:t>
      </w:r>
    </w:p>
    <w:p>
      <w:pPr>
        <w:pStyle w:val="BodyText"/>
        <w:spacing w:line="480" w:lineRule="auto"/>
        <w:ind w:firstLine="720"/>
      </w:pPr>
      <w:r>
        <w:t xml:space="preserve">A closing word on ambition. The dissertation is narrow by design, and that narrowness is a feature and not an apology, because it settles one contested claim cleanly instead of waving at many. Fix the mass advantage of nuclear thermal propulsion as a robust, falsifiable, unit-honest result, and the tougher questions of cost, schedule, and licensing can then be fought on firmer ground, because one pillar of the case will have stopped being a matter of opinion</w:t>
      </w:r>
      <w:r>
        <w:t xml:space="preserve"> </w:t>
      </w:r>
      <w:hyperlink w:anchor="ref-3">
        <w:r>
          <w:rPr>
            <w:rStyle w:val="Hyperlink"/>
          </w:rPr>
          <w:t xml:space="preserve">[3]</w:t>
        </w:r>
      </w:hyperlink>
      <w:r>
        <w:t xml:space="preserve">. Building that pillar well is the task this study sets itself, and the remaining chapters build it.</w:t>
      </w:r>
    </w:p>
    <w:bookmarkEnd w:id="69"/>
    <w:bookmarkEnd w:id="70"/>
    <w:bookmarkStart w:id="81" w:name="literature-review"/>
    <w:p>
      <w:pPr>
        <w:pStyle w:val="Heading1"/>
        <w:spacing w:line="480" w:lineRule="auto"/>
      </w:pPr>
      <w:r>
        <w:t xml:space="preserve">Literature Review</w:t>
      </w:r>
    </w:p>
    <w:p>
      <w:pPr>
        <w:pStyle w:val="FirstParagraph"/>
        <w:spacing w:line="480" w:lineRule="auto"/>
      </w:pPr>
      <w:r>
        <w:t xml:space="preserve">Vast as the crewed Mars transit literature is, a launch-count sensitivity test sorts it into four clusters. One nails down a chemical baseline against which any propulsion claim can be measured. Another advances propulsion concepts, nuclear thermal, solar-electric, laser-thermal, directed-energy, each pledging to trim transfer mass or transit time. A third furnishes the reference-mission discipline that keeps comparisons honest, chiefly the NASA Design Reference Architecture family. The fourth hides in plainer sight. It arises from reachability analysis and mission-design optimization, and it earns its place by showing why an auditable, parameterized model is the right instrument when flight data does not exist. Each cluster gets a reading here, and then the chapter states the gap the dissertation fills.</w:t>
      </w:r>
    </w:p>
    <w:bookmarkStart w:id="71" w:name="X98b22538fc160853d52cc7f442a47e0d991b01a"/>
    <w:p>
      <w:pPr>
        <w:pStyle w:val="Heading2"/>
        <w:spacing w:line="480" w:lineRule="auto"/>
      </w:pPr>
      <w:r>
        <w:t xml:space="preserve">The chemical baseline as the correct comparison point</w:t>
      </w:r>
    </w:p>
    <w:p>
      <w:pPr>
        <w:pStyle w:val="FirstParagraph"/>
        <w:spacing w:line="480" w:lineRule="auto"/>
      </w:pPr>
      <w:r>
        <w:t xml:space="preserve">Anchoring the whole study is Salotti’s launcher-size optimization</w:t>
      </w:r>
      <w:r>
        <w:t xml:space="preserve"> </w:t>
      </w:r>
      <w:hyperlink w:anchor="ref-16">
        <w:r>
          <w:rPr>
            <w:rStyle w:val="Hyperlink"/>
          </w:rPr>
          <w:t xml:space="preserve">[16]</w:t>
        </w:r>
      </w:hyperlink>
      <w:r>
        <w:t xml:space="preserve"> </w:t>
      </w:r>
      <w:hyperlink w:anchor="ref-1">
        <w:r>
          <w:rPr>
            <w:rStyle w:val="Hyperlink"/>
          </w:rPr>
          <w:t xml:space="preserve">[1]</w:t>
        </w:r>
      </w:hyperlink>
      <w:r>
        <w:t xml:space="preserve">, whose value is methodological before it is numerical. Instead of debating in the abstract whether a chemical Mars mission can work, it frames a constrained optimization: given a launcher capacity and a required Mars surface payload, what is the smallest count of heavy-lift flights that closes the architecture? Five launches is the published answer under its stated assumptions. Two properties make that answer the right baseline. It reproduces, because the assumptions are explicit and the arithmetic is open to inspection, and it ends in an integer count of launches, the same unit any rival propulsion class has to be judged in eventually.</w:t>
      </w:r>
    </w:p>
    <w:p>
      <w:pPr>
        <w:pStyle w:val="BodyText"/>
        <w:spacing w:line="480" w:lineRule="auto"/>
        <w:ind w:firstLine="720"/>
      </w:pPr>
      <w:r>
        <w:t xml:space="preserve">Carrying that discipline into a full mission concept, the NASA Design Reference Architecture 5.0 and its addenda specify assembly logic, mass aggregation conventions, and the reference-mission structure that has framed human Mars trades for more than a decade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These documents are not optimizations in Salotti’s sense, yet they set the aggregation convention this dissertation borrows: divide transfer stack mass by a heavy-lift capacity, round up, and read off a launch count. That convention is what lets a continuous mass model yield a discrete, decision-relevant outcome. Absent a shared aggregation rule, chemical and nuclear architectures could never share an axis.</w:t>
      </w:r>
    </w:p>
    <w:p>
      <w:pPr>
        <w:pStyle w:val="BodyText"/>
        <w:spacing w:line="480" w:lineRule="auto"/>
        <w:ind w:firstLine="720"/>
      </w:pPr>
      <w:r>
        <w:t xml:space="preserve">Where the chemical literature stops is at treating propulsion class as a variable. Salotti keeps the propulsion stack chemical and optimizes around it</w:t>
      </w:r>
      <w:r>
        <w:t xml:space="preserve"> </w:t>
      </w:r>
      <w:hyperlink w:anchor="ref-1">
        <w:r>
          <w:rPr>
            <w:rStyle w:val="Hyperlink"/>
          </w:rPr>
          <w:t xml:space="preserve">[1]</w:t>
        </w:r>
      </w:hyperlink>
      <w:r>
        <w:t xml:space="preserve">. The reference architectures presume a propulsion approach and build outward from it. Neither is meant to answer the counterfactual this dissertation raises, freeze everything else and swap the propulsion class, and that is no criticism of them. It simply states what they were built to do, and the opening they leave behind.</w:t>
      </w:r>
    </w:p>
    <w:bookmarkEnd w:id="71"/>
    <w:bookmarkStart w:id="72" w:name="Xaf3539b90d3fdc43f4fe6e2afdce9d7e6e9dd93"/>
    <w:p>
      <w:pPr>
        <w:pStyle w:val="Heading2"/>
        <w:spacing w:line="480" w:lineRule="auto"/>
      </w:pPr>
      <w:r>
        <w:t xml:space="preserve">The advanced-propulsion cluster and its rhetorical habit</w:t>
      </w:r>
    </w:p>
    <w:p>
      <w:pPr>
        <w:pStyle w:val="FirstParagraph"/>
        <w:spacing w:line="480" w:lineRule="auto"/>
      </w:pPr>
      <w:r>
        <w:t xml:space="preserve">Assertion of the payoff lives in the nuclear and advanced-propulsion literature. Start with Hibberd and Hein. Studying how to catch an interstellar object with nuclear thermal rockets, they report concrete specific-impulse figures for nuclear thermal systems and put the class to work in a punishing high-energy regime, precisely the physical anchor a Mars transfer test wants</w:t>
      </w:r>
      <w:r>
        <w:t xml:space="preserve"> </w:t>
      </w:r>
      <w:hyperlink w:anchor="ref-6">
        <w:r>
          <w:rPr>
            <w:rStyle w:val="Hyperlink"/>
          </w:rPr>
          <w:t xml:space="preserve">[6]</w:t>
        </w:r>
      </w:hyperlink>
      <w:r>
        <w:t xml:space="preserve">. Theirs is not a Mars study, yet it grounds the specific-impulse contrast between nuclear thermal and chemical propulsion in a published, quantitative setting rather than a slogan.</w:t>
      </w:r>
    </w:p>
    <w:p>
      <w:pPr>
        <w:pStyle w:val="BodyText"/>
        <w:spacing w:line="480" w:lineRule="auto"/>
        <w:ind w:firstLine="720"/>
      </w:pPr>
      <w:r>
        <w:t xml:space="preserve">Rapid-Mars work takes a different shape. de Oliveira Souza’s rapid-Mars study casts nuclear thermal propulsion as one of the propulsion contexts able to sustain high-energy Earth-Mars transfers and shorter transit times</w:t>
      </w:r>
      <w:r>
        <w:t xml:space="preserve"> </w:t>
      </w:r>
      <w:hyperlink w:anchor="ref-22">
        <w:r>
          <w:rPr>
            <w:rStyle w:val="Hyperlink"/>
          </w:rPr>
          <w:t xml:space="preserve">[22]</w:t>
        </w:r>
      </w:hyperlink>
      <w:r>
        <w:t xml:space="preserve"> </w:t>
      </w:r>
      <w:hyperlink w:anchor="ref-2">
        <w:r>
          <w:rPr>
            <w:rStyle w:val="Hyperlink"/>
          </w:rPr>
          <w:t xml:space="preserve">[2]</w:t>
        </w:r>
      </w:hyperlink>
      <w:r>
        <w:t xml:space="preserve">. It takes the nuclear class seriously in a mission-relevant setting, and that is its value. Its shortfall, for present purposes, is that it never re-derives the launcher trade against a chemical baseline under shared assumptions, so the nuclear advantage shows up as an enabling capability rather than a measured launch-count wedge. The wider rapid-transit literature runs the same habit. Duplay and colleagues design a rapid transit to Mars using laser-thermal propulsion, a genuinely different concept, yet the framing is again capability and transit time rather than a controlled launch-count comparison</w:t>
      </w:r>
      <w:r>
        <w:t xml:space="preserve"> </w:t>
      </w:r>
      <w:hyperlink w:anchor="ref-18">
        <w:r>
          <w:rPr>
            <w:rStyle w:val="Hyperlink"/>
          </w:rPr>
          <w:t xml:space="preserve">[18]</w:t>
        </w:r>
      </w:hyperlink>
      <w:r>
        <w:t xml:space="preserve">.</w:t>
      </w:r>
    </w:p>
    <w:p>
      <w:pPr>
        <w:pStyle w:val="BodyText"/>
        <w:spacing w:line="480" w:lineRule="auto"/>
        <w:ind w:firstLine="720"/>
      </w:pPr>
      <w:r>
        <w:t xml:space="preserve">Down another road goes the electric and directed-energy branch. Casanova-Alvarez and colleagues examine a solar-electric propulsion mission to Mars, buying very high specific impulse and long burn durations at the price of thrust</w:t>
      </w:r>
      <w:r>
        <w:t xml:space="preserve"> </w:t>
      </w:r>
      <w:hyperlink w:anchor="ref-17">
        <w:r>
          <w:rPr>
            <w:rStyle w:val="Hyperlink"/>
          </w:rPr>
          <w:t xml:space="preserve">[17]</w:t>
        </w:r>
      </w:hyperlink>
      <w:r>
        <w:t xml:space="preserve">. Sheerin and colleagues probe fast transportation across the solar system on electric propulsion powered by directed energy, and Interstellar Probe work by McNutt and colleagues weighs propulsion for escape-class missions</w:t>
      </w:r>
      <w:r>
        <w:t xml:space="preserve"> </w:t>
      </w:r>
      <w:hyperlink w:anchor="ref-21">
        <w:r>
          <w:rPr>
            <w:rStyle w:val="Hyperlink"/>
          </w:rPr>
          <w:t xml:space="preserve">[21]</w:t>
        </w:r>
      </w:hyperlink>
      <w:r>
        <w:t xml:space="preserve"> </w:t>
      </w:r>
      <w:hyperlink w:anchor="ref-20">
        <w:r>
          <w:rPr>
            <w:rStyle w:val="Hyperlink"/>
          </w:rPr>
          <w:t xml:space="preserve">[20]</w:t>
        </w:r>
      </w:hyperlink>
      <w:r>
        <w:t xml:space="preserve">. These concepts stretch the propulsion trade space usefully, and they underscore the core physical point that specific impulse governs propellant burden. What they withhold is a common-assumption, integer launch-count comparison against a chemical Mars reference. Across the advanced-propulsion cluster the pattern stays fixed throughout: strong physics, mission-relevant framing, and a missing counterfactual, the one that would let a program office weigh propulsion classes in the unit it manifests.</w:t>
      </w:r>
    </w:p>
    <w:bookmarkEnd w:id="72"/>
    <w:bookmarkStart w:id="73" w:name="X9095fcecb7fdbddf5e15ed90f159caf63e70299"/>
    <w:p>
      <w:pPr>
        <w:pStyle w:val="Heading2"/>
        <w:spacing w:line="480" w:lineRule="auto"/>
      </w:pPr>
      <w:r>
        <w:t xml:space="preserve">Strategy and the case for treating propulsion as investment</w:t>
      </w:r>
    </w:p>
    <w:p>
      <w:pPr>
        <w:pStyle w:val="FirstParagraph"/>
        <w:spacing w:line="480" w:lineRule="auto"/>
      </w:pPr>
      <w:r>
        <w:t xml:space="preserve">At the level of national programs, the strategy and space-economy literature explains why any of this matters.</w:t>
      </w:r>
    </w:p>
    <w:p>
      <w:pPr>
        <w:pStyle w:val="BodyText"/>
        <w:spacing w:line="480" w:lineRule="auto"/>
        <w:ind w:firstLine="720"/>
      </w:pPr>
      <w:r>
        <w:t xml:space="preserve">The space-economy synthesis reads deep-space capability, nuclear propulsion included, as a development lever carrying sustainability, security, and economic dimensions</w:t>
      </w:r>
      <w:r>
        <w:t xml:space="preserve"> </w:t>
      </w:r>
      <w:hyperlink w:anchor="ref-3">
        <w:r>
          <w:rPr>
            <w:rStyle w:val="Hyperlink"/>
          </w:rPr>
          <w:t xml:space="preserve">[3]</w:t>
        </w:r>
      </w:hyperlink>
      <w:r>
        <w:t xml:space="preserve">. That reading supplies the stakes and withholds a model. It labels nuclear propulsion strategically significant without offering a sensitivity analysis a skeptic could push on, which is exactly the analytic object this dissertation constructs. Global mission-design optimization work by Isaji and colleagues, casting concept-of-operations and systems design as a mixed-integer nonlinear program, proves the field can run rigorous, reproducible architecture trades, and it models the discrete-plus-continuous structure a launch-count outcome carries</w:t>
      </w:r>
      <w:r>
        <w:t xml:space="preserve"> </w:t>
      </w:r>
      <w:hyperlink w:anchor="ref-19">
        <w:r>
          <w:rPr>
            <w:rStyle w:val="Hyperlink"/>
          </w:rPr>
          <w:t xml:space="preserve">[19]</w:t>
        </w:r>
      </w:hyperlink>
      <w:r>
        <w:t xml:space="preserve">. The strategic case exists and the optimization machinery exists. Their union around the specific nuclear launch-count question does not.</w:t>
      </w:r>
    </w:p>
    <w:bookmarkEnd w:id="73"/>
    <w:bookmarkStart w:id="74" w:name="X6d289ea2ac60d2a3ff63c256f5ca451e4299405"/>
    <w:p>
      <w:pPr>
        <w:pStyle w:val="Heading2"/>
        <w:spacing w:line="480" w:lineRule="auto"/>
      </w:pPr>
      <w:r>
        <w:t xml:space="preserve">Reachability and the epistemics of models without flight data</w:t>
      </w:r>
    </w:p>
    <w:p>
      <w:pPr>
        <w:pStyle w:val="FirstParagraph"/>
        <w:spacing w:line="480" w:lineRule="auto"/>
      </w:pPr>
      <w:r>
        <w:t xml:space="preserve">A quieter cluster earns attention because it warrants the study’s method.</w:t>
      </w:r>
    </w:p>
    <w:p>
      <w:pPr>
        <w:pStyle w:val="BodyText"/>
        <w:spacing w:line="480" w:lineRule="auto"/>
        <w:ind w:firstLine="720"/>
      </w:pPr>
      <w:r>
        <w:t xml:space="preserve">Reachability analysis asks which states a spacecraft can attain given its propulsion and initial conditions, and it has grown into a rigorous, computationally serious discipline. Foss and colleagues examine reachability of low-thrust cislunar spacecraft using state transition tensors, showing that tractable, auditable models can map large trade spaces without flying hardware</w:t>
      </w:r>
      <w:r>
        <w:t xml:space="preserve"> </w:t>
      </w:r>
      <w:hyperlink w:anchor="ref-10">
        <w:r>
          <w:rPr>
            <w:rStyle w:val="Hyperlink"/>
          </w:rPr>
          <w:t xml:space="preserve">[10]</w:t>
        </w:r>
      </w:hyperlink>
      <w:r>
        <w:t xml:space="preserve">. Patel and Scheeres build rapid, automatic estimation of reachability for electric-propulsion spacecraft, again favoring transparent computation over point design</w:t>
      </w:r>
      <w:r>
        <w:t xml:space="preserve"> </w:t>
      </w:r>
      <w:hyperlink w:anchor="ref-9">
        <w:r>
          <w:rPr>
            <w:rStyle w:val="Hyperlink"/>
          </w:rPr>
          <w:t xml:space="preserve">[9]</w:t>
        </w:r>
      </w:hyperlink>
      <w:r>
        <w:t xml:space="preserve">. Neither concerns Mars transfer mass, yet together they set the epistemic stance this dissertation adopts: when the object of study resists direct observation, credibility flows from provenance and reproducibility rather than sample size. A derived architecture dataset, fully documented, is a legitimate empirical instrument under exactly the conditions the reachability literature has already granted.</w:t>
      </w:r>
    </w:p>
    <w:p>
      <w:pPr>
        <w:pStyle w:val="BodyText"/>
        <w:spacing w:line="480" w:lineRule="auto"/>
        <w:ind w:firstLine="720"/>
      </w:pPr>
      <w:r>
        <w:t xml:space="preserve">Reinforcing that discipline from another angle is the adjacent space-situational-awareness and autonomy literature. Work on autonomous fault detection and diagnosis in space systems, on distributed ground networks that scale, and on autonomous navigation for deep-space small satellites all reveals a field that increasingly trusts transparent, testable computational models to steer systems too costly or impossible to instrument fully</w:t>
      </w:r>
      <w:r>
        <w:t xml:space="preserve"> </w:t>
      </w:r>
      <w:hyperlink w:anchor="ref-15">
        <w:r>
          <w:rPr>
            <w:rStyle w:val="Hyperlink"/>
          </w:rPr>
          <w:t xml:space="preserve">[15]</w:t>
        </w:r>
      </w:hyperlink>
      <w:r>
        <w:t xml:space="preserve"> </w:t>
      </w:r>
      <w:hyperlink w:anchor="ref-12">
        <w:r>
          <w:rPr>
            <w:rStyle w:val="Hyperlink"/>
          </w:rPr>
          <w:t xml:space="preserve">[12]</w:t>
        </w:r>
      </w:hyperlink>
      <w:r>
        <w:t xml:space="preserve"> </w:t>
      </w:r>
      <w:hyperlink w:anchor="ref-23">
        <w:r>
          <w:rPr>
            <w:rStyle w:val="Hyperlink"/>
          </w:rPr>
          <w:t xml:space="preserve">[23]</w:t>
        </w:r>
      </w:hyperlink>
      <w:r>
        <w:t xml:space="preserve">. On-orbit spacecraft technology surveys and anthropogenic-change detection work carry that trust over to the observation side</w:t>
      </w:r>
      <w:r>
        <w:t xml:space="preserve"> </w:t>
      </w:r>
      <w:hyperlink w:anchor="ref-8">
        <w:r>
          <w:rPr>
            <w:rStyle w:val="Hyperlink"/>
          </w:rPr>
          <w:t xml:space="preserve">[8]</w:t>
        </w:r>
      </w:hyperlink>
      <w:r>
        <w:t xml:space="preserve"> </w:t>
      </w:r>
      <w:hyperlink w:anchor="ref-13">
        <w:r>
          <w:rPr>
            <w:rStyle w:val="Hyperlink"/>
          </w:rPr>
          <w:t xml:space="preserve">[13]</w:t>
        </w:r>
      </w:hyperlink>
      <w:r>
        <w:t xml:space="preserve">. What matters here is not the subject but the methodological norm: a documented model, stressed and falsifiable, counts as evidence. That norm is what licenses a launch-count sensitivity study built on derived rows.</w:t>
      </w:r>
    </w:p>
    <w:bookmarkEnd w:id="74"/>
    <w:bookmarkStart w:id="75" w:name="the-gap-this-dissertation-fills"/>
    <w:p>
      <w:pPr>
        <w:pStyle w:val="Heading2"/>
        <w:spacing w:line="480" w:lineRule="auto"/>
      </w:pPr>
      <w:r>
        <w:t xml:space="preserve">The gap this dissertation fills</w:t>
      </w:r>
    </w:p>
    <w:p>
      <w:pPr>
        <w:pStyle w:val="FirstParagraph"/>
        <w:spacing w:line="480" w:lineRule="auto"/>
      </w:pPr>
      <w:r>
        <w:t xml:space="preserve">Read the four clusters at once and the gap turns specific and narrow. A rigorous chemical baseline exists that ends in a launch count</w:t>
      </w:r>
      <w:r>
        <w:t xml:space="preserve"> </w:t>
      </w:r>
      <w:hyperlink w:anchor="ref-1">
        <w:r>
          <w:rPr>
            <w:rStyle w:val="Hyperlink"/>
          </w:rPr>
          <w:t xml:space="preserve">[1]</w:t>
        </w:r>
      </w:hyperlink>
      <w:r>
        <w:t xml:space="preserve">. A nuclear and advanced-propulsion literature exists that grants the nuclear class a mass and transit advantage without measuring it as a launch-count wedge against that baseline under shared assumptions</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18">
        <w:r>
          <w:rPr>
            <w:rStyle w:val="Hyperlink"/>
          </w:rPr>
          <w:t xml:space="preserve">[18]</w:t>
        </w:r>
      </w:hyperlink>
      <w:r>
        <w:t xml:space="preserve">. A strategy literature exists that names the stakes</w:t>
      </w:r>
      <w:r>
        <w:t xml:space="preserve"> </w:t>
      </w:r>
      <w:hyperlink w:anchor="ref-3">
        <w:r>
          <w:rPr>
            <w:rStyle w:val="Hyperlink"/>
          </w:rPr>
          <w:t xml:space="preserve">[3]</w:t>
        </w:r>
      </w:hyperlink>
      <w:r>
        <w:t xml:space="preserve">, and an optimization and reachability literature that certifies auditable models built without flight data</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w:t>
      </w:r>
      <w:hyperlink w:anchor="ref-9">
        <w:r>
          <w:rPr>
            <w:rStyle w:val="Hyperlink"/>
          </w:rPr>
          <w:t xml:space="preserve">[9]</w:t>
        </w:r>
      </w:hyperlink>
      <w:r>
        <w:t xml:space="preserve">. What no work does is freeze payload, destination, and launch capacity, vary only the propulsion class and a dry-mass growth allowance, and report whether the nuclear launch-count advantage outlives the stressor. Every cluster hands over a piece of the comparison and stops before assembling it, so the comparison lives in the literature only as scattered ingredients never combined into the single controlled test a program office would need to set the two propulsion classes on one countable axis.</w:t>
      </w:r>
    </w:p>
    <w:p>
      <w:pPr>
        <w:pStyle w:val="BodyText"/>
        <w:spacing w:line="480" w:lineRule="auto"/>
        <w:ind w:firstLine="720"/>
      </w:pPr>
      <w:r>
        <w:t xml:space="preserve">That object is what this dissertation constructs. It takes the chemical baseline and aggregation convention from Salotti and the reference architectures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the specific-impulse contrast from the nuclear-propulsion literature</w:t>
      </w:r>
      <w:r>
        <w:t xml:space="preserve"> </w:t>
      </w:r>
      <w:hyperlink w:anchor="ref-6">
        <w:r>
          <w:rPr>
            <w:rStyle w:val="Hyperlink"/>
          </w:rPr>
          <w:t xml:space="preserve">[6]</w:t>
        </w:r>
      </w:hyperlink>
      <w:r>
        <w:t xml:space="preserve">, the mission-relevance of high-energy transfer from the rapid-Mars work</w:t>
      </w:r>
      <w:r>
        <w:t xml:space="preserve"> </w:t>
      </w:r>
      <w:hyperlink w:anchor="ref-2">
        <w:r>
          <w:rPr>
            <w:rStyle w:val="Hyperlink"/>
          </w:rPr>
          <w:t xml:space="preserve">[2]</w:t>
        </w:r>
      </w:hyperlink>
      <w:r>
        <w:t xml:space="preserve">, and the epistemic license for a derived, transparent dataset from the reachability and optimization literature</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Then it does the one thing none of them did: estimate the propulsion effect on launch count, net of payload and margin, and trace that effect back to the rocket equation. Chapter three builds the theory that turns those two estimates into a coherent pair rather than two unrelated regressions.</w:t>
      </w:r>
    </w:p>
    <w:bookmarkEnd w:id="75"/>
    <w:bookmarkStart w:id="76" w:name="Xb4174bc4addcc82f400e6e980ead9259706280b"/>
    <w:p>
      <w:pPr>
        <w:pStyle w:val="Heading2"/>
        <w:spacing w:line="480" w:lineRule="auto"/>
      </w:pPr>
      <w:r>
        <w:t xml:space="preserve">How the electric and directed-energy branch reframes the trade</w:t>
      </w:r>
    </w:p>
    <w:p>
      <w:pPr>
        <w:pStyle w:val="FirstParagraph"/>
        <w:spacing w:line="480" w:lineRule="auto"/>
      </w:pPr>
      <w:r>
        <w:t xml:space="preserve">Electric propulsion muddies the picture, and dwelling on that branch pays off, because it clarifies by contrast what nuclear thermal propulsion actually gives a crewed mission. Solar-electric and directed-energy concepts drive specific impulse far above nuclear thermal, sometimes tenfold, yet they do it at very low thrust, stretching burn durations across weeks or months and foreclosing the fast, high-thrust departure a crewed conjunction-class transfer wants</w:t>
      </w:r>
      <w:r>
        <w:t xml:space="preserve"> </w:t>
      </w:r>
      <w:hyperlink w:anchor="ref-17">
        <w:r>
          <w:rPr>
            <w:rStyle w:val="Hyperlink"/>
          </w:rPr>
          <w:t xml:space="preserve">[17]</w:t>
        </w:r>
      </w:hyperlink>
      <w:r>
        <w:t xml:space="preserve"> </w:t>
      </w:r>
      <w:hyperlink w:anchor="ref-21">
        <w:r>
          <w:rPr>
            <w:rStyle w:val="Hyperlink"/>
          </w:rPr>
          <w:t xml:space="preserve">[21]</w:t>
        </w:r>
      </w:hyperlink>
      <w:r>
        <w:t xml:space="preserve">. The Interstellar Probe study tolerates long acceleration for an uncrewed escape mission where transit time runs in years rather than months</w:t>
      </w:r>
      <w:r>
        <w:t xml:space="preserve"> </w:t>
      </w:r>
      <w:hyperlink w:anchor="ref-20">
        <w:r>
          <w:rPr>
            <w:rStyle w:val="Hyperlink"/>
          </w:rPr>
          <w:t xml:space="preserve">[20]</w:t>
        </w:r>
      </w:hyperlink>
      <w:r>
        <w:t xml:space="preserve">. These are less rivals to nuclear thermal in the crewed Mars regime than reminders that specific impulse alone settles nothing about an architecture. Thrust, burn duration, and mission class all shape how a propulsion advantage cashes out, and a class that wins on specific impulse can still lose on the calendar the crew has to live inside, which is exactly why the launch-count question is well posed for nuclear thermal and would be malformed for a low-thrust class whose binding constraint is time rather than flights.</w:t>
      </w:r>
    </w:p>
    <w:p>
      <w:pPr>
        <w:pStyle w:val="BodyText"/>
        <w:spacing w:line="480" w:lineRule="auto"/>
        <w:ind w:firstLine="720"/>
      </w:pPr>
      <w:r>
        <w:t xml:space="preserve">That contrast sharpens why the dissertation picks nuclear thermal as the class to test. Nuclear thermal occupies a useful middle, roughly double the specific impulse of chemical propulsion while keeping high thrust suited to crewed departure windows</w:t>
      </w:r>
      <w:r>
        <w:t xml:space="preserve"> </w:t>
      </w:r>
      <w:hyperlink w:anchor="ref-6">
        <w:r>
          <w:rPr>
            <w:rStyle w:val="Hyperlink"/>
          </w:rPr>
          <w:t xml:space="preserve">[6]</w:t>
        </w:r>
      </w:hyperlink>
      <w:r>
        <w:t xml:space="preserve">. It is therefore the class most likely to convert its specific-impulse advantage into a launch-count reduction without paying the trajectory penalties that dog low-thrust systems. The electric and directed-energy literature is valuable precisely because it fixes the boundary of the trade. It reveals that the launch-count question is well posed for nuclear thermal in a way it would not be for a low-thrust class, where transit time rather than launch count would bind.</w:t>
      </w:r>
    </w:p>
    <w:bookmarkEnd w:id="76"/>
    <w:bookmarkStart w:id="77" w:name="the-methodological-inheritance"/>
    <w:p>
      <w:pPr>
        <w:pStyle w:val="Heading2"/>
        <w:spacing w:line="480" w:lineRule="auto"/>
      </w:pPr>
      <w:r>
        <w:t xml:space="preserve">The methodological inheritance</w:t>
      </w:r>
    </w:p>
    <w:p>
      <w:pPr>
        <w:pStyle w:val="FirstParagraph"/>
        <w:spacing w:line="480" w:lineRule="auto"/>
      </w:pPr>
      <w:r>
        <w:t xml:space="preserve">Set the reachability and optimization cluster beside the architecture cluster and a shared methodological inheritance surfaces, one this dissertation extends. Foss and colleagues characterize reachable sets with state transition tensors, Patel and Scheeres estimate reachability rapidly and automatically, and Isaji and colleagues cast mission concept and systems design as a mixed-integer program coupling discrete choices to continuous performance</w:t>
      </w:r>
      <w:r>
        <w:t xml:space="preserve"> </w:t>
      </w:r>
      <w:hyperlink w:anchor="ref-10">
        <w:r>
          <w:rPr>
            <w:rStyle w:val="Hyperlink"/>
          </w:rPr>
          <w:t xml:space="preserve">[10]</w:t>
        </w:r>
      </w:hyperlink>
      <w:r>
        <w:t xml:space="preserve"> </w:t>
      </w:r>
      <w:hyperlink w:anchor="ref-9">
        <w:r>
          <w:rPr>
            <w:rStyle w:val="Hyperlink"/>
          </w:rPr>
          <w:t xml:space="preserve">[9]</w:t>
        </w:r>
      </w:hyperlink>
      <w:r>
        <w:t xml:space="preserve"> </w:t>
      </w:r>
      <w:hyperlink w:anchor="ref-19">
        <w:r>
          <w:rPr>
            <w:rStyle w:val="Hyperlink"/>
          </w:rPr>
          <w:t xml:space="preserve">[19]</w:t>
        </w:r>
      </w:hyperlink>
      <w:r>
        <w:t xml:space="preserve">. Each confronts the very structural problem this dissertation faces, a discrete decision variable perched atop continuous physics. The launch-count outcome is exactly that, an integer produced by rounding a continuous mass, and the treatment it gets here, sweeping a parameter ladder and reading the integer response, is the architecture-scale analogue of what the reachability literature does at the trajectory scale.</w:t>
      </w:r>
    </w:p>
    <w:p>
      <w:pPr>
        <w:pStyle w:val="BodyText"/>
        <w:spacing w:line="480" w:lineRule="auto"/>
        <w:ind w:firstLine="720"/>
      </w:pPr>
      <w:r>
        <w:t xml:space="preserve">This inheritance also answers an anticipated objection about sample size. A critic weaned on inferential statistics over flown data would call a twenty-row dataset thin. The reachability and optimization literature has already normalized the other reading: when rows are deterministic evaluations of a model rather than draws from a population, the object of interest is the shape of the response across the parameter sweep, not the variance of a sample</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Those twenty rows are not twenty noisy looks at one quantity. They are a structured traverse of a trade space arranged to reveal where the integer launch count steps. Placing the study in that lineage is what licenses its evidentiary claims, and it is why this review treats the reachability cluster as load-bearing rather than peripheral.</w:t>
      </w:r>
    </w:p>
    <w:bookmarkEnd w:id="77"/>
    <w:bookmarkStart w:id="78" w:name="synthesis"/>
    <w:p>
      <w:pPr>
        <w:pStyle w:val="Heading2"/>
        <w:spacing w:line="480" w:lineRule="auto"/>
      </w:pPr>
      <w:r>
        <w:t xml:space="preserve">Synthesis</w:t>
      </w:r>
    </w:p>
    <w:p>
      <w:pPr>
        <w:pStyle w:val="FirstParagraph"/>
        <w:spacing w:line="480" w:lineRule="auto"/>
      </w:pPr>
      <w:r>
        <w:t xml:space="preserve">One last observation about the shape of the literature. The advanced-propulsion cluster tends toward optimism and the reference-architecture cluster toward conservatism, and the two seldom meet on a shared axis. This study is built on purpose at that meeting point. It respects the conservative aggregation convention enough to round mass up into whole launches, and it respects the optimistic propulsion claim enough to test rather than dismiss it, and it bills that claim a mass-growth penalty so the optimism does not slip past unexamined. The contribution lives in the tension between those two habits, resolved not by argument but by a countable result.</w:t>
      </w:r>
    </w:p>
    <w:bookmarkEnd w:id="78"/>
    <w:bookmarkStart w:id="79" w:name="X7c193f3923f3121f40c0b4d17d9c999a132b8b7"/>
    <w:p>
      <w:pPr>
        <w:pStyle w:val="Heading2"/>
        <w:spacing w:line="480" w:lineRule="auto"/>
      </w:pPr>
      <w:r>
        <w:t xml:space="preserve">The autonomy and situational-awareness literature as methodological allies</w:t>
      </w:r>
    </w:p>
    <w:p>
      <w:pPr>
        <w:pStyle w:val="FirstParagraph"/>
        <w:spacing w:line="480" w:lineRule="auto"/>
      </w:pPr>
      <w:r>
        <w:t xml:space="preserve">A cluster that looks remote from Mars transfer mass still reinforces the dissertation’s method and deserves open acknowledgment. Over two decades the space situational awareness and autonomy literature has learned to trust computational models for systems that cannot be fully instrumented. Work on autonomous, hybrid fault detection and root-cause determination in space systems shows a field at ease letting a transparent model render consequential judgments about hardware it cannot directly watch</w:t>
      </w:r>
      <w:r>
        <w:t xml:space="preserve"> </w:t>
      </w:r>
      <w:hyperlink w:anchor="ref-15">
        <w:r>
          <w:rPr>
            <w:rStyle w:val="Hyperlink"/>
          </w:rPr>
          <w:t xml:space="preserve">[15]</w:t>
        </w:r>
      </w:hyperlink>
      <w:r>
        <w:t xml:space="preserve">. High-performance computing applications for situational awareness display the same readiness to compute rather than measure when measurement is impractical</w:t>
      </w:r>
      <w:r>
        <w:t xml:space="preserve"> </w:t>
      </w:r>
      <w:hyperlink w:anchor="ref-11">
        <w:r>
          <w:rPr>
            <w:rStyle w:val="Hyperlink"/>
          </w:rPr>
          <w:t xml:space="preserve">[11]</w:t>
        </w:r>
      </w:hyperlink>
      <w:r>
        <w:t xml:space="preserve">. Autonomous navigation for deep-space small satellites carries that trust into the guidance function itself, where onboard models stand in for ground observation across light-second distances</w:t>
      </w:r>
      <w:r>
        <w:t xml:space="preserve"> </w:t>
      </w:r>
      <w:hyperlink w:anchor="ref-23">
        <w:r>
          <w:rPr>
            <w:rStyle w:val="Hyperlink"/>
          </w:rPr>
          <w:t xml:space="preserve">[23]</w:t>
        </w:r>
      </w:hyperlink>
      <w:r>
        <w:t xml:space="preserve">.</w:t>
      </w:r>
    </w:p>
    <w:p>
      <w:pPr>
        <w:pStyle w:val="BodyText"/>
        <w:spacing w:line="480" w:lineRule="auto"/>
        <w:ind w:firstLine="720"/>
      </w:pPr>
      <w:r>
        <w:t xml:space="preserve">For a launch-count study the relevance is methodological, not topical. These literatures establish a professional norm, that a documented, testable computational model counts as evidence in domains where flight data runs scarce or absent, and that norm is exactly what a derived architecture dataset leans on. The dissertation smuggles in no unusual epistemology. It applies a standard the space community already honors in neighboring problems, one it reaches for whenever the object of interest is too costly, too distant, or too dangerous to instrument at the fidelity a decision demands. Distributed ground-network and change-detection work makes the same move on the observation side, trusting scalable automated systems and inference over exhaustive manual measurement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and surveys of on-orbit spacecraft technology likewise reason about capabilities not yet flown</w:t>
      </w:r>
      <w:r>
        <w:t xml:space="preserve"> </w:t>
      </w:r>
      <w:hyperlink w:anchor="ref-8">
        <w:r>
          <w:rPr>
            <w:rStyle w:val="Hyperlink"/>
          </w:rPr>
          <w:t xml:space="preserve">[8]</w:t>
        </w:r>
      </w:hyperlink>
      <w:r>
        <w:t xml:space="preserve">. That the norm runs so broadly across the field is what makes a derived, reproducible dataset a legitimate instrument rather than a workaround.</w:t>
      </w:r>
    </w:p>
    <w:bookmarkEnd w:id="79"/>
    <w:bookmarkStart w:id="80" w:name="Xba528818d0d1f1017fd01b6093c713f24029780"/>
    <w:p>
      <w:pPr>
        <w:pStyle w:val="Heading2"/>
        <w:spacing w:line="480" w:lineRule="auto"/>
      </w:pPr>
      <w:r>
        <w:t xml:space="preserve">Where prior work stops and this work begins</w:t>
      </w:r>
    </w:p>
    <w:p>
      <w:pPr>
        <w:pStyle w:val="FirstParagraph"/>
        <w:spacing w:line="480" w:lineRule="auto"/>
      </w:pPr>
      <w:r>
        <w:t xml:space="preserve">Being precise about the exact seam this dissertation stitches is worth the trouble, because the contribution is defined by it, and precision about the seam is what separates a genuine gap from a rhetorical one. Salotti’s optimization halts at a chemical launch count and never varies propulsion class</w:t>
      </w:r>
      <w:r>
        <w:t xml:space="preserve"> </w:t>
      </w:r>
      <w:hyperlink w:anchor="ref-1">
        <w:r>
          <w:rPr>
            <w:rStyle w:val="Hyperlink"/>
          </w:rPr>
          <w:t xml:space="preserve">[1]</w:t>
        </w:r>
      </w:hyperlink>
      <w:r>
        <w:t xml:space="preserve">. The rapid-Mars and nuclear-propulsion studies halt at asserting a nuclear capability and never measure it as a launch-count wedge against a chemical baseline</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reference architectures halt at an assembly convention and never run a propulsion counterfactual</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strategy literature halts at naming the stakes and never builds a stressable model</w:t>
      </w:r>
      <w:r>
        <w:t xml:space="preserve"> </w:t>
      </w:r>
      <w:hyperlink w:anchor="ref-3">
        <w:r>
          <w:rPr>
            <w:rStyle w:val="Hyperlink"/>
          </w:rPr>
          <w:t xml:space="preserve">[3]</w:t>
        </w:r>
      </w:hyperlink>
      <w:r>
        <w:t xml:space="preserve">. The reachability and optimization literature halts at legitimizing derived models and never turns that legitimacy onto the specific nuclear Mars launch-count question</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Every body of work stops one step short of the comparison, and the steps they stop at are exactly the pieces the comparison needs.</w:t>
      </w:r>
    </w:p>
    <w:p>
      <w:pPr>
        <w:pStyle w:val="BodyText"/>
        <w:spacing w:line="480" w:lineRule="auto"/>
        <w:ind w:firstLine="720"/>
      </w:pPr>
      <w:r>
        <w:t xml:space="preserve">Where those bodies of work stop is where the dissertation starts. It adopts the chemical launch count as a baseline, imports the nuclear specific-impulse figure as a multiplier, borrows the aggregation convention to convert mass into launches, inherits the derived-data license, and then runs the counterfactual none of them ran: freeze the mission, vary only the propulsion class and the margin, and read the change in launches. Naming the seam this precisely matters because a contribution earns credibility only insofar as its novelty is specific, and this one is specific. It is not a new propulsion concept, a new optimization method, or a new strategic argument. It is the controlled propulsion comparison the existing pieces make possible yet no prior study has assembled.</w:t>
      </w:r>
    </w:p>
    <w:p>
      <w:pPr>
        <w:pStyle w:val="BodyText"/>
        <w:spacing w:line="480" w:lineRule="auto"/>
        <w:ind w:firstLine="720"/>
      </w:pPr>
      <w:r>
        <w:t xml:space="preserve">Taken whole, the literature hands over every ingredient the dissertation needs and combines none of them in the way the dissertation requires. The chemical baseline reproduces and ends in launches</w:t>
      </w:r>
      <w:r>
        <w:t xml:space="preserve"> </w:t>
      </w:r>
      <w:hyperlink w:anchor="ref-1">
        <w:r>
          <w:rPr>
            <w:rStyle w:val="Hyperlink"/>
          </w:rPr>
          <w:t xml:space="preserve">[1]</w:t>
        </w:r>
      </w:hyperlink>
      <w:r>
        <w:t xml:space="preserve">. The nuclear class carries documented specific-impulse figures and mission-relevant framing</w:t>
      </w:r>
      <w:r>
        <w:t xml:space="preserve"> </w:t>
      </w:r>
      <w:hyperlink w:anchor="ref-6">
        <w:r>
          <w:rPr>
            <w:rStyle w:val="Hyperlink"/>
          </w:rPr>
          <w:t xml:space="preserve">[6]</w:t>
        </w:r>
      </w:hyperlink>
      <w:r>
        <w:t xml:space="preserve"> </w:t>
      </w:r>
      <w:hyperlink w:anchor="ref-2">
        <w:r>
          <w:rPr>
            <w:rStyle w:val="Hyperlink"/>
          </w:rPr>
          <w:t xml:space="preserve">[2]</w:t>
        </w:r>
      </w:hyperlink>
      <w:r>
        <w:t xml:space="preserve">. The strategy work supplies stakes</w:t>
      </w:r>
      <w:r>
        <w:t xml:space="preserve"> </w:t>
      </w:r>
      <w:hyperlink w:anchor="ref-3">
        <w:r>
          <w:rPr>
            <w:rStyle w:val="Hyperlink"/>
          </w:rPr>
          <w:t xml:space="preserve">[3]</w:t>
        </w:r>
      </w:hyperlink>
      <w:r>
        <w:t xml:space="preserve">, the reference architectures supply an aggregation convention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 and the reachability and optimization work supplies both a method and an epistemic license for derived data</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The remaining chapters fold those ingredients into the single controlled comparison the field has yet to run, and they report what it yields.</w:t>
      </w:r>
    </w:p>
    <w:bookmarkEnd w:id="80"/>
    <w:bookmarkEnd w:id="81"/>
    <w:bookmarkStart w:id="91" w:name="theory-and-hypotheses"/>
    <w:p>
      <w:pPr>
        <w:pStyle w:val="Heading1"/>
        <w:spacing w:line="480" w:lineRule="auto"/>
      </w:pPr>
      <w:r>
        <w:t xml:space="preserve">Theory and Hypotheses</w:t>
      </w:r>
    </w:p>
    <w:p>
      <w:pPr>
        <w:pStyle w:val="FirstParagraph"/>
        <w:spacing w:line="480" w:lineRule="auto"/>
      </w:pPr>
      <w:r>
        <w:t xml:space="preserve">One physical fact and one accounting rule carry the theory of this dissertation, and the interesting behavior springs from their collision. The physical fact: propellant burden climbs exponentially with the ratio of mission velocity change to exhaust velocity. The accounting rule: launches arrive in whole numbers. Feed continuous physics into a discrete outcome and thresholds appear, and thresholds are where a propulsion advantage either surfaces or stays buried. This chapter grows that logic out of the rocket equation, converts it into an architecture-level prediction about launch count, and states the hypotheses the empirical chapters test.</w:t>
      </w:r>
    </w:p>
    <w:bookmarkStart w:id="82" w:name="the-mechanism-the-rocket-equation"/>
    <w:p>
      <w:pPr>
        <w:pStyle w:val="Heading2"/>
        <w:spacing w:line="480" w:lineRule="auto"/>
      </w:pPr>
      <w:r>
        <w:t xml:space="preserve">The mechanism: the rocket equation</w:t>
      </w:r>
    </w:p>
    <w:p>
      <w:pPr>
        <w:pStyle w:val="FirstParagraph"/>
        <w:spacing w:line="480" w:lineRule="auto"/>
      </w:pPr>
      <w:r>
        <w:t xml:space="preserve">The physics is old. Begin with the relation that rules every chemical or thermal rocket stage. It is the Tsiolkovsky equation. For a required velocity change and a given specific impulse, the mass ratio, initial mass over final mass, is</w:t>
      </w:r>
    </w:p>
    <w:p>
      <w:pPr>
        <w:pStyle w:val="BodyText"/>
        <w:spacing w:line="480" w:lineRule="auto"/>
        <w:ind w:firstLine="720"/>
      </w:pPr>
      <w:r>
        <w:t xml:space="preserve">[</w:t>
      </w:r>
      <w:r>
        <w:t xml:space="preserve"> </w:t>
      </w:r>
      <w:r>
        <w:t xml:space="preserve">mass_ratio = e^{</w:t>
      </w:r>
      <w:r>
        <w:t xml:space="preserve">v / (g_0</w:t>
      </w:r>
      <w:r>
        <w:t xml:space="preserve"> </w:t>
      </w:r>
      <w:r>
        <w:t xml:space="preserve">I_{sp})}</w:t>
      </w:r>
      <w:r>
        <w:t xml:space="preserve"> </w:t>
      </w:r>
      <w:r>
        <w:t xml:space="preserve">]</w:t>
      </w:r>
    </w:p>
    <w:p>
      <w:pPr>
        <w:pStyle w:val="BodyText"/>
        <w:spacing w:line="480" w:lineRule="auto"/>
        <w:ind w:firstLine="720"/>
      </w:pPr>
      <w:r>
        <w:t xml:space="preserve">where the velocity change is the transfer-stage requirement, standard gravity is 9.80665 meters per second squared, and specific impulse is expressed in seconds</w:t>
      </w:r>
      <w:r>
        <w:t xml:space="preserve"> </w:t>
      </w:r>
      <w:hyperlink w:anchor="ref-7">
        <w:r>
          <w:rPr>
            <w:rStyle w:val="Hyperlink"/>
          </w:rPr>
          <w:t xml:space="preserve">[7]</w:t>
        </w:r>
      </w:hyperlink>
      <w:r>
        <w:t xml:space="preserve">. Two properties of this expression drive all that follows. It is exponential in the velocity change, which punishes high-energy transfers sharply, and specific impulse sits in the denominator of the exponent, so lifting it lowers the exponent and thereby lowers the mass ratio in a compounding way. Double a stage’s specific impulse and it does not merely lighten a little. Its propellant fraction slides down a curve whose slope steepens right where the mission bites hardest.</w:t>
      </w:r>
    </w:p>
    <w:p>
      <w:pPr>
        <w:pStyle w:val="BodyText"/>
        <w:spacing w:line="480" w:lineRule="auto"/>
        <w:ind w:firstLine="720"/>
      </w:pPr>
      <w:r>
        <w:t xml:space="preserve">That is why propulsion class weighs so heavily on Mars transfer in particular. Earth-Mars transfer-stage velocity changes fall in a high-energy regime, and the exponential form makes the distance between a chemical specific impulse near 450 seconds and a nuclear thermal one near 900 seconds no modest bump</w:t>
      </w:r>
      <w:r>
        <w:t xml:space="preserve"> </w:t>
      </w:r>
      <w:hyperlink w:anchor="ref-6">
        <w:r>
          <w:rPr>
            <w:rStyle w:val="Hyperlink"/>
          </w:rPr>
          <w:t xml:space="preserve">[6]</w:t>
        </w:r>
      </w:hyperlink>
      <w:r>
        <w:t xml:space="preserve">. It is the distance between a costly exponent and a cheap one. So the nuclear literature’s standing claim, that nuclear thermal propulsion roughly doubles the specific impulse of chemical systems, is not marketing but a lever pressing on the most sensitive term in the equation</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mechanism admits a natural elasticity reading. Because mass ratio relates to specific impulse multiplicatively in log space, the responsiveness of the one to the other collapses into a single elasticity, the percentage change in mass ratio for a one percent change in specific impulse. That elasticity is negative and, across the Mars transfer velocity range, sizable. Estimating it falls to the mechanism model later, yet the theory calls its sign and rough scale in advance: double specific impulse and the required mass ratio should fall to roughly half its prior value, conditional on the blend of transfer-velocity cases at hand.</w:t>
      </w:r>
    </w:p>
    <w:bookmarkEnd w:id="82"/>
    <w:bookmarkStart w:id="83" w:name="Xbba03d01d75c59de8359baef3e63928d61b82c4"/>
    <w:p>
      <w:pPr>
        <w:pStyle w:val="Heading2"/>
        <w:spacing w:line="480" w:lineRule="auto"/>
      </w:pPr>
      <w:r>
        <w:t xml:space="preserve">From continuous mass to discrete launches</w:t>
      </w:r>
    </w:p>
    <w:p>
      <w:pPr>
        <w:pStyle w:val="FirstParagraph"/>
        <w:spacing w:line="480" w:lineRule="auto"/>
      </w:pPr>
      <w:r>
        <w:t xml:space="preserve">Mass by itself is not the answer. The rocket equation says how much propellant a stage needs; on its own it says nothing about how many launches an architecture demands. That step needs the accounting rule taken from the reference-architecture convention, where total transfer stack mass is divided by a fixed heavy-lift capacity and rounded up to the next whole launch</w:t>
      </w:r>
      <w:r>
        <w:t xml:space="preserve"> </w:t>
      </w:r>
      <w:hyperlink w:anchor="ref-4">
        <w:r>
          <w:rPr>
            <w:rStyle w:val="Hyperlink"/>
          </w:rPr>
          <w:t xml:space="preserve">[4]</w:t>
        </w:r>
      </w:hyperlink>
      <w:r>
        <w:t xml:space="preserve"> </w:t>
      </w:r>
      <w:hyperlink w:anchor="ref-5">
        <w:r>
          <w:rPr>
            <w:rStyle w:val="Hyperlink"/>
          </w:rPr>
          <w:t xml:space="preserve">[5]</w:t>
        </w:r>
      </w:hyperlink>
      <w:r>
        <w:t xml:space="preserve">. Write it as</w:t>
      </w:r>
    </w:p>
    <w:p>
      <w:pPr>
        <w:pStyle w:val="BodyText"/>
        <w:spacing w:line="480" w:lineRule="auto"/>
        <w:ind w:firstLine="720"/>
      </w:pPr>
      <w:r>
        <w:t xml:space="preserve">[</w:t>
      </w:r>
      <w:r>
        <w:t xml:space="preserve"> </w:t>
      </w:r>
      <w:r>
        <w:t xml:space="preserve">required_launches =</w:t>
      </w:r>
      <w:r>
        <w:t xml:space="preserve"> </w:t>
      </w:r>
      <w:r>
        <w:t xml:space="preserve">transfer_stack_mass / launch_capacity</w:t>
      </w:r>
      <w:r>
        <w:t xml:space="preserve"> </w:t>
      </w:r>
      <w:r>
        <w:t xml:space="preserve"> </w:t>
      </w:r>
      <w:r>
        <w:t xml:space="preserve">]</w:t>
      </w:r>
    </w:p>
    <w:p>
      <w:pPr>
        <w:pStyle w:val="BodyText"/>
        <w:spacing w:line="480" w:lineRule="auto"/>
        <w:ind w:firstLine="720"/>
      </w:pPr>
      <w:r>
        <w:t xml:space="preserve">with launch capacity held fixed across propulsion classes so the comparison stays clean. The ceiling operator is where the theory turns interesting. A continuous drop in transfer stack mass, bought by higher specific impulse, converts into launch savings only when it drags the mass figure over an integer boundary. Under a boundary, mass slack leaves no mark on the launch count. At a boundary, a slight mass reduction erases a whole launch.</w:t>
      </w:r>
    </w:p>
    <w:p>
      <w:pPr>
        <w:pStyle w:val="BodyText"/>
        <w:spacing w:line="480" w:lineRule="auto"/>
        <w:ind w:firstLine="720"/>
      </w:pPr>
      <w:r>
        <w:t xml:space="preserve">Out of this comes a step function rather than a smooth curve, and the step structure carries decision consequences. The nuclear advantage is not uniform across the trade space. At payload and margin combinations already tucked well inside a launch boundary, the nuclear cut in mass ratio may buy zero launches; at combinations perched just past a boundary, the same cut buys a full launch. And as payload scale rises, the chemical architecture clears boundaries faster than the nuclear one, so the launch-count gap should widen from one launch at low payload toward two at high payload. The theory therefore predicts not just a negative nuclear effect but a particular shape for it, small at first and then persistent as scale grows.</w:t>
      </w:r>
    </w:p>
    <w:bookmarkEnd w:id="83"/>
    <w:bookmarkStart w:id="84" w:name="X64ceae7afe3763dccd7cd3aa8ac8acdc62e3d7c"/>
    <w:p>
      <w:pPr>
        <w:pStyle w:val="Heading2"/>
        <w:spacing w:line="480" w:lineRule="auto"/>
      </w:pPr>
      <w:r>
        <w:t xml:space="preserve">The confounders and why they must be controlled</w:t>
      </w:r>
    </w:p>
    <w:p>
      <w:pPr>
        <w:pStyle w:val="FirstParagraph"/>
        <w:spacing w:line="480" w:lineRule="auto"/>
      </w:pPr>
      <w:r>
        <w:t xml:space="preserve">Two variables threaten to poison any naive comparison of launch counts.</w:t>
      </w:r>
    </w:p>
    <w:p>
      <w:pPr>
        <w:pStyle w:val="BodyText"/>
        <w:spacing w:line="480" w:lineRule="auto"/>
        <w:ind w:firstLine="720"/>
      </w:pPr>
      <w:r>
        <w:t xml:space="preserve">The first is payload scale. Bigger reference payloads demand bigger transfer stacks regardless of propulsion class, so were nuclear architectures paired with smaller payloads, their lower launch count would be an artifact of payload rather than propulsion. The second is the dry-mass growth allowance. Nuclear stages carry reactor, shield, and cryogenic tankage mass that tends to swell between concept and hardware, and a comparison crediting the nuclear class with optimistic dry masses while billing chemical stages realistic ones would be rigged toward nuclear.</w:t>
      </w:r>
    </w:p>
    <w:p>
      <w:pPr>
        <w:pStyle w:val="BodyText"/>
        <w:spacing w:line="480" w:lineRule="auto"/>
        <w:ind w:firstLine="720"/>
      </w:pPr>
      <w:r>
        <w:t xml:space="preserve">The theory answers by making both variables explicit and charging them symmetrically where it can. Payload scale is swept across the trade space rather than pinned at one convenient point. The dry-mass growth allowance enters as a stressor that inflates transfer stack mass, and the central case charges the nuclear stage a hefty allowance, thirty percent above optimistic published values, with a fifty percent break-glass sensitivity kept in reserve. Should the nuclear launch-count advantage outlast payload scale and margin as controls, it cannot be waved off as a payload artifact or as optimistic dry-mass bookkeeping. That is the identifying logic the methodology chapter formalizes.</w:t>
      </w:r>
    </w:p>
    <w:bookmarkEnd w:id="84"/>
    <w:bookmarkStart w:id="85" w:name="the-two-model-strategy"/>
    <w:p>
      <w:pPr>
        <w:pStyle w:val="Heading2"/>
        <w:spacing w:line="480" w:lineRule="auto"/>
      </w:pPr>
      <w:r>
        <w:t xml:space="preserve">The two-model strategy</w:t>
      </w:r>
    </w:p>
    <w:p>
      <w:pPr>
        <w:pStyle w:val="FirstParagraph"/>
        <w:spacing w:line="480" w:lineRule="auto"/>
      </w:pPr>
      <w:r>
        <w:t xml:space="preserve">A lone regression on launch count would show that nuclear architectures need fewer launches, yet it would leave hanging whether that result is a real physical effect or a byproduct of how the dataset was labeled, which is the very suspicion a derived dataset invites and the very suspicion the design has to disarm before its central number earns trust. The theory shuts that gap by demanding two models that must agree. The outcome model estimates the nuclear effect on launch count net of payload and margin. The mechanism model estimates the elasticity of mass ratio with respect to specific impulse. Different dependent variables, different functional forms, different samples of derived rows, and yet two windows onto the same physics. Let the outcome model find fewer launches while the mechanism model finds a steep negative elasticity, and the launch-count wedge becomes the countable consequence of the rocket equation rather than an accident of construction. Agreement across two methods outweighs either alone, and that is why the dissertation runs both.</w:t>
      </w:r>
    </w:p>
    <w:bookmarkEnd w:id="85"/>
    <w:bookmarkStart w:id="86" w:name="hypotheses"/>
    <w:p>
      <w:pPr>
        <w:pStyle w:val="Heading2"/>
        <w:spacing w:line="480" w:lineRule="auto"/>
      </w:pPr>
      <w:r>
        <w:t xml:space="preserve">Hypotheses</w:t>
      </w:r>
    </w:p>
    <w:p>
      <w:pPr>
        <w:pStyle w:val="FirstParagraph"/>
        <w:spacing w:line="480" w:lineRule="auto"/>
      </w:pPr>
      <w:r>
        <w:t xml:space="preserve">A small set of testable predictions falls out of the theory, each phrased so it could fail.</w:t>
      </w:r>
    </w:p>
    <w:p>
      <w:pPr>
        <w:pStyle w:val="BodyText"/>
        <w:spacing w:line="480" w:lineRule="auto"/>
        <w:ind w:firstLine="720"/>
      </w:pPr>
      <w:r>
        <w:t xml:space="preserve">The first is the central architecture hypothesis. Hold payload scale and dry-mass allowance fixed, and the nuclear indicator associates with a lower integer launch count. In the outcome model that reads as a negative and statistically clear coefficient on the nuclear flag. The pre-registered decision rule is one-sided: the null holds that at a thirty percent or greater dry-mass allowance the nuclear architecture fails to bring launches below the chemical baseline, and the alternative holds that it removes at least one full launch</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second set is the confounder predictions. Payload scale should carry a positive and significant coefficient, since larger payloads demand larger stacks and more launches. The dry-mass allowance should likewise carry a positive and significant coefficient, confirming the stressor does real work in the data rather than sitting inert. Were either control insignificant, the identification story would weaken, so these are genuine tests and not decoration.</w:t>
      </w:r>
    </w:p>
    <w:p>
      <w:pPr>
        <w:pStyle w:val="BodyText"/>
        <w:spacing w:line="480" w:lineRule="auto"/>
        <w:ind w:firstLine="720"/>
      </w:pPr>
      <w:r>
        <w:t xml:space="preserve">The third is the mechanism hypothesis. In the log-log mechanism model, the elasticity of mass ratio with respect to specific impulse should be negative, statistically clear, and sizable, consistent with the exponential form of the rocket equation. The theory expects an elasticity well off zero and a strong fit, because the underlying relationship is deterministic rather than noisy</w:t>
      </w:r>
      <w:r>
        <w:t xml:space="preserve"> </w:t>
      </w:r>
      <w:hyperlink w:anchor="ref-7">
        <w:r>
          <w:rPr>
            <w:rStyle w:val="Hyperlink"/>
          </w:rPr>
          <w:t xml:space="preserve">[7]</w:t>
        </w:r>
      </w:hyperlink>
      <w:r>
        <w:t xml:space="preserve">.</w:t>
      </w:r>
    </w:p>
    <w:p>
      <w:pPr>
        <w:pStyle w:val="BodyText"/>
        <w:spacing w:line="480" w:lineRule="auto"/>
        <w:ind w:firstLine="720"/>
      </w:pPr>
      <w:r>
        <w:t xml:space="preserve">The fourth is the convergence prediction. The two models should agree in direction. A negative nuclear launch-count effect together with a negative specific-impulse elasticity implies the architecture result is the discrete image of the physical mechanism. Disagreement, a launch-count effect without a supporting elasticity or the reverse, would flag the dataset construction rather than the physics as the driver, and it would weaken the contribution.</w:t>
      </w:r>
    </w:p>
    <w:bookmarkEnd w:id="86"/>
    <w:bookmarkStart w:id="87" w:name="X0694a5b4a44f764055f37ae7a432e1b9ea445ca"/>
    <w:p>
      <w:pPr>
        <w:pStyle w:val="Heading2"/>
        <w:spacing w:line="480" w:lineRule="auto"/>
      </w:pPr>
      <w:r>
        <w:t xml:space="preserve">The asymmetry that makes the advantage robust</w:t>
      </w:r>
    </w:p>
    <w:p>
      <w:pPr>
        <w:pStyle w:val="FirstParagraph"/>
        <w:spacing w:line="480" w:lineRule="auto"/>
      </w:pPr>
      <w:r>
        <w:t xml:space="preserve">One subtle point in the theory earns its own treatment. It explains why the nuclear advantage should outlast a dry-mass penalty rather than buckle under it. The dry-mass growth allowance acts on the inert mass of the stage, reactor, shield, structure, tankage. The specific-impulse advantage acts on the propellant mass through the exponent of the rocket equation. For a high-energy transfer the propellant term dominates transfer stack mass, since the exponential in the velocity change makes propellant scale faster than structure, so the two forces are not symmetric. A thirty percent swell in dry mass grows a term that is already the smaller share of the stack, while the specific-impulse advantage shrinks the term that is the larger share. The advantage therefore enjoys structural protection against the penalty, and the theory predicts it should persist across a wide margin range before dry-mass growth could plausibly overtake it.</w:t>
      </w:r>
    </w:p>
    <w:p>
      <w:pPr>
        <w:pStyle w:val="BodyText"/>
        <w:spacing w:line="480" w:lineRule="auto"/>
        <w:ind w:firstLine="720"/>
      </w:pPr>
      <w:r>
        <w:t xml:space="preserve">That asymmetry is why the study bills a thirty percent central stress and still expects the null to fall. Were the two forces pressing on the same term, a large enough penalty would always wipe the advantage out, and the test would degrade into a contest of assumed magnitudes. Because they press on different terms, and because the propellant term dominates at Mars transfer velocities, the advantage is qualitatively harder to erase than a naive comparison suggests. The prediction is not just that the advantage survives, but that it survives for a physically intelligible reason a critic can inspect and, disagreeing, stress further by driving the margin toward the fifty percent break-glass case, at which point the question stops being whether the advantage exists and becomes only how much inert-mass growth a real reactor and shield would have to accumulate to overtake a propellant term that starts out several times larger.</w:t>
      </w:r>
    </w:p>
    <w:bookmarkEnd w:id="87"/>
    <w:bookmarkStart w:id="88" w:name="what-a-null-result-would-have-meant"/>
    <w:p>
      <w:pPr>
        <w:pStyle w:val="Heading2"/>
        <w:spacing w:line="480" w:lineRule="auto"/>
      </w:pPr>
      <w:r>
        <w:t xml:space="preserve">What a null result would have meant</w:t>
      </w:r>
    </w:p>
    <w:p>
      <w:pPr>
        <w:pStyle w:val="FirstParagraph"/>
        <w:spacing w:line="480" w:lineRule="auto"/>
      </w:pPr>
      <w:r>
        <w:t xml:space="preserve">A well-formed test declares in advance what its failure would mean, and the theory here is explicit on the point.</w:t>
      </w:r>
    </w:p>
    <w:p>
      <w:pPr>
        <w:pStyle w:val="BodyText"/>
        <w:spacing w:line="480" w:lineRule="auto"/>
        <w:ind w:firstLine="720"/>
      </w:pPr>
      <w:r>
        <w:t xml:space="preserve">Had the outcome model handed back a nuclear coefficient near zero or wrongly signed at the thirty percent stress, the right reading would not be that the rocket equation is wrong, but that dry-mass growth in a real nuclear stage runs large enough to swallow the propellant advantage at the reference payloads considered. That would be a substantive and useful finding on its own. It would tell a program the mass case for nuclear propulsion rides on optimistic dry-mass bookkeeping and should yield to transit-time or abort arguments. The hypotheses are framed so either outcome teaches something, the mark of a test worth running rather than a demonstration rigged to succeed.</w:t>
      </w:r>
    </w:p>
    <w:p>
      <w:pPr>
        <w:pStyle w:val="BodyText"/>
        <w:spacing w:line="480" w:lineRule="auto"/>
        <w:ind w:firstLine="720"/>
      </w:pPr>
      <w:r>
        <w:t xml:space="preserve">A parallel failure condition rides on the mechanism model. Had the elasticity come back weak, or the fit poor, that would signal an error in how the rocket-equation rows were built rather than an intriguing empirical surprise, because the underlying relationship is deterministic and should fit tightly. The convergence prediction knots the two failure conditions together: a launch-count effect with no supporting elasticity would say the architecture dataset, not the physics, drove the outcome, and the contribution would weaken accordingly. Declaring these conditions before estimation is what turns the exercise from a hunt for a flattering number into a genuine test, and it is the discipline the remaining chapters honor.</w:t>
      </w:r>
    </w:p>
    <w:bookmarkEnd w:id="88"/>
    <w:bookmarkStart w:id="89" w:name="Xe0ac81fb627a1aa553970807c0b0399290ccfeb"/>
    <w:p>
      <w:pPr>
        <w:pStyle w:val="Heading2"/>
        <w:spacing w:line="480" w:lineRule="auto"/>
      </w:pPr>
      <w:r>
        <w:t xml:space="preserve">The propellant fraction as a second view of the mechanism</w:t>
      </w:r>
    </w:p>
    <w:p>
      <w:pPr>
        <w:pStyle w:val="FirstParagraph"/>
        <w:spacing w:line="480" w:lineRule="auto"/>
      </w:pPr>
      <w:r>
        <w:t xml:space="preserve">The theory restates cleanly through propellant fraction, and doing so sharpens the intuition behind the integer step. Propellant fraction is one minus the inverse of the mass ratio, and it names the share of a transfer stage that must be propellant. For a storable chemical stage at a high transfer velocity, that share climbs past three quarters of the stage, meaning most of what is lifted and assembled exists only to move the rest. For a nuclear thermal stage at the same velocity, the share falls to about a third. This is no marginal efficiency. It is the difference between a stage that is mostly tankage and propellant and one that is mostly useful mass. Sum that difference across an architecture, divide by a launch capacity, and it is what shoves the chemical stack over integer boundaries the nuclear stack never reaches.</w:t>
      </w:r>
    </w:p>
    <w:p>
      <w:pPr>
        <w:pStyle w:val="BodyText"/>
        <w:spacing w:line="480" w:lineRule="auto"/>
        <w:ind w:firstLine="720"/>
      </w:pPr>
      <w:r>
        <w:t xml:space="preserve">Casting the mechanism as propellant fraction also clarifies why the advantage compounds with mission energy. As transfer velocity climbs, the chemical propellant fraction nears a ceiling close to unity, where nearly the whole stage is propellant and each further increment of velocity turns brutally expensive in mass. The nuclear stage, running at higher specific impulse, stays well clear of that ceiling across the same velocity range, so the gap between the two propellant fractions opens wider as the mission grows more demanding, and the launch-count wedge widens with it. This is the earlier prediction again, that the advantage grows from one launch toward two as payload and energy rise, now expressed in the physical quantity a stage designer actually feels.</w:t>
      </w:r>
    </w:p>
    <w:bookmarkEnd w:id="89"/>
    <w:bookmarkStart w:id="90" w:name="boundary-conditions-of-the-theory"/>
    <w:p>
      <w:pPr>
        <w:pStyle w:val="Heading2"/>
        <w:spacing w:line="480" w:lineRule="auto"/>
      </w:pPr>
      <w:r>
        <w:t xml:space="preserve">Boundary conditions of the theory</w:t>
      </w:r>
    </w:p>
    <w:p>
      <w:pPr>
        <w:pStyle w:val="FirstParagraph"/>
        <w:spacing w:line="480" w:lineRule="auto"/>
      </w:pPr>
      <w:r>
        <w:t xml:space="preserve">A theory is only as useful as its stated boundaries, and this one has three the hypotheses must respect. The relation holds for high-thrust stages where the impulsive-burn approximation of the rocket equation applies; it does not describe low-thrust electric propulsion, where long spiral trajectories shatter the simple mass-ratio form and transit time rather than launch count binds</w:t>
      </w:r>
      <w:r>
        <w:t xml:space="preserve"> </w:t>
      </w:r>
      <w:hyperlink w:anchor="ref-17">
        <w:r>
          <w:rPr>
            <w:rStyle w:val="Hyperlink"/>
          </w:rPr>
          <w:t xml:space="preserve">[17]</w:t>
        </w:r>
      </w:hyperlink>
      <w:r>
        <w:t xml:space="preserve"> </w:t>
      </w:r>
      <w:hyperlink w:anchor="ref-21">
        <w:r>
          <w:rPr>
            <w:rStyle w:val="Hyperlink"/>
          </w:rPr>
          <w:t xml:space="preserve">[21]</w:t>
        </w:r>
      </w:hyperlink>
      <w:r>
        <w:t xml:space="preserve">. It holds for the conjunction-class transfer velocities the reference mission implies; opposition-class or short-stay profiles carry different velocity requirements and would demand their own sweep</w:t>
      </w:r>
      <w:r>
        <w:t xml:space="preserve"> </w:t>
      </w:r>
      <w:hyperlink w:anchor="ref-1">
        <w:r>
          <w:rPr>
            <w:rStyle w:val="Hyperlink"/>
          </w:rPr>
          <w:t xml:space="preserve">[1]</w:t>
        </w:r>
      </w:hyperlink>
      <w:r>
        <w:t xml:space="preserve">. And it takes specific impulse as the propulsion property that governs propellant burden, correct for mass yet silent on thrust-to-weight, boiloff, and engine qualification, all of which condition whether a given specific impulse is reachable in flight and none of which the mass accounting attempts to represent. The theory is a mass theory, and it claims only what a mass theory can.</w:t>
      </w:r>
    </w:p>
    <w:p>
      <w:pPr>
        <w:pStyle w:val="BodyText"/>
        <w:spacing w:line="480" w:lineRule="auto"/>
        <w:ind w:firstLine="720"/>
      </w:pPr>
      <w:r>
        <w:t xml:space="preserve">Naming these boundaries is not a hedge; it is what makes the hypotheses testable rather than vague. A prediction valid everywhere would be unfalsifiable, since any counterexample could be dismissed as out of scope after the fact. By fixing the scope in advance, to high-thrust nuclear thermal and chemical stages on conjunction-class Mars transfers judged on mass, the theory commits to a domain where it can be checked and, in principle, refuted. The next chapter’s estimators operate strictly inside that domain, and the results chapter reports outcomes the theory either called or did not, with no room to shift the goalposts once the coefficients are read, since the domain was declared before a single row was estimated and cannot be quietly widened to absorb an inconvenient result.</w:t>
      </w:r>
    </w:p>
    <w:p>
      <w:pPr>
        <w:pStyle w:val="BodyText"/>
        <w:spacing w:line="480" w:lineRule="auto"/>
        <w:ind w:firstLine="720"/>
      </w:pPr>
      <w:r>
        <w:t xml:space="preserve">Stating the theory as a chain of separable claims lets a reader locate exactly where they might part ways. One might accept the rocket equation but doubt the specific-impulse figures, or accept both but reject the aggregation convention, or accept all three but distrust the margin range. Each disagreement targets a different link, and each is separately testable by changing one input and recomputing. A theory built this way asks for no assent as a package; it invites inspection link by link, the fitting posture for a study whose evidence is derived rather than observed</w:t>
      </w:r>
      <w:r>
        <w:t xml:space="preserve"> </w:t>
      </w:r>
      <w:hyperlink w:anchor="ref-7">
        <w:r>
          <w:rPr>
            <w:rStyle w:val="Hyperlink"/>
          </w:rPr>
          <w:t xml:space="preserve">[7]</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These hypotheses are modest in scope and demanding in evidence by design. They do not claim nuclear propulsion is programmatically superior, only that its mass advantage yields a measurable launch-count reduction that outlives the two obvious confounders. They are stated in units a program office manifests, launches and mass ratios, so a reader can weigh the result against a budget and a schedule rather than a slogan. The methodology chapter now specifies the estimators that put these predictions to the test, and the results chapter reports what those estimators actually returned on the derived data.</w:t>
      </w:r>
    </w:p>
    <w:bookmarkEnd w:id="90"/>
    <w:bookmarkEnd w:id="91"/>
    <w:bookmarkStart w:id="100" w:name="methodology-and-identification"/>
    <w:p>
      <w:pPr>
        <w:pStyle w:val="Heading1"/>
        <w:spacing w:line="480" w:lineRule="auto"/>
      </w:pPr>
      <w:r>
        <w:t xml:space="preserve">Methodology and Identification</w:t>
      </w:r>
    </w:p>
    <w:p>
      <w:pPr>
        <w:pStyle w:val="FirstParagraph"/>
        <w:spacing w:line="480" w:lineRule="auto"/>
      </w:pPr>
      <w:r>
        <w:t xml:space="preserve">Two estimators bear the empirical weight of this dissertation, and both are chosen to be as transparent as the questions they answer.</w:t>
      </w:r>
    </w:p>
    <w:p>
      <w:pPr>
        <w:pStyle w:val="BodyText"/>
        <w:spacing w:line="480" w:lineRule="auto"/>
        <w:ind w:firstLine="720"/>
      </w:pPr>
      <w:r>
        <w:t xml:space="preserve">The first is an ordinary least squares regression of required launches on payload scale, dry-mass allowance, and a nuclear indicator, run with robust standard errors. The second is a log-log regression of mass ratio on specific impulse, which recovers an elasticity. Neither is exotic. That is deliberate. When the dataset is derived from published parameters rather than drawn from a population, credibility comes from the visibility of every step, not from statistical sophistication that could hide how the numbers were made. This chapter specifies both estimators, explains what identifies the effect in each, and sets the pre-registered decision rule.</w:t>
      </w:r>
    </w:p>
    <w:bookmarkStart w:id="92" w:name="the-outcome-estimator"/>
    <w:p>
      <w:pPr>
        <w:pStyle w:val="Heading2"/>
        <w:spacing w:line="480" w:lineRule="auto"/>
      </w:pPr>
      <w:r>
        <w:t xml:space="preserve">The outcome estimator</w:t>
      </w:r>
    </w:p>
    <w:p>
      <w:pPr>
        <w:pStyle w:val="FirstParagraph"/>
        <w:spacing w:line="480" w:lineRule="auto"/>
      </w:pPr>
      <w:r>
        <w:t xml:space="preserve">The launch-count model is specified as</w:t>
      </w:r>
    </w:p>
    <w:p>
      <w:pPr>
        <w:pStyle w:val="BodyText"/>
        <w:spacing w:line="480" w:lineRule="auto"/>
        <w:ind w:firstLine="720"/>
      </w:pPr>
      <w:r>
        <w:t xml:space="preserve">[</w:t>
      </w:r>
      <w:r>
        <w:t xml:space="preserve"> </w:t>
      </w:r>
      <w:r>
        <w:t xml:space="preserve">required_launches_i =</w:t>
      </w:r>
      <w:r>
        <w:t xml:space="preserve"> </w:t>
      </w:r>
      <w:r>
        <w:t xml:space="preserve">_0 +</w:t>
      </w:r>
      <w:r>
        <w:t xml:space="preserve"> </w:t>
      </w:r>
      <w:r>
        <w:t xml:space="preserve">_1 payload_t_i +</w:t>
      </w:r>
      <w:r>
        <w:t xml:space="preserve"> </w:t>
      </w:r>
      <w:r>
        <w:t xml:space="preserve">_2 stage_margin_pct_i +</w:t>
      </w:r>
      <w:r>
        <w:t xml:space="preserve"> </w:t>
      </w:r>
      <w:r>
        <w:t xml:space="preserve">_3 ntp_flag_i +</w:t>
      </w:r>
      <w:r>
        <w:t xml:space="preserve"> </w:t>
      </w:r>
      <w:r>
        <w:t xml:space="preserve">_i</w:t>
      </w:r>
      <w:r>
        <w:t xml:space="preserve"> </w:t>
      </w:r>
      <w:r>
        <w:t xml:space="preserve">]</w:t>
      </w:r>
    </w:p>
    <w:p>
      <w:pPr>
        <w:pStyle w:val="BodyText"/>
        <w:spacing w:line="480" w:lineRule="auto"/>
        <w:ind w:firstLine="720"/>
      </w:pPr>
      <w:r>
        <w:t xml:space="preserve">where the dependent variable is the integer count of heavy-lift launches needed to close row i, payload is the reference delivered payload in metric tons, stage margin is the dry-mass growth and integration allowance in percent, and the nuclear flag takes one for nuclear thermal propulsion and zero for all-chemical propulsion. The coefficient that matters is the one on the nuclear flag. Everything else is a control. A negative and statistically clear value says that, once payload scale and margin are held fixed, nuclear rows close with fewer launches than chemical rows.</w:t>
      </w:r>
    </w:p>
    <w:p>
      <w:pPr>
        <w:pStyle w:val="BodyText"/>
        <w:spacing w:line="480" w:lineRule="auto"/>
        <w:ind w:firstLine="720"/>
      </w:pPr>
      <w:r>
        <w:t xml:space="preserve">The dependent variable is worth a comment because it is unusual. Required launches is an integer. It comes from rounding a continuous mass figure up to the next whole launch at a fixed 130-ton heavy-lift capacity, following the reference architectures’ aggregation convention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 Running ordinary least squares on an integer outcome is not the textbook move, and a count or ordinal model could be defended. Least squares wins here on interpretability under a small, deterministic dataset. The coefficient on the nuclear flag reads straight off as an average change in launches, exactly what a program office wants, and robust standard errors guard against the heteroskedasticity that the ceiling operator and the spread of payloads inevitably breed, so the estimator answers the program’s question in the program’s unit without routing that answer through a link function whose scale a decision maker would then have to translate back into whole flights. The estimator is a measurement instrument for an architectural effect, not an attempt to model a stochastic data-generating process, and it is presented that way.</w:t>
      </w:r>
    </w:p>
    <w:p>
      <w:pPr>
        <w:pStyle w:val="BodyText"/>
        <w:spacing w:line="480" w:lineRule="auto"/>
        <w:ind w:firstLine="720"/>
      </w:pPr>
      <w:r>
        <w:t xml:space="preserve">What the estimator is built to test is declared in advance in the model configuration: robust ordinary least squares should recover a nuclear effect of about minus one and one-half heavy-lift launches at a p-value below one in a thousand, with payload and margin both positive and significant. Committing that expected result up front is what turns analysis into a test. Direction, rough magnitude, and significance threshold are locked before the coefficients come into view, so a null or a wrong-signed result would refute the claim rather than furnish something to explain away.</w:t>
      </w:r>
    </w:p>
    <w:bookmarkEnd w:id="92"/>
    <w:bookmarkStart w:id="93" w:name="the-mechanism-estimator"/>
    <w:p>
      <w:pPr>
        <w:pStyle w:val="Heading2"/>
        <w:spacing w:line="480" w:lineRule="auto"/>
      </w:pPr>
      <w:r>
        <w:t xml:space="preserve">The mechanism estimator</w:t>
      </w:r>
    </w:p>
    <w:p>
      <w:pPr>
        <w:pStyle w:val="FirstParagraph"/>
        <w:spacing w:line="480" w:lineRule="auto"/>
      </w:pPr>
      <w:r>
        <w:t xml:space="preserve">The mechanism model crosses to the physics side. It is specified as</w:t>
      </w:r>
    </w:p>
    <w:p>
      <w:pPr>
        <w:pStyle w:val="BodyText"/>
        <w:spacing w:line="480" w:lineRule="auto"/>
        <w:ind w:firstLine="720"/>
      </w:pPr>
      <w:r>
        <w:t xml:space="preserve">[</w:t>
      </w:r>
      <w:r>
        <w:t xml:space="preserve"> </w:t>
      </w:r>
      <w:r>
        <w:t xml:space="preserve">(mass_ratio_i) =</w:t>
      </w:r>
      <w:r>
        <w:t xml:space="preserve"> </w:t>
      </w:r>
      <w:r>
        <w:t xml:space="preserve">+</w:t>
      </w:r>
      <w:r>
        <w:t xml:space="preserve"> </w:t>
      </w:r>
      <w:r>
        <w:t xml:space="preserve">(isp_s_i) +</w:t>
      </w:r>
      <w:r>
        <w:t xml:space="preserve"> </w:t>
      </w:r>
      <w:r>
        <w:t xml:space="preserve">_i</w:t>
      </w:r>
      <w:r>
        <w:t xml:space="preserve"> </w:t>
      </w:r>
      <w:r>
        <w:t xml:space="preserve">]</w:t>
      </w:r>
    </w:p>
    <w:p>
      <w:pPr>
        <w:pStyle w:val="BodyText"/>
        <w:spacing w:line="480" w:lineRule="auto"/>
        <w:ind w:firstLine="720"/>
      </w:pPr>
      <w:r>
        <w:t xml:space="preserve">where mass ratio is the initial-over-final mass required for the transfer burn and specific impulse is in seconds. The coefficient beta is an elasticity, the percentage change in mass ratio for a one percent change in specific impulse. The log-log form suits the job because the underlying rocket equation is multiplicative in the relevant terms, so a constant elasticity is the natural summary rather than a unit-specific slope</w:t>
      </w:r>
      <w:r>
        <w:t xml:space="preserve"> </w:t>
      </w:r>
      <w:hyperlink w:anchor="ref-7">
        <w:r>
          <w:rPr>
            <w:rStyle w:val="Hyperlink"/>
          </w:rPr>
          <w:t xml:space="preserve">[7]</w:t>
        </w:r>
      </w:hyperlink>
      <w:r>
        <w:t xml:space="preserve">. Reporting an elasticity also travels well. It hangs on no particular units and no single transfer-velocity case; it captures the responsiveness of propellant burden to propulsion performance across the range of cases in the dataset.</w:t>
      </w:r>
    </w:p>
    <w:p>
      <w:pPr>
        <w:pStyle w:val="BodyText"/>
        <w:spacing w:line="480" w:lineRule="auto"/>
        <w:ind w:firstLine="720"/>
      </w:pPr>
      <w:r>
        <w:t xml:space="preserve">The configuration labels this a learning-curve estimator, and the label rewards unpacking so it is not misread. A production learning curve ties unit cost to cumulative output, its slope often summarized by a progress ratio, the fraction to which cost falls when output doubles. Here the same log-log machinery lands on a physical relationship rather than a production process. The progress-ratio statistic survives as a diagnostic, the fraction to which mass ratio falls when specific impulse doubles, but it is explicitly a physics elasticity, not a manufacturing learning effect. Holding that distinction sharp keeps the reader from smuggling production-economics intuitions into what is a deterministic rocket-equation result.</w:t>
      </w:r>
    </w:p>
    <w:p>
      <w:pPr>
        <w:pStyle w:val="BodyText"/>
        <w:spacing w:line="480" w:lineRule="auto"/>
        <w:ind w:firstLine="720"/>
      </w:pPr>
      <w:r>
        <w:t xml:space="preserve">The mechanism model’s pre-registered claim is likewise pinned in advance: the elasticity should land near minus eighty-five hundredths at a p-value below one in a thousand, with a strong fit, meaning mass ratio falls sharply as specific impulse rises. Because the rows are deterministic evaluations of the rocket equation, the model is expected to fit tightly, and a low fit or a weak coefficient would signal a construction error rather than an intriguing empirical surprise. The estimator is a check on the mechanism, held to the standard that its numbers reproduce from the workbook.</w:t>
      </w:r>
    </w:p>
    <w:bookmarkEnd w:id="93"/>
    <w:bookmarkStart w:id="94" w:name="Xcefd37abfa2f1d9fef0ba147ad00da8ede844fd"/>
    <w:p>
      <w:pPr>
        <w:pStyle w:val="Heading2"/>
        <w:spacing w:line="480" w:lineRule="auto"/>
      </w:pPr>
      <w:r>
        <w:t xml:space="preserve">Why the reference mission identifies the effect</w:t>
      </w:r>
    </w:p>
    <w:p>
      <w:pPr>
        <w:pStyle w:val="FirstParagraph"/>
        <w:spacing w:line="480" w:lineRule="auto"/>
      </w:pPr>
      <w:r>
        <w:t xml:space="preserve">In an observational study, identification means being able to pin a measured difference on the variable of interest rather than on something correlated with it.</w:t>
      </w:r>
    </w:p>
    <w:p>
      <w:pPr>
        <w:pStyle w:val="BodyText"/>
        <w:spacing w:line="480" w:lineRule="auto"/>
        <w:ind w:firstLine="720"/>
      </w:pPr>
      <w:r>
        <w:t xml:space="preserve">Here identification flows from holding the reference mission, the launch capacity, and the payload scale constant across the chemical and nuclear cases, so any difference in launch count traces to propulsion class and the imposed margin rather than to a hidden shift in the mission itself</w:t>
      </w:r>
      <w:r>
        <w:t xml:space="preserve"> </w:t>
      </w:r>
      <w:hyperlink w:anchor="ref-1">
        <w:r>
          <w:rPr>
            <w:rStyle w:val="Hyperlink"/>
          </w:rPr>
          <w:t xml:space="preserve">[1]</w:t>
        </w:r>
      </w:hyperlink>
      <w:r>
        <w:t xml:space="preserve">. The chemical and nuclear rows are cut from the same payload ladder and the same heavy-lift capacity. They differ in the propulsion-class mass multiplier and in the applied margin, precisely the variables in the model. The design is a controlled comparison run in a spreadsheet rather than a laboratory, but the logic matches: fix the environment, vary one thing, read the consequence.</w:t>
      </w:r>
    </w:p>
    <w:p>
      <w:pPr>
        <w:pStyle w:val="BodyText"/>
        <w:spacing w:line="480" w:lineRule="auto"/>
        <w:ind w:firstLine="720"/>
      </w:pPr>
      <w:r>
        <w:t xml:space="preserve">The dry-mass allowance is the second half of the identification story, and it is what makes the test demanding rather than flattering. Were the nuclear rows credited with optimistic dry masses, the launch-count advantage might be an artifact of generous bookkeeping. By entering margin as an explicit regressor and, in the central case, billing the nuclear stage a thirty percent growth allowance, the design forces the propulsion effect to outlast a realistic penalty imposed on exactly the mass the nuclear class is most often accused of underestimating. The coefficient on the nuclear flag is therefore read as the architecture effect net of payload scale and net of a stress applied to the very components, reactor, shield, and tankage, most prone to grow. That is the sense in which the effect is identified: it is what remains once the two obvious alternative explanations enter the model directly, and it is why a surviving coefficient cannot be waved away as either a payload difference or an accounting favor granted to the nuclear rows.</w:t>
      </w:r>
    </w:p>
    <w:p>
      <w:pPr>
        <w:pStyle w:val="BodyText"/>
        <w:spacing w:line="480" w:lineRule="auto"/>
        <w:ind w:firstLine="720"/>
      </w:pPr>
      <w:r>
        <w:t xml:space="preserve">An honest limit sits on this identification, and it belongs here rather than buried. The rows are derived, not observed, so identification proves the effect follows from the stated construction, not that it would appear in flown hardware. The design cannot foreclose that some real-world coupling absent from the model, boiloff dynamics, thrust-to-weight limits on trajectory, integration mass that scales nonlinearly, would move the result. What it can do, and does, is leave every assumption open to inspection so a critic can change one and recompute. That is the fitting standard for a study of a system never built, the standard the reachability and optimization literature already applies to comparable problems</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w:t>
      </w:r>
      <w:hyperlink w:anchor="ref-9">
        <w:r>
          <w:rPr>
            <w:rStyle w:val="Hyperlink"/>
          </w:rPr>
          <w:t xml:space="preserve">[9]</w:t>
        </w:r>
      </w:hyperlink>
      <w:r>
        <w:t xml:space="preserve">.</w:t>
      </w:r>
    </w:p>
    <w:bookmarkEnd w:id="94"/>
    <w:bookmarkStart w:id="95" w:name="X533ae7ea069f2772dad9619ba72f280f0333409"/>
    <w:p>
      <w:pPr>
        <w:pStyle w:val="Heading2"/>
        <w:spacing w:line="480" w:lineRule="auto"/>
      </w:pPr>
      <w:r>
        <w:t xml:space="preserve">Robustness and the pre-registered decision rule</w:t>
      </w:r>
    </w:p>
    <w:p>
      <w:pPr>
        <w:pStyle w:val="FirstParagraph"/>
        <w:spacing w:line="480" w:lineRule="auto"/>
      </w:pPr>
      <w:r>
        <w:t xml:space="preserve">The methodology is committed before the data is read, which is what lets the study fail. The decision rule for the central architecture hypothesis is one-sided. The null holds that at a dry-mass allowance of thirty percent or more the nuclear architecture fails to bring required launches below the chemical baseline; the alternative holds that it removes at least one full launch</w:t>
      </w:r>
      <w:r>
        <w:t xml:space="preserve"> </w:t>
      </w:r>
      <w:hyperlink w:anchor="ref-1">
        <w:r>
          <w:rPr>
            <w:rStyle w:val="Hyperlink"/>
          </w:rPr>
          <w:t xml:space="preserve">[1]</w:t>
        </w:r>
      </w:hyperlink>
      <w:r>
        <w:t xml:space="preserve">. The rule is judged at the central thirty percent stress case, with a fifty percent break-glass sensitivity reported alongside so the reader can see how much headroom the result carries.</w:t>
      </w:r>
    </w:p>
    <w:p>
      <w:pPr>
        <w:pStyle w:val="BodyText"/>
        <w:spacing w:line="480" w:lineRule="auto"/>
        <w:ind w:firstLine="720"/>
      </w:pPr>
      <w:r>
        <w:t xml:space="preserve">Several robustness moves are built into the design rather than bolted on afterward. Robust standard errors handle the heteroskedasticity that the ceiling operator and the payload spread introduce. The payload ladder runs wide, from the low tens to the mid-eighties of metric tons, so the nuclear effect is estimated across the trade space rather than at one convenient point, which guards against a result that holds only near a single boundary. Launch capacity stays fixed at 130 tons, and the study grants that a different heavy-lift class would shift the integer thresholds; the mass advantage generating the effect, though, is a property of the rocket equation and hangs on no particular capacity. The two-model strategy is itself the strongest robustness check, since the outcome model and the mechanism model must agree in direction, and where they do, the launch-count result is corroborated by the physics rather than resting on one dataset’s construction.</w:t>
      </w:r>
    </w:p>
    <w:bookmarkEnd w:id="95"/>
    <w:bookmarkStart w:id="96" w:name="X1f71f9bc7ebdf75ed57d9c1a0f73e593c23cffe"/>
    <w:p>
      <w:pPr>
        <w:pStyle w:val="Heading2"/>
        <w:spacing w:line="480" w:lineRule="auto"/>
      </w:pPr>
      <w:r>
        <w:t xml:space="preserve">On the choice of ordinary least squares for an integer outcome</w:t>
      </w:r>
    </w:p>
    <w:p>
      <w:pPr>
        <w:pStyle w:val="FirstParagraph"/>
        <w:spacing w:line="480" w:lineRule="auto"/>
      </w:pPr>
      <w:r>
        <w:t xml:space="preserve">Modeling an integer launch count with ordinary least squares rather than a count or ordinal estimator warrants a fuller defense, because a reviewer will raise it. Poisson and negative-binomial models are the standard tools for count outcomes, and an ordered-logit model would respect the discreteness of the launch ladder. Each would be defensible. Ordinary least squares is preferred here because the launch count is generated by no stochastic count process. It is generated by rounding a deterministic mass figure. There is no overdispersion to model and no latent rate parameter to recover. What a program office wants is the average change in whole launches attributable to the propulsion class, and the least-squares coefficient reads straight off as that average, in the native unit, with no link function to interpret through.</w:t>
      </w:r>
    </w:p>
    <w:p>
      <w:pPr>
        <w:pStyle w:val="BodyText"/>
        <w:spacing w:line="480" w:lineRule="auto"/>
        <w:ind w:firstLine="720"/>
      </w:pPr>
      <w:r>
        <w:t xml:space="preserve">Robust standard errors do the real inferential work here. The ceiling operator breeds heteroskedasticity by construction, since rows near an integer boundary behave differently from rows mid-band, and the payload ladder spreads the variance further. The robust covariance estimator absorbs that structure without imposing a distributional form the deterministic data lacks. The honest framing is that the estimator is a measurement instrument reporting an architectural effect in interpretable units, and that a count model would swap interpretability for a stochastic apparatus the data does not require. Where a reviewer prefers the count model, the underlying rows are available and the alternative can be run; the direction and rough magnitude of the propulsion effect are not fragile to that choice, because the deterministic mass construction drives them rather than the estimator’s error assumptions.</w:t>
      </w:r>
    </w:p>
    <w:bookmarkEnd w:id="96"/>
    <w:bookmarkStart w:id="97" w:name="X9723f2a5b12f4832e6b34e5e66fa12893d8ba5c"/>
    <w:p>
      <w:pPr>
        <w:pStyle w:val="Heading2"/>
        <w:spacing w:line="480" w:lineRule="auto"/>
      </w:pPr>
      <w:r>
        <w:t xml:space="preserve">The role of the elasticity as a cross-method check</w:t>
      </w:r>
    </w:p>
    <w:p>
      <w:pPr>
        <w:pStyle w:val="FirstParagraph"/>
        <w:spacing w:line="480" w:lineRule="auto"/>
      </w:pPr>
      <w:r>
        <w:t xml:space="preserve">The two estimators are picked not only for what each measures but for how each disciplines the other. Report only the launch-count model and a skeptic could argue the negative nuclear coefficient reflects nothing more than the mass multiplier assigned to nuclear rows during construction. The elasticity model answers that argument, and its methodological role weighs as much as its coefficient. Because it regresses mass ratio on specific impulse alone, with no architecture label and no launch count anywhere in sight, it recovers the physical relationship that justifies the multiplier in the first place</w:t>
      </w:r>
      <w:r>
        <w:t xml:space="preserve"> </w:t>
      </w:r>
      <w:hyperlink w:anchor="ref-7">
        <w:r>
          <w:rPr>
            <w:rStyle w:val="Hyperlink"/>
          </w:rPr>
          <w:t xml:space="preserve">[7]</w:t>
        </w:r>
      </w:hyperlink>
      <w:r>
        <w:t xml:space="preserve">. A steep negative elasticity says the nuclear multiplier is no arbitrary favor but the correct image of the rocket equation, so the second model does not merely echo the first but tests the assumption the first depends on, which is a stronger form of corroboration than a second run of the same regression on the same rows would ever provide. The two estimators thus close a loop, the outcome model reporting the architectural consequence and the mechanism model certifying that the consequence follows from physics rather than from bookkeeping.</w:t>
      </w:r>
    </w:p>
    <w:p>
      <w:pPr>
        <w:pStyle w:val="BodyText"/>
        <w:spacing w:line="480" w:lineRule="auto"/>
        <w:ind w:firstLine="720"/>
      </w:pPr>
      <w:r>
        <w:t xml:space="preserve">This cross-method design is the study’s chief defense against the charge that derived data can be built to yield any desired result. A single model on derived data is indeed open to that charge. Two models with different dependent variables and different functional forms, required to agree in direction, are far less so, because an analyst bent on manufacturing a launch-count result would also have to manufacture a matching elasticity from an independent construction, and the elasticity is pinned by a deterministic physical equation that leaves no room to fabricate. The identification argument therefore rests not only on holding the reference mission fixed but on the mutual constraint the two estimators impose. That mutual constraint is a deliberate feature of the design rather than a convenience, and it is why the dissertation runs two models instead of one.</w:t>
      </w:r>
    </w:p>
    <w:bookmarkEnd w:id="97"/>
    <w:bookmarkStart w:id="98" w:name="X6546c5b1925d5c74f876882dfd5abeef9a6c073"/>
    <w:p>
      <w:pPr>
        <w:pStyle w:val="Heading2"/>
        <w:spacing w:line="480" w:lineRule="auto"/>
      </w:pPr>
      <w:r>
        <w:t xml:space="preserve">Pre-registration as the guarantor of falsifiability</w:t>
      </w:r>
    </w:p>
    <w:p>
      <w:pPr>
        <w:pStyle w:val="FirstParagraph"/>
        <w:spacing w:line="480" w:lineRule="auto"/>
      </w:pPr>
      <w:r>
        <w:t xml:space="preserve">The methodology earns credibility only because its expectations are committed before the data is read, and this pre-registration deserves treatment as a formal component of the design rather than a rhetorical flourish. For the outcome model, the committed expectation is a nuclear coefficient near minus one and one-half launches, both controls positive and significant, and the nuclear effect significant at the one-in-a-thousand level</w:t>
      </w:r>
      <w:r>
        <w:t xml:space="preserve"> </w:t>
      </w:r>
      <w:hyperlink w:anchor="ref-1">
        <w:r>
          <w:rPr>
            <w:rStyle w:val="Hyperlink"/>
          </w:rPr>
          <w:t xml:space="preserve">[1]</w:t>
        </w:r>
      </w:hyperlink>
      <w:r>
        <w:t xml:space="preserve">. For the mechanism model, the committed expectation is an elasticity near minus eighty-five hundredths, significant at the same level, with a strong fit</w:t>
      </w:r>
      <w:r>
        <w:t xml:space="preserve"> </w:t>
      </w:r>
      <w:hyperlink w:anchor="ref-7">
        <w:r>
          <w:rPr>
            <w:rStyle w:val="Hyperlink"/>
          </w:rPr>
          <w:t xml:space="preserve">[7]</w:t>
        </w:r>
      </w:hyperlink>
      <w:r>
        <w:t xml:space="preserve">. These are no vague directional guesses. Each fixes a magnitude, a sign, and a significance threshold in advance. That is what lets the estimation disconfirm them.</w:t>
      </w:r>
    </w:p>
    <w:p>
      <w:pPr>
        <w:pStyle w:val="BodyText"/>
        <w:spacing w:line="480" w:lineRule="auto"/>
        <w:ind w:firstLine="720"/>
      </w:pPr>
      <w:r>
        <w:t xml:space="preserve">Pre-registration matters most for derived data, exactly where a critic’s suspicion runs highest. When rows are built rather than sampled, the worry is that the analyst tuned the construction until the wanted result showed up. Committing the expected coefficients before estimation, and committing the one-sided decision rule at the thirty percent stress case, strips out the degrees of freedom that would enable such tuning. Had the coefficients landed far from the committed values, the study would have had to report the miss rather than quietly retune the dataset. The reachability and optimization literature increasingly treats this kind of advance commitment as the fitting safeguard for model-based evidence, and the dissertation adopts it for the same reason</w:t>
      </w:r>
      <w:r>
        <w:t xml:space="preserve"> </w:t>
      </w:r>
      <w:hyperlink w:anchor="ref-19">
        <w:r>
          <w:rPr>
            <w:rStyle w:val="Hyperlink"/>
          </w:rPr>
          <w:t xml:space="preserve">[19]</w:t>
        </w:r>
      </w:hyperlink>
      <w:r>
        <w:t xml:space="preserve"> </w:t>
      </w:r>
      <w:hyperlink w:anchor="ref-10">
        <w:r>
          <w:rPr>
            <w:rStyle w:val="Hyperlink"/>
          </w:rPr>
          <w:t xml:space="preserve">[10]</w:t>
        </w:r>
      </w:hyperlink>
      <w:r>
        <w:t xml:space="preserve">.</w:t>
      </w:r>
    </w:p>
    <w:bookmarkEnd w:id="98"/>
    <w:bookmarkStart w:id="99" w:name="Xee32f97499132981fe45b6c07f7fae4f1b74116"/>
    <w:p>
      <w:pPr>
        <w:pStyle w:val="Heading2"/>
        <w:spacing w:line="480" w:lineRule="auto"/>
      </w:pPr>
      <w:r>
        <w:t xml:space="preserve">The estimators as instruments, not models of chance</w:t>
      </w:r>
    </w:p>
    <w:p>
      <w:pPr>
        <w:pStyle w:val="FirstParagraph"/>
        <w:spacing w:line="480" w:lineRule="auto"/>
      </w:pPr>
      <w:r>
        <w:t xml:space="preserve">A theme runs across the methodology: both estimators act as measurement instruments applied to deterministic constructions rather than as models of a stochastic data-generating process, and that framing changes how their output should be read. In conventional inference, a coefficient estimates a population parameter and its standard error quantifies sampling uncertainty. Here there is no population of flown Mars missions to sample and no sampling uncertainty in the usual sense. The rows are exact, so the standard errors quantify the consistency of the deterministic relationship across the parameter sweep rather than the noise of repeated measurement. A p-value below one in a thousand therefore says the relationship holds with high consistency across the swept rows, not that a null population effect has been ruled out by large samples.</w:t>
      </w:r>
    </w:p>
    <w:p>
      <w:pPr>
        <w:pStyle w:val="BodyText"/>
        <w:spacing w:line="480" w:lineRule="auto"/>
        <w:ind w:firstLine="720"/>
      </w:pPr>
      <w:r>
        <w:t xml:space="preserve">This is a subtle but important reframing, and the study interprets its numbers accordingly rather than borrowing the language of population inference wholesale. The nuclear coefficient reads as the average launch reduction the construction produces across the payload ladder, and the elasticity reads as the responsiveness of mass ratio to specific impulse across the velocity grid. Both are properties of the model under a documented sweep, and their significance certifies those properties are stable rather than fragile to the particular rows chosen. Treating the estimators as instruments keeps the interpretation honest and stops the study from overclaiming a population inference the derived design cannot support. The next chapter documents the data itself, the twenty derived rows per model, the variable construction, and the published sources every parameter is drawn from, so the estimator specifications given here can be traced to concrete, auditable observations.</w:t>
      </w:r>
    </w:p>
    <w:bookmarkEnd w:id="99"/>
    <w:bookmarkEnd w:id="100"/>
    <w:bookmarkStart w:id="109" w:name="data-and-measurement"/>
    <w:p>
      <w:pPr>
        <w:pStyle w:val="Heading1"/>
        <w:spacing w:line="480" w:lineRule="auto"/>
      </w:pPr>
      <w:r>
        <w:t xml:space="preserve">Data and Measurement</w:t>
      </w:r>
    </w:p>
    <w:p>
      <w:pPr>
        <w:pStyle w:val="FirstParagraph"/>
        <w:spacing w:line="480" w:lineRule="auto"/>
      </w:pPr>
      <w:r>
        <w:t xml:space="preserve">The empirical spine of this dissertation is two derived datasets, each of twenty rows, assembled entirely from published parameters and deterministic arithmetic. No row is a random draw. No row is a flown observation. Every value can be rebuilt from a source anchor and a stated transformation. This chapter documents both datasets in full, covering what each variable means, how it was constructed, where its numbers come from, and why derived data is a legitimate and, in this case, unavoidable basis for the tests that follow. The pledge throughout is that a reader who rejects an input can change it and recompute the output, since nothing hides inside a black box.</w:t>
      </w:r>
    </w:p>
    <w:bookmarkStart w:id="101" w:name="the-launch-count-dataset"/>
    <w:p>
      <w:pPr>
        <w:pStyle w:val="Heading2"/>
        <w:spacing w:line="480" w:lineRule="auto"/>
      </w:pPr>
      <w:r>
        <w:t xml:space="preserve">The launch-count dataset</w:t>
      </w:r>
    </w:p>
    <w:p>
      <w:pPr>
        <w:pStyle w:val="FirstParagraph"/>
        <w:spacing w:line="480" w:lineRule="auto"/>
      </w:pPr>
      <w:r>
        <w:t xml:space="preserve">The outcome side rests on twenty rows. Ten stand for chemical architecture closures and ten for nuclear thermal closures, paired across a shared payload ladder so the two propulsion classes meet on identical mission scales. Payload scale runs from 40 metric tons to 85 metric tons in five-ton steps. The dry-mass growth and integration allowance runs from 0 percent to 45 percent. Each chemical row carries a specific impulse of 450 seconds, standing for cryogenic chemical propulsion, and each nuclear row carries 900 seconds, standing for the nuclear thermal reference class</w:t>
      </w:r>
      <w:r>
        <w:t xml:space="preserve"> </w:t>
      </w:r>
      <w:hyperlink w:anchor="ref-6">
        <w:r>
          <w:rPr>
            <w:rStyle w:val="Hyperlink"/>
          </w:rPr>
          <w:t xml:space="preserve">[6]</w:t>
        </w:r>
      </w:hyperlink>
      <w:r>
        <w:t xml:space="preserve"> </w:t>
      </w:r>
      <w:hyperlink w:anchor="ref-7">
        <w:r>
          <w:rPr>
            <w:rStyle w:val="Hyperlink"/>
          </w:rPr>
          <w:t xml:space="preserve">[7]</w:t>
        </w:r>
      </w:hyperlink>
      <w:r>
        <w:t xml:space="preserve">. Launch capacity holds at 130 metric tons for every row.</w:t>
      </w:r>
    </w:p>
    <w:p>
      <w:pPr>
        <w:pStyle w:val="BodyText"/>
        <w:spacing w:line="480" w:lineRule="auto"/>
        <w:ind w:firstLine="720"/>
      </w:pPr>
      <w:r>
        <w:t xml:space="preserve">The dependent variable, required launches, is the integer count of heavy-lift flights needed to close the row. It is the ceiling of the estimated transfer stack mass divided by the 130-ton launch capacity, following the reference-architecture aggregation convention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intermediate quantity, transfer stack mass in tons, is the payload times a propulsion-class mass multiplier and the dry-mass allowance. The chemical multiplier runs larger than the nuclear one because, for the same transfer velocity, a 450-second stage hauls far more propellant than a 900-second stage, exactly as the rocket equation demands. This is where physics enters the launch-count data: the nuclear rows inherit a lower transfer-mass multiplier not by fiat but because their higher specific impulse lowers the mass ratio.</w:t>
      </w:r>
    </w:p>
    <w:p>
      <w:pPr>
        <w:pStyle w:val="BodyText"/>
        <w:spacing w:line="480" w:lineRule="auto"/>
        <w:ind w:firstLine="720"/>
      </w:pPr>
      <w:r>
        <w:t xml:space="preserve">The rows cover a wide and informative range. At the low end, a chemical architecture at 40 tons of payload with zero margin builds a transfer stack of 326.0 tons and closes in 3 launches, while its nuclear counterpart builds 222.0 tons and closes in 2 launches. At the high end, a chemical architecture at 85 tons of payload with a 45 percent margin builds a transfer stack of 1004.5 tons and needs 8 launches, while the matched nuclear row builds 684.0 tons and needs 6 launches. Between those extremes the gap shifts, sometimes one launch and sometimes two, the integer step behavior the theory called. A representative middle case sits at 55 tons and 30 percent margin, where the chemical stack is 582.7 tons for 5 launches and the nuclear stack is 396.8 tons for 4 launches, a one-launch separation that the outcome regression later reads as part of the average nuclear effect and that a program office would read as one integration campaign it no longer has to staff, rehearse, and fly.</w:t>
      </w:r>
    </w:p>
    <w:p>
      <w:pPr>
        <w:pStyle w:val="BodyText"/>
        <w:spacing w:line="480" w:lineRule="auto"/>
        <w:ind w:firstLine="720"/>
      </w:pPr>
      <w:r>
        <w:t xml:space="preserve">The dry-mass allowance is not cosmetic. It is the stressor that keeps the comparison honest. Because it is applied to transfer stack mass, higher margins drive more rows over integer launch boundaries, and they do so for both propulsion classes. The dataset deliberately holds high-margin rows precisely so the nuclear advantage is tested where dry-mass growth bites hardest rather than only where it barely registers. A dataset that billed no margin would have flattered the nuclear class. This one bills margins up to 45 percent and still records the row-by-row launch counts.</w:t>
      </w:r>
    </w:p>
    <w:p>
      <w:pPr>
        <w:pStyle w:val="BodyText"/>
        <w:spacing w:line="480" w:lineRule="auto"/>
        <w:ind w:firstLine="720"/>
      </w:pPr>
      <w:r>
        <w:t xml:space="preserve">Source anchors for the launch-count dataset show up in every row. The chemical closures use the Salotti launcher-size optimization as the all-chemical anchor</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nuclear closures use the high specific-impulse propulsion context from the rapid-Mars literature and the nuclear-propulsion literature as the technology-class anchor</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aggregation logic, dividing transfer stack mass by heavy-lift capacity and rounding up, follows the NASA Design Reference Architecture family</w:t>
      </w:r>
      <w:r>
        <w:t xml:space="preserve"> </w:t>
      </w:r>
      <w:hyperlink w:anchor="ref-4">
        <w:r>
          <w:rPr>
            <w:rStyle w:val="Hyperlink"/>
          </w:rPr>
          <w:t xml:space="preserve">[4]</w:t>
        </w:r>
      </w:hyperlink>
      <w:r>
        <w:t xml:space="preserve"> </w:t>
      </w:r>
      <w:hyperlink w:anchor="ref-5">
        <w:r>
          <w:rPr>
            <w:rStyle w:val="Hyperlink"/>
          </w:rPr>
          <w:t xml:space="preserve">[5]</w:t>
        </w:r>
      </w:hyperlink>
      <w:r>
        <w:t xml:space="preserve">. Each row’s provenance field names these anchors and states the deterministic construction, so the dataset is a documented derivation rather than an assertion.</w:t>
      </w:r>
    </w:p>
    <w:bookmarkEnd w:id="101"/>
    <w:bookmarkStart w:id="102" w:name="the-mass-ratio-dataset"/>
    <w:p>
      <w:pPr>
        <w:pStyle w:val="Heading2"/>
        <w:spacing w:line="480" w:lineRule="auto"/>
      </w:pPr>
      <w:r>
        <w:t xml:space="preserve">The mass-ratio dataset</w:t>
      </w:r>
    </w:p>
    <w:p>
      <w:pPr>
        <w:pStyle w:val="FirstParagraph"/>
        <w:spacing w:line="480" w:lineRule="auto"/>
      </w:pPr>
      <w:r>
        <w:t xml:space="preserve">The mechanism dataset mirrors the outcome side and also holds twenty rows, built to test the physics beneath the launch-count result. It evaluates four propulsion classes across five Mars transfer velocity cases. The classes are storable chemical at 320 seconds, cryogenic chemical at 450 seconds, a nuclear thermal lower bound at 850 seconds, and a nuclear thermal reference at 900 seconds. The five transfer-stage velocity cases are 3.6, 4.0, 4.4, 4.8, and 5.2 kilometers per second, chosen to bracket moderate to high-energy Earth-Mars transfer requirements aligned with the Salotti and rapid-Mars mission contexts</w:t>
      </w:r>
      <w:r>
        <w:t xml:space="preserve"> </w:t>
      </w:r>
      <w:hyperlink w:anchor="ref-1">
        <w:r>
          <w:rPr>
            <w:rStyle w:val="Hyperlink"/>
          </w:rPr>
          <w:t xml:space="preserve">[1]</w:t>
        </w:r>
      </w:hyperlink>
      <w:r>
        <w:t xml:space="preserve"> </w:t>
      </w:r>
      <w:hyperlink w:anchor="ref-2">
        <w:r>
          <w:rPr>
            <w:rStyle w:val="Hyperlink"/>
          </w:rPr>
          <w:t xml:space="preserve">[2]</w:t>
        </w:r>
      </w:hyperlink>
      <w:r>
        <w:t xml:space="preserve">. Four classes across five cases give the twenty rows.</w:t>
      </w:r>
    </w:p>
    <w:p>
      <w:pPr>
        <w:pStyle w:val="BodyText"/>
        <w:spacing w:line="480" w:lineRule="auto"/>
        <w:ind w:firstLine="720"/>
      </w:pPr>
      <w:r>
        <w:t xml:space="preserve">The dependent variable, mass ratio, is the initial-over-final mass required for the transfer burn. It comes straight from the Tsiolkovsky rocket equation using the case velocity change, standard gravity at 9.80665 meters per second squared, and the class specific impulse</w:t>
      </w:r>
      <w:r>
        <w:t xml:space="preserve"> </w:t>
      </w:r>
      <w:hyperlink w:anchor="ref-7">
        <w:r>
          <w:rPr>
            <w:rStyle w:val="Hyperlink"/>
          </w:rPr>
          <w:t xml:space="preserve">[7]</w:t>
        </w:r>
      </w:hyperlink>
      <w:r>
        <w:t xml:space="preserve">. A derived variable, propellant fraction, is one minus the inverse of the mass ratio, expressing the same information as the share of stage mass that must be propellant. Because the calculation is deterministic, the workbook rather than the prose is the primary record. A reader can audit the exact exponent used for every one of the twenty rows.</w:t>
      </w:r>
    </w:p>
    <w:p>
      <w:pPr>
        <w:pStyle w:val="BodyText"/>
        <w:spacing w:line="480" w:lineRule="auto"/>
        <w:ind w:firstLine="720"/>
      </w:pPr>
      <w:r>
        <w:t xml:space="preserve">The rows lay the mechanism bare. At the 4.4 kilometer per second case, the storable chemical class at 320 seconds needs a mass ratio of 4.063765, a propellant fraction near 0.754, while the nuclear reference class at 900 seconds needs a mass ratio of only 1.646296, a propellant fraction near 0.393. The nuclear stage in that case carries roughly half the propellant fraction of the storable chemical stage for the identical velocity change. The same contrast holds across all five velocity cases: at 3.6 kilometers per second the storable chemical mass ratio is 3.149302 against the nuclear reference 1.503636, and at the high 5.2 kilometer per second case it is 5.243760 against 1.802491. As transfer velocity rises, the chemical mass ratio climbs steeply while the nuclear one climbs gently, the exponential penalty pressing on the low specific-impulse classes and sparing the high ones, which is the whole reason a nuclear stack lands lighter than a chemical stack at every rung of the payload ladder.</w:t>
      </w:r>
    </w:p>
    <w:bookmarkEnd w:id="102"/>
    <w:bookmarkStart w:id="103" w:name="Xee78599b71369b54c0346a1c1617ebce4f58eea"/>
    <w:p>
      <w:pPr>
        <w:pStyle w:val="Heading2"/>
        <w:spacing w:line="480" w:lineRule="auto"/>
      </w:pPr>
      <w:r>
        <w:t xml:space="preserve">Measurement choices and their justification</w:t>
      </w:r>
    </w:p>
    <w:p>
      <w:pPr>
        <w:pStyle w:val="FirstParagraph"/>
        <w:spacing w:line="480" w:lineRule="auto"/>
      </w:pPr>
      <w:r>
        <w:t xml:space="preserve">Several measurement decisions shape both datasets and deserve plain statement.</w:t>
      </w:r>
    </w:p>
    <w:p>
      <w:pPr>
        <w:pStyle w:val="BodyText"/>
        <w:spacing w:line="480" w:lineRule="auto"/>
        <w:ind w:firstLine="720"/>
      </w:pPr>
      <w:r>
        <w:t xml:space="preserve">Fixing 900 seconds for the nuclear reference and 450 seconds for the cryogenic chemical class reflects the standing claim in the nuclear-propulsion literature that nuclear thermal systems deliver roughly twice the specific impulse of chemical systems, and both values come from published propulsion-class figures rather than invention</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130-ton heavy-lift capacity is a fixed convention that lets the two propulsion classes share one integer axis; it is owned as a choice, and a different capacity would shift the integer thresholds without touching the underlying mass advantage. The velocity cases in the mechanism dataset are stress cases, not an optimized trajectory model, and they wear that label so no reader mistakes them for a mission design.</w:t>
      </w:r>
    </w:p>
    <w:p>
      <w:pPr>
        <w:pStyle w:val="BodyText"/>
        <w:spacing w:line="480" w:lineRule="auto"/>
        <w:ind w:firstLine="720"/>
      </w:pPr>
      <w:r>
        <w:t xml:space="preserve">The single most important measurement point is that both datasets are deterministic derivations. That is a genuine limitation. It is the honest one to foreground. Nobody has assembled a crewed Mars architecture, so there are no flown launch counts and no flown transfer-stage mass ratios to sample. The alternative to derived data is not better data. It is no data. Under that constraint, the study favors provenance and reproducibility over sample realism, the same epistemic bargain the reachability and mission-design literature has already accepted for systems that resist direct observation</w:t>
      </w:r>
      <w:r>
        <w:t xml:space="preserve"> </w:t>
      </w:r>
      <w:hyperlink w:anchor="ref-10">
        <w:r>
          <w:rPr>
            <w:rStyle w:val="Hyperlink"/>
          </w:rPr>
          <w:t xml:space="preserve">[10]</w:t>
        </w:r>
      </w:hyperlink>
      <w:r>
        <w:t xml:space="preserve"> </w:t>
      </w:r>
      <w:hyperlink w:anchor="ref-9">
        <w:r>
          <w:rPr>
            <w:rStyle w:val="Hyperlink"/>
          </w:rPr>
          <w:t xml:space="preserve">[9]</w:t>
        </w:r>
      </w:hyperlink>
      <w:r>
        <w:t xml:space="preserve"> </w:t>
      </w:r>
      <w:hyperlink w:anchor="ref-19">
        <w:r>
          <w:rPr>
            <w:rStyle w:val="Hyperlink"/>
          </w:rPr>
          <w:t xml:space="preserve">[19]</w:t>
        </w:r>
      </w:hyperlink>
      <w:r>
        <w:t xml:space="preserve">. The rows are not claimed as observations of the world. They are claimed as transparent consequences of published parameters and stated physics, a claim a critic can check line by line.</w:t>
      </w:r>
    </w:p>
    <w:bookmarkEnd w:id="103"/>
    <w:bookmarkStart w:id="104" w:name="X69c25cae10c32edef2ab583e8959fb50ccac281"/>
    <w:p>
      <w:pPr>
        <w:pStyle w:val="Heading2"/>
        <w:spacing w:line="480" w:lineRule="auto"/>
      </w:pPr>
      <w:r>
        <w:t xml:space="preserve">Sample, provenance, and what the data cannot supply</w:t>
      </w:r>
    </w:p>
    <w:p>
      <w:pPr>
        <w:pStyle w:val="FirstParagraph"/>
        <w:spacing w:line="480" w:lineRule="auto"/>
      </w:pPr>
      <w:r>
        <w:t xml:space="preserve">Each dataset holds a sample size of twenty. That is small, and it suits the design.</w:t>
      </w:r>
    </w:p>
    <w:p>
      <w:pPr>
        <w:pStyle w:val="BodyText"/>
        <w:spacing w:line="480" w:lineRule="auto"/>
        <w:ind w:firstLine="720"/>
      </w:pPr>
      <w:r>
        <w:t xml:space="preserve">The rows are not a sample from a population whose variance must be estimated; they are a structured sweep across a payload ladder and a velocity grid, arranged to expose the launch-count step behavior and the mass-ratio curve. Statistical significance in this setting reflects the strength and consistency of a deterministic relationship, not sampling uncertainty in the usual sense, and the interpretation chapter treats it that way rather than overclaiming from a small n.</w:t>
      </w:r>
    </w:p>
    <w:p>
      <w:pPr>
        <w:pStyle w:val="BodyText"/>
        <w:spacing w:line="480" w:lineRule="auto"/>
        <w:ind w:firstLine="720"/>
      </w:pPr>
      <w:r>
        <w:t xml:space="preserve">Provenance discipline is the dataset’s chief defense. Every row in both files names its source anchors and states its deterministic construction, so the datasets function as auditable derivations rather than assertions to be trusted. What the data cannot supply is also clear, and it is not hidden. It cannot capture boiloff of cryogenic hydrogen over a long transfer, thrust-to-weight constraints that shape achievable trajectories, integration mass that may scale nonlinearly with stack size, or the licensing and ground-test realities that attach to a real nuclear stage. Those omissions are why the results chapter reports a narrow mass-and-launch-count finding and the discussion chapter keeps the conclusion bounded.</w:t>
      </w:r>
    </w:p>
    <w:bookmarkEnd w:id="104"/>
    <w:bookmarkStart w:id="105" w:name="how-the-two-datasets-connect"/>
    <w:p>
      <w:pPr>
        <w:pStyle w:val="Heading2"/>
        <w:spacing w:line="480" w:lineRule="auto"/>
      </w:pPr>
      <w:r>
        <w:t xml:space="preserve">How the two datasets connect</w:t>
      </w:r>
    </w:p>
    <w:p>
      <w:pPr>
        <w:pStyle w:val="FirstParagraph"/>
        <w:spacing w:line="480" w:lineRule="auto"/>
      </w:pPr>
      <w:r>
        <w:t xml:space="preserve">The two datasets are not independent exhibits; they are the outcome side and the mechanism side of one physical story, and the connection between them is worth making explicit because the credibility of the convergence claim in a later chapter depends on it. The launch-count dataset hands each nuclear row a lower transfer-mass multiplier than its chemical counterpart, and that multiplier is no free parameter. It is the direct consequence of the mass-ratio relationship the mechanism dataset tabulates row by row. When the mechanism dataset records that a 900-second nuclear stage needs a mass ratio of 1.646296 at 4.4 kilometers per second while a 320-second storable chemical stage needs 4.063765 at the same velocity, it is documenting exactly why the nuclear rows in the launch-count dataset carry lighter stacks</w:t>
      </w:r>
      <w:r>
        <w:t xml:space="preserve"> </w:t>
      </w:r>
      <w:hyperlink w:anchor="ref-7">
        <w:r>
          <w:rPr>
            <w:rStyle w:val="Hyperlink"/>
          </w:rPr>
          <w:t xml:space="preserve">[7]</w:t>
        </w:r>
      </w:hyperlink>
      <w:r>
        <w:t xml:space="preserve">. The two files are therefore joined through the rocket equation: the mechanism dataset supplies the physical coefficient, and the launch-count dataset carries it into whole launches.</w:t>
      </w:r>
    </w:p>
    <w:p>
      <w:pPr>
        <w:pStyle w:val="BodyText"/>
        <w:spacing w:line="480" w:lineRule="auto"/>
        <w:ind w:firstLine="720"/>
      </w:pPr>
      <w:r>
        <w:t xml:space="preserve">That linkage is what lets the results chapter claim convergence rather than coincidence. A reader can follow a single nuclear advantage from the mass-ratio table, through the transfer-mass multiplier, into the integer launch count, and back out as a coefficient in the outcome model, and nothing in that chain is hidden. The mass ratios are Tsiolkovsky evaluations, the multipliers follow from them, the launch counts are ceilings of the resulting stack masses, and the regression coefficients summarize the pattern. The datasets were built so that trace is possible, since a study whose two empirical pillars could not be reconciled row by row would not deserve to call its two results a single finding.</w:t>
      </w:r>
    </w:p>
    <w:bookmarkEnd w:id="105"/>
    <w:bookmarkStart w:id="106" w:name="X8fda06e9e57188eda8c9b24678d4e1b4eea66ce"/>
    <w:p>
      <w:pPr>
        <w:pStyle w:val="Heading2"/>
        <w:spacing w:line="480" w:lineRule="auto"/>
      </w:pPr>
      <w:r>
        <w:t xml:space="preserve">Reproducibility as the measurement standard</w:t>
      </w:r>
    </w:p>
    <w:p>
      <w:pPr>
        <w:pStyle w:val="FirstParagraph"/>
        <w:spacing w:line="480" w:lineRule="auto"/>
      </w:pPr>
      <w:r>
        <w:t xml:space="preserve">Because the datasets are deterministic, the right standard of quality is reproducibility rather than accuracy against an unobservable ground truth. A reader holding the published specific impulses, the transfer velocities, standard gravity, the payload ladder, and the heavy-lift capacity can regenerate every value in both files. That property is the measurement guarantee this study offers in place of the calibration and error analysis a flown dataset would need. The mass ratios check against a hand computation of the rocket equation. The launch counts check by dividing stack mass by capacity and rounding. The regression outputs check by rerunning the estimators on the regenerated rows. At no point must the reader trust a number they cannot recompute, and that is the sense in which provenance stands in for observation.</w:t>
      </w:r>
    </w:p>
    <w:p>
      <w:pPr>
        <w:pStyle w:val="BodyText"/>
        <w:spacing w:line="480" w:lineRule="auto"/>
        <w:ind w:firstLine="720"/>
      </w:pPr>
      <w:r>
        <w:t xml:space="preserve">The measurement philosophy carries a cost the study accepts openly. Reproducibility guarantees internal consistency, not external validity, and a perfectly reproducible dataset built on a wrong assumption yields a perfectly reproducible wrong answer. The defense against that failure mode is the sourcing discipline: the specific impulses come from the propulsion literature, the aggregation convention from the reference architectures, and the mission context from the chemical and rapid-Mars studies, so the assumptions are not arbitrary even though they are choices</w:t>
      </w:r>
      <w:r>
        <w:t xml:space="preserve"> </w:t>
      </w:r>
      <w:hyperlink w:anchor="ref-6">
        <w:r>
          <w:rPr>
            <w:rStyle w:val="Hyperlink"/>
          </w:rPr>
          <w:t xml:space="preserve">[6]</w:t>
        </w:r>
      </w:hyperlink>
      <w:r>
        <w:t xml:space="preserve"> </w:t>
      </w:r>
      <w:hyperlink w:anchor="ref-4">
        <w:r>
          <w:rPr>
            <w:rStyle w:val="Hyperlink"/>
          </w:rPr>
          <w:t xml:space="preserve">[4]</w:t>
        </w:r>
      </w:hyperlink>
      <w:r>
        <w:t xml:space="preserve"> </w:t>
      </w:r>
      <w:hyperlink w:anchor="ref-1">
        <w:r>
          <w:rPr>
            <w:rStyle w:val="Hyperlink"/>
          </w:rPr>
          <w:t xml:space="preserve">[1]</w:t>
        </w:r>
      </w:hyperlink>
      <w:r>
        <w:t xml:space="preserve"> </w:t>
      </w:r>
      <w:hyperlink w:anchor="ref-2">
        <w:r>
          <w:rPr>
            <w:rStyle w:val="Hyperlink"/>
          </w:rPr>
          <w:t xml:space="preserve">[2]</w:t>
        </w:r>
      </w:hyperlink>
      <w:r>
        <w:t xml:space="preserve">. The reader who distrusts a particular input is invited to swap it and watch the effect, the strongest form of engagement a derived dataset can offer.</w:t>
      </w:r>
    </w:p>
    <w:bookmarkEnd w:id="106"/>
    <w:bookmarkStart w:id="107" w:name="Xa27790a152bf4b6ed64ff037e2ccf9df9e52a32"/>
    <w:p>
      <w:pPr>
        <w:pStyle w:val="Heading2"/>
        <w:spacing w:line="480" w:lineRule="auto"/>
      </w:pPr>
      <w:r>
        <w:t xml:space="preserve">Variable construction in step-by-step detail</w:t>
      </w:r>
    </w:p>
    <w:p>
      <w:pPr>
        <w:pStyle w:val="FirstParagraph"/>
        <w:spacing w:line="480" w:lineRule="auto"/>
      </w:pPr>
      <w:r>
        <w:t xml:space="preserve">Walking a single row through its full construction is worth the space, so no part of the pipeline stays opaque.</w:t>
      </w:r>
    </w:p>
    <w:p>
      <w:pPr>
        <w:pStyle w:val="BodyText"/>
        <w:spacing w:line="480" w:lineRule="auto"/>
        <w:ind w:firstLine="720"/>
      </w:pPr>
      <w:r>
        <w:t xml:space="preserve">Take the nuclear thermal row at 55 tons of payload and 30 percent margin. Specific impulse is fixed at 900 seconds from the nuclear reference class</w:t>
      </w:r>
      <w:r>
        <w:t xml:space="preserve"> </w:t>
      </w:r>
      <w:hyperlink w:anchor="ref-6">
        <w:r>
          <w:rPr>
            <w:rStyle w:val="Hyperlink"/>
          </w:rPr>
          <w:t xml:space="preserve">[6]</w:t>
        </w:r>
      </w:hyperlink>
      <w:r>
        <w:t xml:space="preserve">. The propulsion-class mass multiplier, which encodes the rocket-equation propellant burden for the nuclear class at the reference transfer velocity, applies to the 55-ton payload, and the 30 percent dry-mass and integration allowance stacks on top. The result is a transfer stack mass of 396.8 tons, recorded in the row. That stack then divides by the 130-ton heavy-lift capacity, yielding 3.05, which the ceiling operator rounds up to 4 required launches</w:t>
      </w:r>
      <w:r>
        <w:t xml:space="preserve"> </w:t>
      </w:r>
      <w:hyperlink w:anchor="ref-4">
        <w:r>
          <w:rPr>
            <w:rStyle w:val="Hyperlink"/>
          </w:rPr>
          <w:t xml:space="preserve">[4]</w:t>
        </w:r>
      </w:hyperlink>
      <w:r>
        <w:t xml:space="preserve">. Its chemical counterpart at the same payload and margin, carrying the heavier chemical multiplier, builds a 582.7-ton stack that rounds up to 5. The one-launch difference at this row is the finding in miniature.</w:t>
      </w:r>
    </w:p>
    <w:p>
      <w:pPr>
        <w:pStyle w:val="BodyText"/>
        <w:spacing w:line="480" w:lineRule="auto"/>
        <w:ind w:firstLine="720"/>
      </w:pPr>
      <w:r>
        <w:t xml:space="preserve">Every row in the launch-count dataset is built by this identical procedure, varying only payload, margin, and propulsion class, which is what makes the twenty rows a controlled sweep rather than a heap of unrelated point designs. The mass-ratio dataset is built by the parallel Tsiolkovsky procedure: fix the transfer velocity and the class specific impulse, evaluate the exponential, and record the mass ratio and its derived propellant fraction. The 4.4 kilometer per second nuclear reference row, for instance, evaluates the exponential of 4400 divided by the product of 9.80665 and 900, giving a mass ratio of 1.646296 and a propellant fraction near 0.393</w:t>
      </w:r>
      <w:r>
        <w:t xml:space="preserve"> </w:t>
      </w:r>
      <w:hyperlink w:anchor="ref-7">
        <w:r>
          <w:rPr>
            <w:rStyle w:val="Hyperlink"/>
          </w:rPr>
          <w:t xml:space="preserve">[7]</w:t>
        </w:r>
      </w:hyperlink>
      <w:r>
        <w:t xml:space="preserve">. Documenting a row to this depth pays off because a reader can pick any other row and repeat the arithmetic, confirming the datasets are derivations and not assertions.</w:t>
      </w:r>
    </w:p>
    <w:bookmarkEnd w:id="107"/>
    <w:bookmarkStart w:id="108" w:name="Xea20d2a3c483d0d2eb17c9d484a1315f6c835fa"/>
    <w:p>
      <w:pPr>
        <w:pStyle w:val="Heading2"/>
        <w:spacing w:line="480" w:lineRule="auto"/>
      </w:pPr>
      <w:r>
        <w:t xml:space="preserve">Why twenty rows are enough for this design</w:t>
      </w:r>
    </w:p>
    <w:p>
      <w:pPr>
        <w:pStyle w:val="FirstParagraph"/>
        <w:spacing w:line="480" w:lineRule="auto"/>
      </w:pPr>
      <w:r>
        <w:t xml:space="preserve">The sample size warrants one more defense, since it is the objection a reviewer raises first and the one the design most deliberately answers. Twenty rows would be inadequate for estimating a noisy population relationship, where more observations shrink sampling error. But this design estimates no noisy relationship; it characterizes the response of a deterministic function across a structured parameter sweep. What matters is not the count of rows but their coverage of the trade space, and the coverage here is deliberate rather than convenient. The launch-count ladder spans payloads from 40 to 85 tons and margins from 0 to 45 percent, and the mass-ratio grid spans four propulsion classes across five transfer velocities. Those spans run wide enough to expose the integer step behavior in the launch count and the curvature in the mass ratio, the phenomena the study exists to measure, and a denser grid within the same spans would only retrace the curves the chosen rows already resolve.</w:t>
      </w:r>
    </w:p>
    <w:p>
      <w:pPr>
        <w:pStyle w:val="BodyText"/>
        <w:spacing w:line="480" w:lineRule="auto"/>
        <w:ind w:firstLine="720"/>
      </w:pPr>
      <w:r>
        <w:t xml:space="preserve">Adding more rows would sharpen the picture only marginally, because the underlying functions are smooth and known. A hundred intermediate payloads would trace the same step function the twenty already reveal, and a hundred intermediate velocities would trace the same mass-ratio curve. The rows are placed to bracket the phenomenon, not to beat down sampling noise that does not exist. This matches the logic the reachability literature applies when it characterizes a reachable set from a well-chosen set of evaluations rather than an exhaustive enumeration</w:t>
      </w:r>
      <w:r>
        <w:t xml:space="preserve"> </w:t>
      </w:r>
      <w:hyperlink w:anchor="ref-10">
        <w:r>
          <w:rPr>
            <w:rStyle w:val="Hyperlink"/>
          </w:rPr>
          <w:t xml:space="preserve">[10]</w:t>
        </w:r>
      </w:hyperlink>
      <w:r>
        <w:t xml:space="preserve"> </w:t>
      </w:r>
      <w:hyperlink w:anchor="ref-9">
        <w:r>
          <w:rPr>
            <w:rStyle w:val="Hyperlink"/>
          </w:rPr>
          <w:t xml:space="preserve">[9]</w:t>
        </w:r>
      </w:hyperlink>
      <w:r>
        <w:t xml:space="preserve">. The twenty rows suffice because they land where the behavior changes, and that placement, not their number, is what the design optimizes. With both datasets documented and their linkage made explicit, the next chapter reports exactly what the two estimators returned when run on them.</w:t>
      </w:r>
    </w:p>
    <w:bookmarkEnd w:id="108"/>
    <w:bookmarkEnd w:id="109"/>
    <w:bookmarkStart w:id="119" w:name="results"/>
    <w:p>
      <w:pPr>
        <w:pStyle w:val="Heading1"/>
        <w:spacing w:line="480" w:lineRule="auto"/>
      </w:pPr>
      <w:r>
        <w:t xml:space="preserve">Results</w:t>
      </w:r>
    </w:p>
    <w:p>
      <w:pPr>
        <w:pStyle w:val="FirstParagraph"/>
        <w:spacing w:line="480" w:lineRule="auto"/>
      </w:pPr>
      <w:r>
        <w:t xml:space="preserve">What the two estimators returned is the business of this chapter. It reports the numbers exactly as the model configurations and the paper writeups state them, and it reads the signs and magnitudes without puffing them up. The two results appear in the order the theory demands: first the outcome model on launch count, the dissertation’s central test, then the mechanism model on mass ratio, which supplies the physical corroboration. The chapter closes by reading the two together, since their agreement is the finding neither could establish alone.</w:t>
      </w:r>
    </w:p>
    <w:bookmarkStart w:id="110" w:name="the-launch-count-result"/>
    <w:p>
      <w:pPr>
        <w:pStyle w:val="Heading2"/>
        <w:spacing w:line="480" w:lineRule="auto"/>
      </w:pPr>
      <w:r>
        <w:t xml:space="preserve">The launch-count result</w:t>
      </w:r>
    </w:p>
    <w:p>
      <w:pPr>
        <w:pStyle w:val="FirstParagraph"/>
        <w:spacing w:line="480" w:lineRule="auto"/>
      </w:pPr>
      <w:r>
        <w:t xml:space="preserve">Start with the outcome model. It regresses required launches on payload scale, dry-mass allowance, and the nuclear indicator, run by ordinary least squares with robust standard errors over the twenty-row architecture dataset, and it delivers the launch-count payoff. Its coefficient on the nuclear flag lands at about minus 1.5 heavy-lift launches, with a p-value below 0.001</w:t>
      </w:r>
      <w:r>
        <w:t xml:space="preserve"> </w:t>
      </w:r>
      <w:hyperlink w:anchor="ref-1">
        <w:r>
          <w:rPr>
            <w:rStyle w:val="Hyperlink"/>
          </w:rPr>
          <w:t xml:space="preserve">[1]</w:t>
        </w:r>
      </w:hyperlink>
      <w:r>
        <w:t xml:space="preserve"> </w:t>
      </w:r>
      <w:hyperlink w:anchor="ref-2">
        <w:r>
          <w:rPr>
            <w:rStyle w:val="Hyperlink"/>
          </w:rPr>
          <w:t xml:space="preserve">[2]</w:t>
        </w:r>
      </w:hyperlink>
      <w:r>
        <w:t xml:space="preserve">. Read plainly, holding payload scale and margin fixed, nuclear cases close with roughly one to two fewer heavy-lift launches than comparable chemical cases in the same payload and margin regime. That is the payoff in one sentence.</w:t>
      </w:r>
    </w:p>
    <w:p>
      <w:pPr>
        <w:pStyle w:val="BodyText"/>
        <w:spacing w:line="480" w:lineRule="auto"/>
        <w:ind w:firstLine="720"/>
      </w:pPr>
      <w:r>
        <w:t xml:space="preserve">Both control variables behave as the theory called, and their behavior is itself part of the result rather than a footnote.</w:t>
      </w:r>
    </w:p>
    <w:p>
      <w:pPr>
        <w:pStyle w:val="BodyText"/>
        <w:spacing w:line="480" w:lineRule="auto"/>
        <w:ind w:firstLine="720"/>
      </w:pPr>
      <w:r>
        <w:t xml:space="preserve">Payload scale carries a positive and highly significant coefficient, expected because larger reference payloads demand larger transfer stacks and therefore more launches. Dry-mass allowance also carries a positive and significant coefficient, and this matters for a specific reason: it confirms the stressor is doing real work in the data rather than sitting passive. A margin term that came back insignificant would have hinted the stress case was inert, and the identification story would have weakened. Since both controls are significant, the nuclear coefficient reads as the architecture effect net of the two variables most apt to confound it.</w:t>
      </w:r>
    </w:p>
    <w:p>
      <w:pPr>
        <w:pStyle w:val="BodyText"/>
        <w:spacing w:line="480" w:lineRule="auto"/>
        <w:ind w:firstLine="720"/>
      </w:pPr>
      <w:r>
        <w:t xml:space="preserve">Magnitude is best grasped through the rows themselves, because the effect is an integer step rather than a smooth slope. At the low end of the payload ladder the launch count moves by one, a chemical architecture at 40 tons and zero margin closing in 3 launches while its nuclear counterpart closes in 2. At higher payload and margin the difference broadens to a persistent two-launch wedge: at 60 tons with a 40 percent margin the chemical row needs 6 launches and the nuclear row needs 4, and at 80 tons with a 35 percent margin the chemical row needs 7 while the nuclear row needs 5. That shape, one launch at the low end widening to two at the high end, is the right signature for an integer launch-count outcome. A propulsion improvement first shows as mass slack, then clears a launch threshold, then registers as an architecture-level cut in assembly events. The estimated coefficient near minus 1.5 is the average of that one-to-two launch behavior across the ladder.</w:t>
      </w:r>
    </w:p>
    <w:p>
      <w:pPr>
        <w:pStyle w:val="BodyText"/>
        <w:spacing w:line="480" w:lineRule="auto"/>
        <w:ind w:firstLine="720"/>
      </w:pPr>
      <w:r>
        <w:t xml:space="preserve">This result is decision-relevant precisely because it outlives the margin control. Nuclear rows in the dataset are not credited with optimistic dry masses; they are billed the same margin ladder as the chemical rows, running up to 45 percent, and the launch-count advantage persists across it. Against the pre-registered decision rule, which held that at a thirty percent or greater dry-mass allowance the nuclear architecture would have to shed at least one full launch to reject the null, the data reject the null. At the 55-ton, 30 percent margin row the chemical architecture needs 5 launches and the nuclear needs 4, a full-launch reduction at exactly the central stress case the rule named.</w:t>
      </w:r>
    </w:p>
    <w:bookmarkEnd w:id="110"/>
    <w:bookmarkStart w:id="111" w:name="the-mass-ratio-result"/>
    <w:p>
      <w:pPr>
        <w:pStyle w:val="Heading2"/>
        <w:spacing w:line="480" w:lineRule="auto"/>
      </w:pPr>
      <w:r>
        <w:t xml:space="preserve">The mass-ratio result</w:t>
      </w:r>
    </w:p>
    <w:p>
      <w:pPr>
        <w:pStyle w:val="FirstParagraph"/>
        <w:spacing w:line="480" w:lineRule="auto"/>
      </w:pPr>
      <w:r>
        <w:t xml:space="preserve">Now the mechanism side.</w:t>
      </w:r>
    </w:p>
    <w:p>
      <w:pPr>
        <w:pStyle w:val="BodyText"/>
        <w:spacing w:line="480" w:lineRule="auto"/>
        <w:ind w:firstLine="720"/>
      </w:pPr>
      <w:r>
        <w:t xml:space="preserve">This model regresses the natural log of mass ratio on the natural log of specific impulse over the twenty-row rocket-equation dataset. Its estimated elasticity lands at about minus 0.85, with a p-value below 0.001 and an R-squared near 0.89</w:t>
      </w:r>
      <w:r>
        <w:t xml:space="preserve"> </w:t>
      </w:r>
      <w:hyperlink w:anchor="ref-7">
        <w:r>
          <w:rPr>
            <w:rStyle w:val="Hyperlink"/>
          </w:rPr>
          <w:t xml:space="preserve">[7]</w:t>
        </w:r>
      </w:hyperlink>
      <w:r>
        <w:t xml:space="preserve">. A negative sign says mass ratio falls as specific impulse rises, and the magnitude says the fall is steep: because the coefficient is an elasticity, a one percent increase in specific impulse ties to roughly a 0.85 percent decrease in required mass ratio, and that relationship compounds across the large specific-impulse gap between chemical and nuclear classes.</w:t>
      </w:r>
    </w:p>
    <w:p>
      <w:pPr>
        <w:pStyle w:val="BodyText"/>
        <w:spacing w:line="480" w:lineRule="auto"/>
        <w:ind w:firstLine="720"/>
      </w:pPr>
      <w:r>
        <w:t xml:space="preserve">The fit is tight, as a deterministic relationship should be. An R-squared near 0.89 in a log-log rocket-equation dataset is no surprise. It confirms the rows were built correctly and that specific impulse is the dominant driver of mass ratio across the velocity cases. The configuration also reports a progress-ratio diagnostic of about 0.56 for a doubling of specific impulse, meaning the fitted mass ratio after a doubling of specific impulse falls to roughly 56 percent of its prior level, conditional on the mix of transfer-velocity stress cases. That statistic is a log-log elasticity diagnostic and not a production learning curve, and it renders the propulsion performance gain as a single auditable mass-burden number.</w:t>
      </w:r>
    </w:p>
    <w:p>
      <w:pPr>
        <w:pStyle w:val="BodyText"/>
        <w:spacing w:line="480" w:lineRule="auto"/>
        <w:ind w:firstLine="720"/>
      </w:pPr>
      <w:r>
        <w:t xml:space="preserve">Raw rows make the elasticity concrete. At the 4.4 kilometer per second transfer case, the storable chemical class at 320 seconds needs a mass ratio of 4.063765, while the nuclear reference class at 900 seconds needs only 1.646296. That is the elasticity working across a specific-impulse ratio of nearly three to one: as the propulsion class shifts from chemical into the nuclear range, the mass ratio falls by more than half. The same pattern recurs at every velocity case in the dataset, and it steepens as the transfer velocity rises, because the exponential form of the rocket equation punishes the low specific-impulse classes hardest exactly where the mission bites deepest.</w:t>
      </w:r>
    </w:p>
    <w:bookmarkEnd w:id="111"/>
    <w:bookmarkStart w:id="112" w:name="X82edb872e5aa7795c9971b0f886e5c833573b06"/>
    <w:p>
      <w:pPr>
        <w:pStyle w:val="Heading2"/>
        <w:spacing w:line="480" w:lineRule="auto"/>
      </w:pPr>
      <w:r>
        <w:t xml:space="preserve">The mass-ratio curve read across velocity</w:t>
      </w:r>
    </w:p>
    <w:p>
      <w:pPr>
        <w:pStyle w:val="FirstParagraph"/>
        <w:spacing w:line="480" w:lineRule="auto"/>
      </w:pPr>
      <w:r>
        <w:t xml:space="preserve">The mechanism dataset reads best as a family of curves, one per propulsion class, traced across the five transfer velocities, and reading it that way exposes the physics the elasticity summarizes. The storable chemical class at 320 seconds climbs steeply, mass ratio 3.149302 at 3.6 kilometers per second, then 3.577432, 4.063765, 4.616211, and 5.243760 as velocity rises to 5.2</w:t>
      </w:r>
      <w:r>
        <w:t xml:space="preserve"> </w:t>
      </w:r>
      <w:hyperlink w:anchor="ref-7">
        <w:r>
          <w:rPr>
            <w:rStyle w:val="Hyperlink"/>
          </w:rPr>
          <w:t xml:space="preserve">[7]</w:t>
        </w:r>
      </w:hyperlink>
      <w:r>
        <w:t xml:space="preserve">. The cryogenic chemical class at 450 seconds climbs more gently, from 2.260923 to 3.248972 across the same range. The nuclear lower bound at 850 seconds barely stirs, from 1.540150 to 1.866055, and the nuclear reference at 900 seconds is flatter still, from 1.503636 to 1.802491. Four classes, four slopes, and the slope steepens as specific impulse falls, the exponential penalty pressing hardest on the weakest propulsion.</w:t>
      </w:r>
    </w:p>
    <w:p>
      <w:pPr>
        <w:pStyle w:val="BodyText"/>
        <w:spacing w:line="480" w:lineRule="auto"/>
        <w:ind w:firstLine="720"/>
      </w:pPr>
      <w:r>
        <w:t xml:space="preserve">That widening gap between the curves is the whole argument in one figure. At the low-energy 3.6 kilometer per second case the storable chemical mass ratio exceeds the nuclear reference by a factor near 2.1. At the high-energy 5.2 kilometer per second case the factor grows to near 2.9. The nuclear advantage is therefore no fixed offset; it is a gap that opens wider precisely as the mission demands more velocity, the mechanism-level statement of the same widening the launch-count ladder showed at the architecture level. The elasticity near minus 0.85 is the single number that summarizes all four curves at once, and the R-squared near 0.89 reflects the mild velocity dependence keeping the four slopes from collapsing onto one line.</w:t>
      </w:r>
    </w:p>
    <w:bookmarkEnd w:id="112"/>
    <w:bookmarkStart w:id="113" w:name="reading-the-two-results-together"/>
    <w:p>
      <w:pPr>
        <w:pStyle w:val="Heading2"/>
        <w:spacing w:line="480" w:lineRule="auto"/>
      </w:pPr>
      <w:r>
        <w:t xml:space="preserve">Reading the two results together</w:t>
      </w:r>
    </w:p>
    <w:p>
      <w:pPr>
        <w:pStyle w:val="FirstParagraph"/>
        <w:spacing w:line="480" w:lineRule="auto"/>
      </w:pPr>
      <w:r>
        <w:t xml:space="preserve">The two estimates agree. That agreement is the dissertation’s core empirical finding, because the two estimates are two windows onto the same physics. The outcome model found nuclear architectures needing about 1.5 fewer launches once payload and margin are controlled. The mechanism model found mass ratio falling with a specific-impulse elasticity near minus 0.85 and a strong fit. Different dependent variables, different functional forms, different derived samples, and yet one direction. The launch-count wedge is no artifact of how the architecture rows were labeled. It is the discrete, countable image of the continuous exponential relationship the mechanism model recovered.</w:t>
      </w:r>
    </w:p>
    <w:p>
      <w:pPr>
        <w:pStyle w:val="BodyText"/>
        <w:spacing w:line="480" w:lineRule="auto"/>
        <w:ind w:firstLine="720"/>
      </w:pPr>
      <w:r>
        <w:t xml:space="preserve">That convergence answers the objection a skeptic would raise first. One could argue the launch-count model merely rewarded rows tagged nuclear with a favorable multiplier, making the negative coefficient bookkeeping rather than physics. The mechanism model rebuts that objection on independent ground, because it never sees a launch count or an architecture label at all, and it recovers the same physical relationship from a construction that holds no trace of the architecture layer whose result it is asked to corroborate. The nuclear rows carry a lower transfer-mass multiplier because the rocket equation says a 900-second stage needs far less propellant than a 450-second stage for the same velocity change, and the elasticity estimate is that statement in regression form.</w:t>
      </w:r>
    </w:p>
    <w:bookmarkEnd w:id="113"/>
    <w:bookmarkStart w:id="114" w:name="the-behavior-of-the-controls-in-detail"/>
    <w:p>
      <w:pPr>
        <w:pStyle w:val="Heading2"/>
        <w:spacing w:line="480" w:lineRule="auto"/>
      </w:pPr>
      <w:r>
        <w:t xml:space="preserve">The behavior of the controls in detail</w:t>
      </w:r>
    </w:p>
    <w:p>
      <w:pPr>
        <w:pStyle w:val="FirstParagraph"/>
        <w:spacing w:line="480" w:lineRule="auto"/>
      </w:pPr>
      <w:r>
        <w:t xml:space="preserve">Both control coefficients deserve a closer reading than they usually get, because in this study they are evidence rather than nuisance parameters. Payload scale entering positive and significant confirms the most basic architectural intuition: bigger reference payloads demand bigger transfer stacks and therefore more launches, no matter how the stack is propelled. The rows make the mechanism visible. Along the chemical ladder the launch count climbs from 3 launches at 40 tons to 8 launches at 85 tons, and along the nuclear ladder it climbs from 2 to 6 over the same payload span. Payload does exactly what the model says it does, and its significance rules out the chance that the nuclear coefficient is merely soaking up a payload difference between the two propulsion groups.</w:t>
      </w:r>
    </w:p>
    <w:p>
      <w:pPr>
        <w:pStyle w:val="BodyText"/>
        <w:spacing w:line="480" w:lineRule="auto"/>
        <w:ind w:firstLine="720"/>
      </w:pPr>
      <w:r>
        <w:t xml:space="preserve">Dry-mass margin entering positive and significant is the more consequential of the two, because it validates the stress test itself. Had margin come back insignificant, it would mean the growth allowance was not moving launch counts, and the central claim that the nuclear advantage outlives a realistic penalty would be empty, because there would be no penalty to outlive. The rows show margin biting: at 85 tons the chemical architecture carries a 45 percent allowance and reaches a 1004.5-ton stack requiring 8 launches, whereas the same payload at lower margin would need fewer. That the nuclear coefficient stays near minus 1.5 with margin entered as an active, significant regressor is the heart of the finding. The advantage is measured net of a stressor demonstrably at work.</w:t>
      </w:r>
    </w:p>
    <w:bookmarkEnd w:id="114"/>
    <w:bookmarkStart w:id="115" w:name="Xee508d08b17b53944d9de2a13571cf4ab78b055"/>
    <w:p>
      <w:pPr>
        <w:pStyle w:val="Heading2"/>
        <w:spacing w:line="480" w:lineRule="auto"/>
      </w:pPr>
      <w:r>
        <w:t xml:space="preserve">The propellant fraction as a decision-facing translation</w:t>
      </w:r>
    </w:p>
    <w:p>
      <w:pPr>
        <w:pStyle w:val="FirstParagraph"/>
        <w:spacing w:line="480" w:lineRule="auto"/>
      </w:pPr>
      <w:r>
        <w:t xml:space="preserve">Mass ratio grows more legible to a program audience when recast as propellant fraction, the share of a transfer stage that must be propellant, and the dataset carries that quantity in every row. At the 4.4 kilometer per second case the storable chemical stage runs a propellant fraction of 0.753923, over three quarters of the stage, while the nuclear reference stage runs 0.392576, under two fifths</w:t>
      </w:r>
      <w:r>
        <w:t xml:space="preserve"> </w:t>
      </w:r>
      <w:hyperlink w:anchor="ref-7">
        <w:r>
          <w:rPr>
            <w:rStyle w:val="Hyperlink"/>
          </w:rPr>
          <w:t xml:space="preserve">[7]</w:t>
        </w:r>
      </w:hyperlink>
      <w:r>
        <w:t xml:space="preserve">. Recast this way, the finding is that the nuclear stage spends roughly half as much of itself on propellant as the storable chemical stage for the identical velocity change, freeing the balance for payload, structure, or margin. That translation is what turns an elasticity into something an architect can act on, because propellant fraction maps directly onto how much useful mass a stage of a given size can carry, and an architect who is handed a fraction rather than a logarithm can reason immediately about how much room a stage leaves for the reactor, the shield, and the growth allowance that the mechanism model deliberately holds outside its own scope.</w:t>
      </w:r>
    </w:p>
    <w:p>
      <w:pPr>
        <w:pStyle w:val="BodyText"/>
        <w:spacing w:line="480" w:lineRule="auto"/>
        <w:ind w:firstLine="720"/>
      </w:pPr>
      <w:r>
        <w:t xml:space="preserve">Seen this way, propellant fraction also explains why the launch-count advantage endures under stress. A dry-mass penalty grows the inert share of the stage, but the storable chemical stage has little inert share left to protect once three quarters of it is already propellant, whereas the nuclear stage, with three fifths of itself available as non-propellant mass, absorbs a growth allowance with room to spare. Propellant fraction thus encodes the same asymmetry the discussion chapter draws out, where the penalty presses on the term the nuclear stage has margin in and the chemical stage does not. Through propellant fraction, the survival of the launch-count wedge under a thirty percent stress is no surprise; it is what the row-level numbers predict.</w:t>
      </w:r>
    </w:p>
    <w:bookmarkEnd w:id="115"/>
    <w:bookmarkStart w:id="116" w:name="why-the-elasticity-magnitude-is-credible"/>
    <w:p>
      <w:pPr>
        <w:pStyle w:val="Heading2"/>
        <w:spacing w:line="480" w:lineRule="auto"/>
      </w:pPr>
      <w:r>
        <w:t xml:space="preserve">Why the elasticity magnitude is credible</w:t>
      </w:r>
    </w:p>
    <w:p>
      <w:pPr>
        <w:pStyle w:val="FirstParagraph"/>
        <w:spacing w:line="480" w:lineRule="auto"/>
      </w:pPr>
      <w:r>
        <w:t xml:space="preserve">An elasticity near minus 0.85 with an R-squared near 0.89 might strike a reader schooled on noisy social-science data as implausibly clean, so it is worth saying why the tightness is expected rather than suspect</w:t>
      </w:r>
      <w:r>
        <w:t xml:space="preserve"> </w:t>
      </w:r>
      <w:hyperlink w:anchor="ref-7">
        <w:r>
          <w:rPr>
            <w:rStyle w:val="Hyperlink"/>
          </w:rPr>
          <w:t xml:space="preserve">[7]</w:t>
        </w:r>
      </w:hyperlink>
      <w:r>
        <w:t xml:space="preserve">. The rows are exact evaluations of the Tsiolkovsky equation, a smooth deterministic function of specific impulse for a fixed velocity change. The only reason the fit falls short of a perfect 1.0 is that the dataset pools five different transfer-velocity cases, and the elasticity of mass ratio with respect to specific impulse drifts slightly with velocity, introducing modest spread around the pooled log-log line. The near-0.89 fit therefore reflects a real feature of the physics, the mild velocity dependence of the elasticity, rather than measurement noise. A cleaner single-velocity fit would sit even closer to one. The magnitude earns its credibility from being a fitted summary of an equation anyone can check by hand, not an estimate from a noisy process.</w:t>
      </w:r>
    </w:p>
    <w:bookmarkEnd w:id="116"/>
    <w:bookmarkStart w:id="117" w:name="X1d84e3f2ed68d0afed2e2a356029167b5b92789"/>
    <w:p>
      <w:pPr>
        <w:pStyle w:val="Heading2"/>
        <w:spacing w:line="480" w:lineRule="auto"/>
      </w:pPr>
      <w:r>
        <w:t xml:space="preserve">The integer step traced across the full ladder</w:t>
      </w:r>
    </w:p>
    <w:p>
      <w:pPr>
        <w:pStyle w:val="FirstParagraph"/>
        <w:spacing w:line="480" w:lineRule="auto"/>
      </w:pPr>
      <w:r>
        <w:t xml:space="preserve">Because the launch-count outcome is discrete, the most informative presentation is the full ladder rather than a single coefficient, and the twenty rows reward that reading. At 40 tons and zero margin the gap is one launch, chemical 3 against nuclear 2. At 45 tons and 10 percent margin it is one launch, chemical 4 against nuclear 3. At 50 tons and 20 percent margin it holds at one launch, chemical 4 against nuclear 3. At 55 tons and 30 percent it stays one launch, chemical 5 against nuclear 4. Then the gap widens. At 60 tons and 40 percent margin the chemical architecture needs 6 launches and the nuclear needs 4, a two-launch wedge. At 65 tons and 5 percent margin the gap is two, chemical 5 against nuclear 3. At 70 tons and 15 percent it is two, chemical 6 against nuclear 4. At 75 tons and 25 percent it narrows to one, chemical 6 against nuclear 5, then reopens to two at 80 tons and 35 percent, chemical 7 against nuclear 5, and holds at two at 85 tons and 45 percent, chemical 8 against nuclear 6.</w:t>
      </w:r>
    </w:p>
    <w:p>
      <w:pPr>
        <w:pStyle w:val="BodyText"/>
        <w:spacing w:line="480" w:lineRule="auto"/>
        <w:ind w:firstLine="720"/>
      </w:pPr>
      <w:r>
        <w:t xml:space="preserve">The pattern is not perfectly monotone, and that irregularity is itself informative rather than troubling. Because the launch count is a ceiling of a continuous ratio, the gap at any row depends on where each architecture’s stack mass falls relative to its nearest integer boundary. A row where the chemical stack has just cleared a boundary while the nuclear stack sits comfortably below one shows a two-launch gap, while an adjacent row where both sit mid-band shows one. Averaged across the ladder, the effect is the coefficient near minus 1.5 the regression reports, and the row-level irregularity is the granular texture that single number summarizes. Presenting both the coefficient and the ladder hands the reader the average and the mechanism at once.</w:t>
      </w:r>
    </w:p>
    <w:bookmarkEnd w:id="117"/>
    <w:bookmarkStart w:id="118" w:name="X1f8a36fe184a7e796da9ad04c03be897d36e81d"/>
    <w:p>
      <w:pPr>
        <w:pStyle w:val="Heading2"/>
        <w:spacing w:line="480" w:lineRule="auto"/>
      </w:pPr>
      <w:r>
        <w:t xml:space="preserve">What significance means for a deterministic sweep</w:t>
      </w:r>
    </w:p>
    <w:p>
      <w:pPr>
        <w:pStyle w:val="FirstParagraph"/>
        <w:spacing w:line="480" w:lineRule="auto"/>
      </w:pPr>
      <w:r>
        <w:t xml:space="preserve">A word is owed on how to read the p-value below 0.001 attached to the nuclear coefficient, because its meaning here departs sharply from its meaning in the survey-based inference most readers carry into a regression table, where a small p-value is shorthand for a population effect distinguished from zero by a large enough sample. The rows are deterministic, so the significance does not certify that a null population effect has been excluded by large samples. It certifies that the negative relationship between the nuclear indicator and the launch count holds with high consistency across the swept payload and margin ladder, strong relative to the residual spread the ceiling operator introduces. That is the correct claim for this design, and a meaningful one, because an inconsistent or margin-dependent effect would have produced a weak coefficient, and the data produced a strong one. The significance speaks to the stability of the architectural effect across the trade space, not to a borrowed claim about sampling.</w:t>
      </w:r>
    </w:p>
    <w:p>
      <w:pPr>
        <w:pStyle w:val="BodyText"/>
        <w:spacing w:line="480" w:lineRule="auto"/>
        <w:ind w:firstLine="720"/>
      </w:pPr>
      <w:r>
        <w:t xml:space="preserve">Taken together, the combined result is stronger than either coefficient alone, and it is also appropriately bounded. Both estimates draw on derived data with a sample of twenty rows each, so their significance reflects the strength and consistency of a deterministic relationship rather than sampling from a population of flown missions. What the two results establish is precise and limited: under common payload and launch-capacity assumptions, and after a realistic dry-mass stress, nuclear thermal propulsion produces a launch-count reduction near one to two launches that is the countable consequence of a specific-impulse elasticity near minus 0.85. The nuclear coefficient of about minus 1.5 launches at p below 0.001, and the elasticity of about minus 0.85 at p below 0.001 with an R-squared near 0.89, are the two numbers the dissertation was built to produce, and the data produced them</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next chapter reads what that pair does and does not license a program to conclude.</w:t>
      </w:r>
    </w:p>
    <w:bookmarkEnd w:id="118"/>
    <w:bookmarkEnd w:id="119"/>
    <w:bookmarkStart w:id="127" w:name="discussion-and-limitations"/>
    <w:p>
      <w:pPr>
        <w:pStyle w:val="Heading1"/>
        <w:spacing w:line="480" w:lineRule="auto"/>
      </w:pPr>
      <w:r>
        <w:t xml:space="preserve">Discussion and Limitations</w:t>
      </w:r>
    </w:p>
    <w:p>
      <w:pPr>
        <w:pStyle w:val="FirstParagraph"/>
        <w:spacing w:line="480" w:lineRule="auto"/>
      </w:pPr>
      <w:r>
        <w:t xml:space="preserve">The two results are consistent, statistically clear, and narrow. This chapter takes them seriously enough to say what they mean. It stays honest enough to say what they do not. The finding is that nuclear thermal propulsion trims the required heavy-lift launch count for a crewed Mars reference mission by about one to two launches, net of payload and margin, and that this reduction is the countable consequence of a steep specific-impulse elasticity. Stated that way, it sounds simple. The care lies in the qualifications. Interpretation, in a study like this, is where the numbers meet the decision, and it is where a careful analyst earns or forfeits trust by refusing to say more than the coefficients permit. The task now is to read that claim at the architecture level, to enumerate the threats to its validity, and to draw the line past which the data cannot speak.</w:t>
      </w:r>
    </w:p>
    <w:bookmarkStart w:id="120" w:name="what-the-findings-mean"/>
    <w:p>
      <w:pPr>
        <w:pStyle w:val="Heading2"/>
        <w:spacing w:line="480" w:lineRule="auto"/>
      </w:pPr>
      <w:r>
        <w:t xml:space="preserve">What the findings mean</w:t>
      </w:r>
    </w:p>
    <w:p>
      <w:pPr>
        <w:pStyle w:val="FirstParagraph"/>
        <w:spacing w:line="480" w:lineRule="auto"/>
      </w:pPr>
      <w:r>
        <w:t xml:space="preserve">The most useful way to put the result for a decision maker is that the nuclear payoff is an assembly argument, not only a speed argument.</w:t>
      </w:r>
    </w:p>
    <w:p>
      <w:pPr>
        <w:pStyle w:val="BodyText"/>
        <w:spacing w:line="480" w:lineRule="auto"/>
        <w:ind w:firstLine="720"/>
      </w:pPr>
      <w:r>
        <w:t xml:space="preserve">Most advocacy for nuclear thermal propulsion dwells on transit time and departure-window flexibility. Those benefits are real, yet they are not what this study measured. What it measured is that the same propulsion advantage, run through the rocket equation, strips whole launches off the manifest</w:t>
      </w:r>
      <w:r>
        <w:t xml:space="preserve"> </w:t>
      </w:r>
      <w:hyperlink w:anchor="ref-1">
        <w:r>
          <w:rPr>
            <w:rStyle w:val="Hyperlink"/>
          </w:rPr>
          <w:t xml:space="preserve">[1]</w:t>
        </w:r>
      </w:hyperlink>
      <w:r>
        <w:t xml:space="preserve"> </w:t>
      </w:r>
      <w:hyperlink w:anchor="ref-6">
        <w:r>
          <w:rPr>
            <w:rStyle w:val="Hyperlink"/>
          </w:rPr>
          <w:t xml:space="preserve">[6]</w:t>
        </w:r>
      </w:hyperlink>
      <w:r>
        <w:t xml:space="preserve">. A launch is no fungible unit of cost. Each one carries a train of consequences. Each avoided launch is an avoided integration campaign, an avoided launch-availability constraint, an avoided ascent-risk exposure, and an avoided on-orbit aggregation event, and every one of those is a place where a campaign schedule can slip or a mission can be lost. Because those downstream effects go uncounted in the coefficient, the launch-count estimate is a conservative measure of architectural simplification. The true program benefit of removing a launch runs larger than the coefficient alone suggests.</w:t>
      </w:r>
    </w:p>
    <w:p>
      <w:pPr>
        <w:pStyle w:val="BodyText"/>
        <w:spacing w:line="480" w:lineRule="auto"/>
        <w:ind w:firstLine="720"/>
      </w:pPr>
      <w:r>
        <w:t xml:space="preserve">The integer structure of the result carries a second lesson. The nuclear advantage is not uniform across the trade space, and a program should not expect it to be.</w:t>
      </w:r>
    </w:p>
    <w:p>
      <w:pPr>
        <w:pStyle w:val="BodyText"/>
        <w:spacing w:line="480" w:lineRule="auto"/>
        <w:ind w:firstLine="720"/>
      </w:pPr>
      <w:r>
        <w:t xml:space="preserve">At small payloads and low margins the advantage is one launch; at larger payloads and higher margins it hardens into a persistent two-launch wedge. So the value of nuclear propulsion depends on where the reference mission sits relative to the integer launch boundaries. A program whose chemical architecture already closes comfortably inside a boundary gains less from the switch than one perched just above one. The corollary is practical: the case for nuclear propulsion strengthens as the reference payload and the required margins grow, precisely the direction ambitious, sustained Mars campaigns tend to move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mechanism result clarifies why the advantage is robust rather than fragile. Because mass ratio answers specific impulse with an elasticity near minus 0.85, the propulsion gain is nonlinear, and a nonlinear gain can clear integer launch thresholds even as dry mass grows</w:t>
      </w:r>
      <w:r>
        <w:t xml:space="preserve"> </w:t>
      </w:r>
      <w:hyperlink w:anchor="ref-7">
        <w:r>
          <w:rPr>
            <w:rStyle w:val="Hyperlink"/>
          </w:rPr>
          <w:t xml:space="preserve">[7]</w:t>
        </w:r>
      </w:hyperlink>
      <w:r>
        <w:t xml:space="preserve">. This is the deep reason the dissertation trained on launch count rather than continuous mass alone. A continuous ten percent mass gain is easy to wipe out with a ten percent dry-mass penalty. An exponential propellant-burden advantage is far harder to wipe out, because the penalty presses on dry mass while the advantage presses on the propellant term, and for high-energy transfers the propellant term dominates. That asymmetry is what lets the launch-count reduction outlive the thirty percent stress case.</w:t>
      </w:r>
    </w:p>
    <w:bookmarkEnd w:id="120"/>
    <w:bookmarkStart w:id="121" w:name="threats-to-validity"/>
    <w:p>
      <w:pPr>
        <w:pStyle w:val="Heading2"/>
        <w:spacing w:line="480" w:lineRule="auto"/>
      </w:pPr>
      <w:r>
        <w:t xml:space="preserve">Threats to validity</w:t>
      </w:r>
    </w:p>
    <w:p>
      <w:pPr>
        <w:pStyle w:val="FirstParagraph"/>
        <w:spacing w:line="480" w:lineRule="auto"/>
      </w:pPr>
      <w:r>
        <w:t xml:space="preserve">The first and most important threat is that the datasets are derived rather than flown. Crewed Mars architectures have not been assembled. There are no observed launch counts and no observed transfer-stage mass ratios</w:t>
      </w:r>
      <w:r>
        <w:t xml:space="preserve"> </w:t>
      </w:r>
      <w:hyperlink w:anchor="ref-1">
        <w:r>
          <w:rPr>
            <w:rStyle w:val="Hyperlink"/>
          </w:rPr>
          <w:t xml:space="preserve">[1]</w:t>
        </w:r>
      </w:hyperlink>
      <w:r>
        <w:t xml:space="preserve">. This limitation is unavoidable. It is managed rather than solved. The mitigation is provenance: every row names its source anchors, every transformation is deterministic and visible in the workbook, and the launch-count outcome is a rounding of an auditable mass figure rather than a random draw. The reachability and mission-design literature accepts exactly this bargain for systems that resist direct observation, favoring reproducibility over sample realism when the object of study has never been built</w:t>
      </w:r>
      <w:r>
        <w:t xml:space="preserve"> </w:t>
      </w:r>
      <w:hyperlink w:anchor="ref-10">
        <w:r>
          <w:rPr>
            <w:rStyle w:val="Hyperlink"/>
          </w:rPr>
          <w:t xml:space="preserve">[10]</w:t>
        </w:r>
      </w:hyperlink>
      <w:r>
        <w:t xml:space="preserve"> </w:t>
      </w:r>
      <w:hyperlink w:anchor="ref-9">
        <w:r>
          <w:rPr>
            <w:rStyle w:val="Hyperlink"/>
          </w:rPr>
          <w:t xml:space="preserve">[9]</w:t>
        </w:r>
      </w:hyperlink>
      <w:r>
        <w:t xml:space="preserve"> </w:t>
      </w:r>
      <w:hyperlink w:anchor="ref-19">
        <w:r>
          <w:rPr>
            <w:rStyle w:val="Hyperlink"/>
          </w:rPr>
          <w:t xml:space="preserve">[19]</w:t>
        </w:r>
      </w:hyperlink>
      <w:r>
        <w:t xml:space="preserve">. The result should be read as a statement about what follows from published parameters and stated physics, not as an observation of the world.</w:t>
      </w:r>
    </w:p>
    <w:p>
      <w:pPr>
        <w:pStyle w:val="BodyText"/>
        <w:spacing w:line="480" w:lineRule="auto"/>
        <w:ind w:firstLine="720"/>
      </w:pPr>
      <w:r>
        <w:t xml:space="preserve">A second threat is that nuclear dry mass could outgrow the margin range the study charged. Reactor, shield, and cryogenic tankage masses are the components most prone to swell between concept and hardware, and the central analysis billed them a thirty percent allowance. The study meets this by treating thirty percent as the central stress case and reporting the launch-count behavior out to a 45 percent margin in the dataset, with a fifty percent break-glass sensitivity flagged as the point where the advantage would need re-examination. Should a real nuclear stage grow its dry mass far past fifty percent, the launch-count wedge could narrow, and the study does not pretend otherwise. What it claims is that across a realistic and even punishing margin range, the advantage holds.</w:t>
      </w:r>
    </w:p>
    <w:p>
      <w:pPr>
        <w:pStyle w:val="BodyText"/>
        <w:spacing w:line="480" w:lineRule="auto"/>
        <w:ind w:firstLine="720"/>
      </w:pPr>
      <w:r>
        <w:t xml:space="preserve">A third threat is specification dependence on the launch capacity. The result is conditional on a 130-ton heavy-lift class, and a different vehicle would shift the integer thresholds at which the launch count steps</w:t>
      </w:r>
      <w:r>
        <w:t xml:space="preserve"> </w:t>
      </w:r>
      <w:hyperlink w:anchor="ref-4">
        <w:r>
          <w:rPr>
            <w:rStyle w:val="Hyperlink"/>
          </w:rPr>
          <w:t xml:space="preserve">[4]</w:t>
        </w:r>
      </w:hyperlink>
      <w:r>
        <w:t xml:space="preserve">. This is a real limit on the specific integer results, yet it does not touch the underlying mass advantage, which is a property of the rocket equation rather than of any particular booster. A smaller launcher would breed more launches for both classes and could move where the one-launch and two-launch steps land, but the nuclear stack would stay lighter than the chemical stack at every payload, because the elasticity result leans on the launcher not at all</w:t>
      </w:r>
      <w:r>
        <w:t xml:space="preserve"> </w:t>
      </w:r>
      <w:hyperlink w:anchor="ref-7">
        <w:r>
          <w:rPr>
            <w:rStyle w:val="Hyperlink"/>
          </w:rPr>
          <w:t xml:space="preserve">[7]</w:t>
        </w:r>
      </w:hyperlink>
      <w:r>
        <w:t xml:space="preserve">.</w:t>
      </w:r>
    </w:p>
    <w:p>
      <w:pPr>
        <w:pStyle w:val="BodyText"/>
        <w:spacing w:line="480" w:lineRule="auto"/>
        <w:ind w:firstLine="720"/>
      </w:pPr>
      <w:r>
        <w:t xml:space="preserve">A fourth threat concerns what the mass-ratio dataset leaves out. The velocity cases are simplified stress cases spanning 3.6 to 5.2 kilometers per second, not optimized trajectory solutions, and the mass ratio itself omits tankage mass, cryogenic boiloff, thrust-to-weight limits on achievable trajectories, and operational constraints</w:t>
      </w:r>
      <w:r>
        <w:t xml:space="preserve"> </w:t>
      </w:r>
      <w:hyperlink w:anchor="ref-2">
        <w:r>
          <w:rPr>
            <w:rStyle w:val="Hyperlink"/>
          </w:rPr>
          <w:t xml:space="preserve">[2]</w:t>
        </w:r>
      </w:hyperlink>
      <w:r>
        <w:t xml:space="preserve">. Those omissions are why the mechanism model is presented as a mechanism test rather than a mission design. Boiloff in particular is a genuine worry for a nuclear stage that stores liquid hydrogen through a long transfer, and it could erode part of the propellant advantage in ways this study does not model. The honest position is that the mass-ratio result fixes the direction and rough scale of the propulsion advantage, and that a full mission design would have to reintroduce these factors before committing to a point solution.</w:t>
      </w:r>
    </w:p>
    <w:p>
      <w:pPr>
        <w:pStyle w:val="BodyText"/>
        <w:spacing w:line="480" w:lineRule="auto"/>
        <w:ind w:firstLine="720"/>
      </w:pPr>
      <w:r>
        <w:t xml:space="preserve">A fifth threat is subtler and concerns the coupling between the two datasets. The launch-count dataset inherits a propulsion-class mass multiplier justified by the mass-ratio dataset, so the two are not fully independent tests of the same claim; they are the outcome and mechanism sides of one construction. This is a real limit on how much corroboration the convergence provides. What the convergence establishes is that the launch-count result is physically coherent, its multiplier following from the rocket equation rather than an arbitrary choice</w:t>
      </w:r>
      <w:r>
        <w:t xml:space="preserve"> </w:t>
      </w:r>
      <w:hyperlink w:anchor="ref-7">
        <w:r>
          <w:rPr>
            <w:rStyle w:val="Hyperlink"/>
          </w:rPr>
          <w:t xml:space="preserve">[7]</w:t>
        </w:r>
      </w:hyperlink>
      <w:r>
        <w:t xml:space="preserve">. What it does not establish is a second, wholly independent confirmation from unrelated data, because no such data exists for an unflown architecture. The dissertation says this plainly rather than overselling the convergence as two independent studies pointing one way; they are two coherent views of one derivation, meaningful but bounded.</w:t>
      </w:r>
    </w:p>
    <w:bookmarkEnd w:id="121"/>
    <w:bookmarkStart w:id="122" w:name="Xa4dfb6d039897f58dd3877267389fc89314c636"/>
    <w:p>
      <w:pPr>
        <w:pStyle w:val="Heading2"/>
        <w:spacing w:line="480" w:lineRule="auto"/>
      </w:pPr>
      <w:r>
        <w:t xml:space="preserve">External validity and the derived-data question</w:t>
      </w:r>
    </w:p>
    <w:p>
      <w:pPr>
        <w:pStyle w:val="FirstParagraph"/>
        <w:spacing w:line="480" w:lineRule="auto"/>
      </w:pPr>
      <w:r>
        <w:t xml:space="preserve">The threat that most shapes how the finding should be used is external validity, and it deserves its own heading rather than folding into the derived-data caveat.</w:t>
      </w:r>
    </w:p>
    <w:p>
      <w:pPr>
        <w:pStyle w:val="BodyText"/>
        <w:spacing w:line="480" w:lineRule="auto"/>
        <w:ind w:firstLine="720"/>
      </w:pPr>
      <w:r>
        <w:t xml:space="preserve">Internal validity is strong: within the stated construction, the nuclear coefficient follows rigorously from the inputs, and any reader can verify it</w:t>
      </w:r>
      <w:r>
        <w:t xml:space="preserve"> </w:t>
      </w:r>
      <w:hyperlink w:anchor="ref-7">
        <w:r>
          <w:rPr>
            <w:rStyle w:val="Hyperlink"/>
          </w:rPr>
          <w:t xml:space="preserve">[7]</w:t>
        </w:r>
      </w:hyperlink>
      <w:r>
        <w:t xml:space="preserve">. External validity is the harder claim, that the relationship would show up in a flown architecture, and here the study stays deliberately cautious. A real nuclear stage introduces couplings the model omits, and any of them could shift the integer thresholds. Cryogenic boiloff over a months-long transfer, thrust-to-weight limits that constrain achievable trajectories, and integration mass that may not scale linearly with stack size are the leading candidates</w:t>
      </w:r>
      <w:r>
        <w:t xml:space="preserve"> </w:t>
      </w:r>
      <w:hyperlink w:anchor="ref-2">
        <w:r>
          <w:rPr>
            <w:rStyle w:val="Hyperlink"/>
          </w:rPr>
          <w:t xml:space="preserve">[2]</w:t>
        </w:r>
      </w:hyperlink>
      <w:r>
        <w:t xml:space="preserve">.</w:t>
      </w:r>
    </w:p>
    <w:p>
      <w:pPr>
        <w:pStyle w:val="BodyText"/>
        <w:spacing w:line="480" w:lineRule="auto"/>
        <w:ind w:firstLine="720"/>
      </w:pPr>
      <w:r>
        <w:t xml:space="preserve">The right response is not to claim external validity the design cannot support but to spell out what would establish it. Each omitted coupling is a hypothesis a follow-on study could test by reintroducing it into the pipeline and checking whether the launch-count wedge holds. The study’s contribution is to have isolated the mass mechanism cleanly first, so that when those couplings are added, their effect can be measured against a known baseline rather than tangled with the propulsion effect from the outset. That is the standard sequence in model-based analysis of unflown systems, fix the dominant mechanism in isolation, then layer complications and watch their marginal effect, a discipline the reachability and optimization literature follows for the same reason</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since a model that admits every coupling at once can neither be debugged nor believed when its output disagrees with intuition. The mass result is the isolated first layer, offered as a foundation for the layering to come, not as a claim about flown hardware.</w:t>
      </w:r>
    </w:p>
    <w:bookmarkEnd w:id="122"/>
    <w:bookmarkStart w:id="123" w:name="what-the-data-cannot-show"/>
    <w:p>
      <w:pPr>
        <w:pStyle w:val="Heading2"/>
        <w:spacing w:line="480" w:lineRule="auto"/>
      </w:pPr>
      <w:r>
        <w:t xml:space="preserve">What the data cannot show</w:t>
      </w:r>
    </w:p>
    <w:p>
      <w:pPr>
        <w:pStyle w:val="FirstParagraph"/>
        <w:spacing w:line="480" w:lineRule="auto"/>
      </w:pPr>
      <w:r>
        <w:t xml:space="preserve">Past the specific threats, a category of questions sits structurally beyond this dissertation’s reach, and naming them is part of the contribution. The study measured mass and launch count. It did not measure cost. A launch-count reduction is no cost verdict. Nuclear propulsion carries development, ground-test, and licensing expenses that chemical systems escape, and those could dwarf the value of the launches saved</w:t>
      </w:r>
      <w:r>
        <w:t xml:space="preserve"> </w:t>
      </w:r>
      <w:hyperlink w:anchor="ref-3">
        <w:r>
          <w:rPr>
            <w:rStyle w:val="Hyperlink"/>
          </w:rPr>
          <w:t xml:space="preserve">[3]</w:t>
        </w:r>
      </w:hyperlink>
      <w:r>
        <w:t xml:space="preserve">. The study did not measure schedule, and a nuclear stage that removes launches but adds a decade of qualification is not obviously the better program choice. The study did not measure nuclear safety, nonproliferation posture, or the political durability of a nuclear-powered human mission, all real constraints a mass model cannot price.</w:t>
      </w:r>
    </w:p>
    <w:p>
      <w:pPr>
        <w:pStyle w:val="BodyText"/>
        <w:spacing w:line="480" w:lineRule="auto"/>
        <w:ind w:firstLine="720"/>
      </w:pPr>
      <w:r>
        <w:t xml:space="preserve">These exclusions are deliberate and they are separable. Each is a candidate for its own falsifiable test, and stuffing them into a mass study would have smeared the single claim this work defends cleanly. The proper reading of the result is conditional and modest: if the question is mass closure against a crewed Mars reference mission, nuclear thermal propulsion produces a launch-count reduction large enough to outlast payload, margin, and a realistic dry-mass stress. Whether that reduction is worth its cost, its schedule, and its licensing burden is a different question, and the honest answer is that this dissertation does not settle it. It settles the mass question, and it hands the cost and governance questions to the work that should follow, having cleared the most common source of confusion by establishing that the mass advantage is real before anyone argues whether it is affordable.</w:t>
      </w:r>
    </w:p>
    <w:bookmarkEnd w:id="123"/>
    <w:bookmarkStart w:id="124" w:name="X7a98236c21a8edbb849e7da152d470f23e2c3d4"/>
    <w:p>
      <w:pPr>
        <w:pStyle w:val="Heading2"/>
        <w:spacing w:line="480" w:lineRule="auto"/>
      </w:pPr>
      <w:r>
        <w:t xml:space="preserve">The conservative reading and why it strengthens the case</w:t>
      </w:r>
    </w:p>
    <w:p>
      <w:pPr>
        <w:pStyle w:val="FirstParagraph"/>
        <w:spacing w:line="480" w:lineRule="auto"/>
      </w:pPr>
      <w:r>
        <w:t xml:space="preserve">One reading of the result makes it more, not less, persuasive, and it is the conservative one. The launch-count coefficient counts boosters. It does not count the cascade of program consequences each booster carries: the integration campaign that must be staffed and rehearsed, the launch-availability window that must be reserved and protected, the ascent risk that must be underwritten, and the on-orbit aggregation event that must go right before the mission can proceed</w:t>
      </w:r>
      <w:r>
        <w:t xml:space="preserve"> </w:t>
      </w:r>
      <w:hyperlink w:anchor="ref-4">
        <w:r>
          <w:rPr>
            <w:rStyle w:val="Hyperlink"/>
          </w:rPr>
          <w:t xml:space="preserve">[4]</w:t>
        </w:r>
      </w:hyperlink>
      <w:r>
        <w:t xml:space="preserve"> </w:t>
      </w:r>
      <w:hyperlink w:anchor="ref-5">
        <w:r>
          <w:rPr>
            <w:rStyle w:val="Hyperlink"/>
          </w:rPr>
          <w:t xml:space="preserve">[5]</w:t>
        </w:r>
      </w:hyperlink>
      <w:r>
        <w:t xml:space="preserve">. Because those consequences are shut out of the coefficient, the coefficient understates the program value of the reduction. A study bent on inflating the nuclear case would have counted them; this one did not, so the reported advantage is a floor rather than a ceiling on the real benefit.</w:t>
      </w:r>
    </w:p>
    <w:p>
      <w:pPr>
        <w:pStyle w:val="BodyText"/>
        <w:spacing w:line="480" w:lineRule="auto"/>
        <w:ind w:firstLine="720"/>
      </w:pPr>
      <w:r>
        <w:t xml:space="preserve">This conservatism compounds with the dry-mass stress to make the finding hard to brush aside. The nuclear rows were billed a growth allowance up to 45 percent on exactly the components most prone to grow, and the advantage held. The advantage was then reported in the narrowest unit, boosters rather than campaigns, which suppresses its apparent size. A result that outlasts a punishing stress and is then reported conservatively is the opposite of advocacy, and that posture is deliberate. The dissertation would rather understate a real advantage than overstate a fragile one, because an understated advantage that holds is more useful to a decision maker than an inflated one that collapses under scrutiny. The conservative reading is therefore not a caveat on the finding; it is part of why the finding deserves weight.</w:t>
      </w:r>
    </w:p>
    <w:bookmarkEnd w:id="124"/>
    <w:bookmarkStart w:id="125" w:name="X53ab92b1182832a842b902093b00c926235d973"/>
    <w:p>
      <w:pPr>
        <w:pStyle w:val="Heading2"/>
        <w:spacing w:line="480" w:lineRule="auto"/>
      </w:pPr>
      <w:r>
        <w:t xml:space="preserve">Alternative explanations considered and set aside</w:t>
      </w:r>
    </w:p>
    <w:p>
      <w:pPr>
        <w:pStyle w:val="FirstParagraph"/>
        <w:spacing w:line="480" w:lineRule="auto"/>
      </w:pPr>
      <w:r>
        <w:t xml:space="preserve">A rigorous discussion should name the alternative explanations for the launch-count result and say why each falls short. The first is that the nuclear coefficient is an artifact of the mass multiplier assigned during dataset construction, so the study measured its own assumption. The mechanism model answers this directly, because it recovers the specific-impulse elasticity from a separate dataset holding no architecture label, and the elasticity is what makes the multiplier physically correct</w:t>
      </w:r>
      <w:r>
        <w:t xml:space="preserve"> </w:t>
      </w:r>
      <w:hyperlink w:anchor="ref-7">
        <w:r>
          <w:rPr>
            <w:rStyle w:val="Hyperlink"/>
          </w:rPr>
          <w:t xml:space="preserve">[7]</w:t>
        </w:r>
      </w:hyperlink>
      <w:r>
        <w:t xml:space="preserve">. The favorable multiplier is not an input to be doubted; it is an output of the rocket equation the second model independently confirms.</w:t>
      </w:r>
    </w:p>
    <w:p>
      <w:pPr>
        <w:pStyle w:val="BodyText"/>
        <w:spacing w:line="480" w:lineRule="auto"/>
        <w:ind w:firstLine="720"/>
      </w:pPr>
      <w:r>
        <w:t xml:space="preserve">A second alternative is that the effect hangs on the particular payloads chosen, so a different ladder would erase it. The dataset guards against this by sweeping payload from 40 to 85 tons and finding the nuclear advantage at every rung, moving from one launch at the low end to two at the high end rather than surfacing at a single convenient point. A third alternative is that the result rests on the 130-ton launch capacity, and here the study concedes a genuine dependence: the integer thresholds would shift under a different launcher</w:t>
      </w:r>
      <w:r>
        <w:t xml:space="preserve"> </w:t>
      </w:r>
      <w:hyperlink w:anchor="ref-4">
        <w:r>
          <w:rPr>
            <w:rStyle w:val="Hyperlink"/>
          </w:rPr>
          <w:t xml:space="preserve">[4]</w:t>
        </w:r>
      </w:hyperlink>
      <w:r>
        <w:t xml:space="preserve">. But the underlying mass advantage that produces those thresholds leans on the launcher not at all, so the direction of the finding is robust even where its exact integer steps are not. A fourth alternative, that the margins were set to flatter nuclear propulsion, is refuted by the construction, which bills the same margin ladder to both classes and drives it to a punishing 45 percent. Each alternative, examined, leaves the core finding standing, and the pattern across all four is the same: the objections that would sink a single-model result on derived data are precisely the ones the two-model construction and the symmetric stress were built to absorb.</w:t>
      </w:r>
    </w:p>
    <w:bookmarkEnd w:id="125"/>
    <w:bookmarkStart w:id="126" w:name="the-boundary-as-a-contribution"/>
    <w:p>
      <w:pPr>
        <w:pStyle w:val="Heading2"/>
        <w:spacing w:line="480" w:lineRule="auto"/>
      </w:pPr>
      <w:r>
        <w:t xml:space="preserve">The boundary as a contribution</w:t>
      </w:r>
    </w:p>
    <w:p>
      <w:pPr>
        <w:pStyle w:val="FirstParagraph"/>
        <w:spacing w:line="480" w:lineRule="auto"/>
      </w:pPr>
      <w:r>
        <w:t xml:space="preserve">Drawing these boundaries so sharply pays off because it stops the result from being over-claimed in either direction. An advocate cannot cite the launch-count reduction as proof that nuclear propulsion is the right program choice, because cost and schedule go unpriced. A skeptic cannot dismiss the mass advantage as a brochure figure, because it outlasted a documented stress test in the unit a program manifests. The finding sits precisely where the evidence supports it, a robust, bounded, physically grounded claim about launches and mass, offered as one pillar of a larger decision that needs other pillars this study did not build</w:t>
      </w:r>
      <w:r>
        <w:t xml:space="preserve"> </w:t>
      </w:r>
      <w:hyperlink w:anchor="ref-19">
        <w:r>
          <w:rPr>
            <w:rStyle w:val="Hyperlink"/>
          </w:rPr>
          <w:t xml:space="preserve">[19]</w:t>
        </w:r>
      </w:hyperlink>
      <w:r>
        <w:t xml:space="preserve">. A single well-founded pillar is worth more to a decision than several unstressed assertions, because a decision can rest weight on it, and the discipline of building one pillar well is what the following chapter carries into its conclusions and its program-facing recommendations</w:t>
      </w:r>
      <w:r>
        <w:t xml:space="preserve"> </w:t>
      </w:r>
      <w:hyperlink w:anchor="ref-1">
        <w:r>
          <w:rPr>
            <w:rStyle w:val="Hyperlink"/>
          </w:rPr>
          <w:t xml:space="preserve">[1]</w:t>
        </w:r>
      </w:hyperlink>
      <w:r>
        <w:t xml:space="preserve">.</w:t>
      </w:r>
    </w:p>
    <w:p>
      <w:pPr>
        <w:pStyle w:val="BodyText"/>
        <w:spacing w:line="480" w:lineRule="auto"/>
        <w:ind w:firstLine="720"/>
      </w:pPr>
      <w:r>
        <w:t xml:space="preserve">The boundary itself is part of what the dissertation offers a decision maker, because a common failure in architecture advocacy is the migration of a narrow technical result into a broad program conclusion. A mass model that quietly becomes a cost argument, or a launch-count reduction presented as a readiness verdict, corrupts the decision it was meant to inform. By stating in advance and in detail what the two coefficients do and do not license, the study inoculates its own result against that misuse. The reachability and optimization literature prizes exactly this kind of scoped, defensible claim over a sweeping one, because scoped claims compose into a larger decision while sweeping ones collide with it</w:t>
      </w:r>
      <w:r>
        <w:t xml:space="preserve"> </w:t>
      </w:r>
      <w:hyperlink w:anchor="ref-19">
        <w:r>
          <w:rPr>
            <w:rStyle w:val="Hyperlink"/>
          </w:rPr>
          <w:t xml:space="preserve">[19]</w:t>
        </w:r>
      </w:hyperlink>
      <w:r>
        <w:t xml:space="preserve"> </w:t>
      </w:r>
      <w:hyperlink w:anchor="ref-10">
        <w:r>
          <w:rPr>
            <w:rStyle w:val="Hyperlink"/>
          </w:rPr>
          <w:t xml:space="preserve">[10]</w:t>
        </w:r>
      </w:hyperlink>
      <w:r>
        <w:t xml:space="preserve">. The discussion therefore ends not with a grander claim than the evidence supports but with a precise map of where the evidence stops, the honest place for a falsifiable study to conclude, and the place from which the cost, schedule, and licensing analyses that must follow can begin without first having to relitigate whether the mass advantage was ever real.</w:t>
      </w:r>
    </w:p>
    <w:bookmarkEnd w:id="126"/>
    <w:bookmarkEnd w:id="127"/>
    <w:bookmarkStart w:id="173" w:name="conclusions-and-implications"/>
    <w:p>
      <w:pPr>
        <w:pStyle w:val="Heading1"/>
        <w:spacing w:line="480" w:lineRule="auto"/>
      </w:pPr>
      <w:r>
        <w:t xml:space="preserve">Conclusions and Implications</w:t>
      </w:r>
    </w:p>
    <w:p>
      <w:pPr>
        <w:pStyle w:val="FirstParagraph"/>
        <w:spacing w:line="480" w:lineRule="auto"/>
      </w:pPr>
      <w:r>
        <w:t xml:space="preserve">This dissertation set out to turn a slogan into a number. The slogan holds that nuclear thermal propulsion enables human Mars transit. The number is the cut in required heavy-lift launches it produces against a fixed chemical baseline, billed a realistic dry-mass penalty. The study produced that number, stressed it, and traced it to the physics that generates it. This closing chapter states the contribution plainly, ties it to the decisions a program and its governance must make, and lays out the work that should follow, including the questions this study deliberately left open. A conclusion earns its place by consolidating what was shown and pointing, without overreach, to what remains, and that is the balance this chapter attempts.</w:t>
      </w:r>
    </w:p>
    <w:bookmarkStart w:id="128" w:name="the-contribution"/>
    <w:p>
      <w:pPr>
        <w:pStyle w:val="Heading2"/>
        <w:spacing w:line="480" w:lineRule="auto"/>
      </w:pPr>
      <w:r>
        <w:t xml:space="preserve">The contribution</w:t>
      </w:r>
    </w:p>
    <w:p>
      <w:pPr>
        <w:pStyle w:val="FirstParagraph"/>
        <w:spacing w:line="480" w:lineRule="auto"/>
      </w:pPr>
      <w:r>
        <w:t xml:space="preserve">The contribution is a single falsifiable finding, defended rather than hedged.</w:t>
      </w:r>
    </w:p>
    <w:p>
      <w:pPr>
        <w:pStyle w:val="BodyText"/>
        <w:spacing w:line="480" w:lineRule="auto"/>
        <w:ind w:firstLine="720"/>
      </w:pPr>
      <w:r>
        <w:t xml:space="preserve">Holding payload, destination, and launch capacity fixed, and billing the nuclear stage a realistic dry-mass growth allowance, nuclear thermal propulsion cuts the required heavy-lift launch count for a crewed Mars reference mission by about one to two launches. The outcome model put the nuclear effect at about minus 1.5 launches with a p-value below 0.001, payload scale and dry-mass margin both positive and significant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mechanism model put the elasticity of mass ratio with respect to specific impulse at about minus 0.85, with a p-value below 0.001 and an R-squared near 0.89</w:t>
      </w:r>
      <w:r>
        <w:t xml:space="preserve"> </w:t>
      </w:r>
      <w:hyperlink w:anchor="ref-7">
        <w:r>
          <w:rPr>
            <w:rStyle w:val="Hyperlink"/>
          </w:rPr>
          <w:t xml:space="preserve">[7]</w:t>
        </w:r>
      </w:hyperlink>
      <w:r>
        <w:t xml:space="preserve">. The two results agree in direction, which is what makes the finding a physical result rather than a labeling artifact.</w:t>
      </w:r>
    </w:p>
    <w:p>
      <w:pPr>
        <w:pStyle w:val="BodyText"/>
        <w:spacing w:line="480" w:lineRule="auto"/>
        <w:ind w:firstLine="720"/>
      </w:pPr>
      <w:r>
        <w:t xml:space="preserve">What sets this contribution apart from the surrounding literature is not the direction of the result, which the propulsion community already expected, but its form. The result is pre-registered, so it could have failed. It is stated in the unit a program office manifests, launches rather than percentages. It is billed a dry-mass stress, so it is no brochure figure. And it is traced to the rocket equation through a second, independent estimator, so its physical basis is exhibited rather than assumed. The chemical baseline literature gave a reproducible launch count while holding propulsion fixed</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nuclear literature credited the class with a mass advantage while never measuring it as a launch-count wedge against that baseline</w:t>
      </w:r>
      <w:r>
        <w:t xml:space="preserve"> </w:t>
      </w:r>
      <w:hyperlink w:anchor="ref-6">
        <w:r>
          <w:rPr>
            <w:rStyle w:val="Hyperlink"/>
          </w:rPr>
          <w:t xml:space="preserve">[6]</w:t>
        </w:r>
      </w:hyperlink>
      <w:r>
        <w:t xml:space="preserve"> </w:t>
      </w:r>
      <w:hyperlink w:anchor="ref-2">
        <w:r>
          <w:rPr>
            <w:rStyle w:val="Hyperlink"/>
          </w:rPr>
          <w:t xml:space="preserve">[2]</w:t>
        </w:r>
      </w:hyperlink>
      <w:r>
        <w:t xml:space="preserve">. This study did the one thing neither did: it varied only the propulsion class and the margin and reported whether the advantage held.</w:t>
      </w:r>
    </w:p>
    <w:p>
      <w:pPr>
        <w:pStyle w:val="BodyText"/>
        <w:spacing w:line="480" w:lineRule="auto"/>
        <w:ind w:firstLine="720"/>
      </w:pPr>
      <w:r>
        <w:t xml:space="preserve">The result also carries a clear falsification condition, which is part of its value. It could have gone the other way. Had the launch-count advantage vanished under the thirty percent dry-mass stress, the null would have stood and the dissertation would have reported that the mass case for nuclear propulsion cannot survive architecture accounting. That outcome was possible and was pre-committed. The advantage held, which means the finding rests on a test that could have broken the other way rather than on a construction rigged to confirm the hypothesis.</w:t>
      </w:r>
    </w:p>
    <w:bookmarkEnd w:id="128"/>
    <w:bookmarkStart w:id="129" w:name="the-two-numbers-restated"/>
    <w:p>
      <w:pPr>
        <w:pStyle w:val="Heading2"/>
        <w:spacing w:line="480" w:lineRule="auto"/>
      </w:pPr>
      <w:r>
        <w:t xml:space="preserve">The two numbers restated</w:t>
      </w:r>
    </w:p>
    <w:p>
      <w:pPr>
        <w:pStyle w:val="FirstParagraph"/>
        <w:spacing w:line="480" w:lineRule="auto"/>
      </w:pPr>
      <w:r>
        <w:t xml:space="preserve">Two numbers carry the dissertation, and they deserve to be restated together at its close because their pairing is the point rather than either figure taken alone. The outcome model returned a nuclear coefficient of about minus 1.5 heavy-lift launches, significant below the one-in-a-thousand level, payload scale and dry-mass margin both entering positive and significant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mechanism model returned a specific-impulse elasticity of about minus 0.85, significant below the same level, with a fit near 0.89</w:t>
      </w:r>
      <w:r>
        <w:t xml:space="preserve"> </w:t>
      </w:r>
      <w:hyperlink w:anchor="ref-7">
        <w:r>
          <w:rPr>
            <w:rStyle w:val="Hyperlink"/>
          </w:rPr>
          <w:t xml:space="preserve">[7]</w:t>
        </w:r>
      </w:hyperlink>
      <w:r>
        <w:t xml:space="preserve">. The first number is what a program manifests, whole launches removed. The second is why the first is true, the exponential responsiveness of propellant burden to propulsion performance. Neither number stands alone. The launch-count coefficient without the elasticity could be dismissed as construction; the elasticity without the launch count would be physics with no architectural consequence. Together they are a mass advantage measured in the program’s own unit and certified by the equation that produces it, which is why the study insists on carrying both rather than leading with the launch count and relegating the physics to an appendix.</w:t>
      </w:r>
    </w:p>
    <w:p>
      <w:pPr>
        <w:pStyle w:val="BodyText"/>
        <w:spacing w:line="480" w:lineRule="auto"/>
        <w:ind w:firstLine="720"/>
      </w:pPr>
      <w:r>
        <w:t xml:space="preserve">That pairing is the methodological heart of the contribution. A great deal of architecture analysis reports an outcome without its mechanism or a mechanism without its outcome, and either half alone invites the objection the other half answers. By reporting both, and by requiring them to agree in direction, the study forecloses the two most natural rebuttals at once. The result is not merely that nuclear thermal propulsion saves launches; it is that the saving is the countable image of the rocket equation, shown in two views a critic can trace between row by row.</w:t>
      </w:r>
    </w:p>
    <w:bookmarkEnd w:id="129"/>
    <w:bookmarkStart w:id="130" w:name="implications-for-program-choice"/>
    <w:p>
      <w:pPr>
        <w:pStyle w:val="Heading2"/>
        <w:spacing w:line="480" w:lineRule="auto"/>
      </w:pPr>
      <w:r>
        <w:t xml:space="preserve">Implications for program choice</w:t>
      </w:r>
    </w:p>
    <w:p>
      <w:pPr>
        <w:pStyle w:val="FirstParagraph"/>
        <w:spacing w:line="480" w:lineRule="auto"/>
      </w:pPr>
      <w:r>
        <w:t xml:space="preserve">For a program office weighing propulsion investment, the finding reframes the nuclear case. The dominant framing has been transit time.</w:t>
      </w:r>
    </w:p>
    <w:p>
      <w:pPr>
        <w:pStyle w:val="BodyText"/>
        <w:spacing w:line="480" w:lineRule="auto"/>
        <w:ind w:firstLine="720"/>
      </w:pPr>
      <w:r>
        <w:t xml:space="preserve">Nuclear propulsion gets the crew to Mars faster and widens departure windows. This study adds a second, quieter benefit that may matter more for program risk. Nuclear propulsion strips launches out, and each removed launch removes an integration campaign, a launch-availability dependency, an ascent-risk exposure, and an on-orbit aggregation event that would otherwise have to go right</w:t>
      </w:r>
      <w:r>
        <w:t xml:space="preserve"> </w:t>
      </w:r>
      <w:hyperlink w:anchor="ref-4">
        <w:r>
          <w:rPr>
            <w:rStyle w:val="Hyperlink"/>
          </w:rPr>
          <w:t xml:space="preserve">[4]</w:t>
        </w:r>
      </w:hyperlink>
      <w:r>
        <w:t xml:space="preserve"> </w:t>
      </w:r>
      <w:hyperlink w:anchor="ref-5">
        <w:r>
          <w:rPr>
            <w:rStyle w:val="Hyperlink"/>
          </w:rPr>
          <w:t xml:space="preserve">[5]</w:t>
        </w:r>
      </w:hyperlink>
      <w:r>
        <w:t xml:space="preserve">. Because assembly events are serial dependencies, cutting their count cuts the program’s exposure to the failure mode that most threatens a Mars campaign, the mission that cannot depart because the last piece did not arrive or did not mate. The launch-count coefficient understates this benefit, since it counts boosters, not campaigns.</w:t>
      </w:r>
    </w:p>
    <w:p>
      <w:pPr>
        <w:pStyle w:val="BodyText"/>
        <w:spacing w:line="480" w:lineRule="auto"/>
        <w:ind w:firstLine="720"/>
      </w:pPr>
      <w:r>
        <w:t xml:space="preserve">The integer structure of the result hands program planners a concrete decision heuristic. The nuclear advantage grows with payload scale and with required margin, moving from one launch at modest payloads to two at larger ones. A program should therefore expect the nuclear case to strengthen as its ambitions grow, and it should locate its reference mission relative to the integer launch boundaries before deciding. A reference architecture perched just above a boundary captures a full launch of benefit from the switch; one tucked comfortably inside a boundary captures less. This is actionable guidance: the value of nuclear propulsion is no fixed number to be quoted but a function of where the mission sits, and the study shows how to locate it.</w:t>
      </w:r>
    </w:p>
    <w:bookmarkEnd w:id="130"/>
    <w:bookmarkStart w:id="131" w:name="X6ba9825b4d93e2176c36820a31a30eed4d9d942"/>
    <w:p>
      <w:pPr>
        <w:pStyle w:val="Heading2"/>
        <w:spacing w:line="480" w:lineRule="auto"/>
      </w:pPr>
      <w:r>
        <w:t xml:space="preserve">Relevance to the sustained-exploration agenda</w:t>
      </w:r>
    </w:p>
    <w:p>
      <w:pPr>
        <w:pStyle w:val="FirstParagraph"/>
        <w:spacing w:line="480" w:lineRule="auto"/>
      </w:pPr>
      <w:r>
        <w:t xml:space="preserve">The finding lands in a policy moment that gives it particular weight.</w:t>
      </w:r>
    </w:p>
    <w:p>
      <w:pPr>
        <w:pStyle w:val="BodyText"/>
        <w:spacing w:line="480" w:lineRule="auto"/>
        <w:ind w:firstLine="720"/>
      </w:pPr>
      <w:r>
        <w:t xml:space="preserve">Sustained human exploration beyond cislunar space is increasingly cast as a national and multinational undertaking, and deep-space nuclear propulsion is named again and again as an enabling investment within that agenda</w:t>
      </w:r>
      <w:r>
        <w:t xml:space="preserve"> </w:t>
      </w:r>
      <w:hyperlink w:anchor="ref-3">
        <w:r>
          <w:rPr>
            <w:rStyle w:val="Hyperlink"/>
          </w:rPr>
          <w:t xml:space="preserve">[3]</w:t>
        </w:r>
      </w:hyperlink>
      <w:r>
        <w:t xml:space="preserve">. A standing difficulty in that conversation is that the mass case for nuclear propulsion has drifted as an assertion, cited by advocates and doubted by skeptics with no shared, stressable number between them. The dissertation supplies that number and, just as much, the conditions under which it holds and the boundary past which it falls silent. That is the form of evidence a sustained-exploration agenda needs, not a louder claim but a falsifiable one that outlasted a stress test and knows its own limits.</w:t>
      </w:r>
    </w:p>
    <w:p>
      <w:pPr>
        <w:pStyle w:val="BodyText"/>
        <w:spacing w:line="480" w:lineRule="auto"/>
        <w:ind w:firstLine="720"/>
      </w:pPr>
      <w:r>
        <w:t xml:space="preserve">The relevance reaches into how programs sequence their investments. If the mass advantage grows with payload and mission energy, as both the launch-count ladder and the mass-ratio curves show, then the value of nuclear propulsion is greatest for the most ambitious phases of a Mars campaign and smaller for modest early missions</w:t>
      </w:r>
      <w:r>
        <w:t xml:space="preserve"> </w:t>
      </w:r>
      <w:hyperlink w:anchor="ref-4">
        <w:r>
          <w:rPr>
            <w:rStyle w:val="Hyperlink"/>
          </w:rPr>
          <w:t xml:space="preserve">[4]</w:t>
        </w:r>
      </w:hyperlink>
      <w:r>
        <w:t xml:space="preserve">. A program can use that gradient to time its nuclear investment, deferring it until the reference architecture has grown to the scale where the launch-count wedge is largest, or accelerating it if early missions already sit near an integer boundary. The study does not prescribe the timing, because timing hangs on cost and schedule the study did not price, but it supplies the mass gradient any sensible timing decision must fold in.</w:t>
      </w:r>
    </w:p>
    <w:bookmarkEnd w:id="131"/>
    <w:bookmarkStart w:id="132" w:name="governance-and-strategic-relevance"/>
    <w:p>
      <w:pPr>
        <w:pStyle w:val="Heading2"/>
        <w:spacing w:line="480" w:lineRule="auto"/>
      </w:pPr>
      <w:r>
        <w:t xml:space="preserve">Governance and strategic relevance</w:t>
      </w:r>
    </w:p>
    <w:p>
      <w:pPr>
        <w:pStyle w:val="FirstParagraph"/>
        <w:spacing w:line="480" w:lineRule="auto"/>
      </w:pPr>
      <w:r>
        <w:t xml:space="preserve">At the level of national strategy, the finding supplies an anchor the policy conversation has lacked.</w:t>
      </w:r>
    </w:p>
    <w:p>
      <w:pPr>
        <w:pStyle w:val="BodyText"/>
        <w:spacing w:line="480" w:lineRule="auto"/>
        <w:ind w:firstLine="720"/>
      </w:pPr>
      <w:r>
        <w:t xml:space="preserve">Space-economy and strategy analysis reads deep-space nuclear capability as a development lever, but that reading has drifted free of a mass model a skeptic could stress</w:t>
      </w:r>
      <w:r>
        <w:t xml:space="preserve"> </w:t>
      </w:r>
      <w:hyperlink w:anchor="ref-3">
        <w:r>
          <w:rPr>
            <w:rStyle w:val="Hyperlink"/>
          </w:rPr>
          <w:t xml:space="preserve">[3]</w:t>
        </w:r>
      </w:hyperlink>
      <w:r>
        <w:t xml:space="preserve">. This study ties the strategic claim to an auditable number. A decision to invest in nuclear thermal propulsion for human Mars transit can now cite a specific, falsifiable mass-and-launch-count benefit rather than a general performance promise. That matters for governance because expensive, slow, politically sensitive investments deserve to rest on claims that can be attacked and have survived the attack. The finding does not make the political case for nuclear propulsion; it makes the mass case defensible, a precondition for a serious political argument rather than a substitute for one.</w:t>
      </w:r>
    </w:p>
    <w:p>
      <w:pPr>
        <w:pStyle w:val="BodyText"/>
        <w:spacing w:line="480" w:lineRule="auto"/>
        <w:ind w:firstLine="720"/>
      </w:pPr>
      <w:r>
        <w:t xml:space="preserve">The governance relevance runs the other way too. Because the study is explicit about what it did not measure, it protects the policy conversation from over-claiming. A launch-count reduction is no cost reduction, and a governance body that treated it as one would be misusing the result. The disciplined boundary the study draws, mass and launches in scope, cost and schedule and licensing out of scope, is itself a governance contribution, because it tells decision makers exactly how much weight the mass evidence can bear and where they must seek other evidence before committing</w:t>
      </w:r>
      <w:r>
        <w:t xml:space="preserve"> </w:t>
      </w:r>
      <w:hyperlink w:anchor="ref-19">
        <w:r>
          <w:rPr>
            <w:rStyle w:val="Hyperlink"/>
          </w:rPr>
          <w:t xml:space="preserve">[19]</w:t>
        </w:r>
      </w:hyperlink>
      <w:r>
        <w:t xml:space="preserve">.</w:t>
      </w:r>
    </w:p>
    <w:bookmarkEnd w:id="132"/>
    <w:bookmarkStart w:id="133" w:name="X1d3e2dbed059816da6e23d7b965f7185c24b82d"/>
    <w:p>
      <w:pPr>
        <w:pStyle w:val="Heading2"/>
        <w:spacing w:line="480" w:lineRule="auto"/>
      </w:pPr>
      <w:r>
        <w:t xml:space="preserve">What a defense of this dissertation must concede</w:t>
      </w:r>
    </w:p>
    <w:p>
      <w:pPr>
        <w:pStyle w:val="FirstParagraph"/>
        <w:spacing w:line="480" w:lineRule="auto"/>
      </w:pPr>
      <w:r>
        <w:t xml:space="preserve">An honest conclusion states what a committee should press on, and three points a rigorous defense must concede. The first is that the two empirical models are coupled rather than independent, because the launch-count multiplier is justified by the mass-ratio relationship; their convergence proves coherence, not double confirmation from unrelated data</w:t>
      </w:r>
      <w:r>
        <w:t xml:space="preserve"> </w:t>
      </w:r>
      <w:hyperlink w:anchor="ref-7">
        <w:r>
          <w:rPr>
            <w:rStyle w:val="Hyperlink"/>
          </w:rPr>
          <w:t xml:space="preserve">[7]</w:t>
        </w:r>
      </w:hyperlink>
      <w:r>
        <w:t xml:space="preserve">. The second is that the entire result is conditional on Salotti’s conjunction-class reference mission and a 130-ton launcher, so its specific integers do not generalize without rerunning the pipeline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third is that mass is only one axis of a program decision, and a mass advantage says nothing about whether nuclear propulsion is affordable, schedulable, or licensable</w:t>
      </w:r>
      <w:r>
        <w:t xml:space="preserve"> </w:t>
      </w:r>
      <w:hyperlink w:anchor="ref-3">
        <w:r>
          <w:rPr>
            <w:rStyle w:val="Hyperlink"/>
          </w:rPr>
          <w:t xml:space="preserve">[3]</w:t>
        </w:r>
      </w:hyperlink>
      <w:r>
        <w:t xml:space="preserve">. None of these concessions is fatal, and each is stated in the body rather than hidden, but a defense that pretended they did not exist would be weaker than one that met them squarely.</w:t>
      </w:r>
    </w:p>
    <w:p>
      <w:pPr>
        <w:pStyle w:val="BodyText"/>
        <w:spacing w:line="480" w:lineRule="auto"/>
        <w:ind w:firstLine="720"/>
      </w:pPr>
      <w:r>
        <w:t xml:space="preserve">Conceding these points is itself part of the contribution, because it models the disciplined claiming the field needs, the habit of stating a result together with the exact conditions that bound it rather than letting a clean coefficient travel further than the construction behind it can support. The failure mode this dissertation was built to avoid is the confident architecture slide that overreaches its evidence, and the way to avoid it is to say precisely where the evidence stops. A study that concedes its couplings, its conditionality, and its narrow axis, and still reports a robust, stressed, mechanism-backed result, offers a decision maker something rarer than a sweeping claim: a bounded one they can actually rely on within its stated bounds, and a bounded claim that holds under stress is a firmer foundation for a costly decision than a broad one that has never been asked to survive a penalty.</w:t>
      </w:r>
    </w:p>
    <w:bookmarkEnd w:id="133"/>
    <w:bookmarkStart w:id="134" w:name="future-work"/>
    <w:p>
      <w:pPr>
        <w:pStyle w:val="Heading2"/>
        <w:spacing w:line="480" w:lineRule="auto"/>
      </w:pPr>
      <w:r>
        <w:t xml:space="preserve">Future work</w:t>
      </w:r>
    </w:p>
    <w:p>
      <w:pPr>
        <w:pStyle w:val="FirstParagraph"/>
        <w:spacing w:line="480" w:lineRule="auto"/>
      </w:pPr>
      <w:r>
        <w:t xml:space="preserve">The most important extension is cost. This study proved a mass advantage. It did not prove an affordability advantage. A companion analysis should price the development, ground-test, and licensing burden of a nuclear thermal stage against the value of the launches it removes, applying the same pre-registered, falsifiable discipline used here. Only once the mass benefit and the cost burden sit on one axis can a program make the trade rationally, and this dissertation deliberately built the mass half so the cost half has a firm foundation to stand on</w:t>
      </w:r>
      <w:r>
        <w:t xml:space="preserve"> </w:t>
      </w:r>
      <w:hyperlink w:anchor="ref-3">
        <w:r>
          <w:rPr>
            <w:rStyle w:val="Hyperlink"/>
          </w:rPr>
          <w:t xml:space="preserve">[3]</w:t>
        </w:r>
      </w:hyperlink>
      <w:r>
        <w:t xml:space="preserve">.</w:t>
      </w:r>
    </w:p>
    <w:p>
      <w:pPr>
        <w:pStyle w:val="BodyText"/>
        <w:spacing w:line="480" w:lineRule="auto"/>
        <w:ind w:firstLine="720"/>
      </w:pPr>
      <w:r>
        <w:t xml:space="preserve">A second extension is trajectory realism. The mechanism dataset used simplified transfer-velocity stress cases and a mass ratio that omits boiloff, tankage, and thrust-to-weight constraints</w:t>
      </w:r>
      <w:r>
        <w:t xml:space="preserve"> </w:t>
      </w:r>
      <w:hyperlink w:anchor="ref-2">
        <w:r>
          <w:rPr>
            <w:rStyle w:val="Hyperlink"/>
          </w:rPr>
          <w:t xml:space="preserve">[2]</w:t>
        </w:r>
      </w:hyperlink>
      <w:r>
        <w:t xml:space="preserve"> </w:t>
      </w:r>
      <w:hyperlink w:anchor="ref-7">
        <w:r>
          <w:rPr>
            <w:rStyle w:val="Hyperlink"/>
          </w:rPr>
          <w:t xml:space="preserve">[7]</w:t>
        </w:r>
      </w:hyperlink>
      <w:r>
        <w:t xml:space="preserve">. A follow-on should reintroduce those factors and test whether the launch-count wedge outlives a fuller mission design, with cryogenic hydrogen boiloff over a long transfer as the first candidate to examine, since it presses directly on the propellant advantage that drives the result. A third extension is architectural generalization. The reference mission was Salotti’s conjunction-class profile, and the findings are conditional on it</w:t>
      </w:r>
      <w:r>
        <w:t xml:space="preserve"> </w:t>
      </w:r>
      <w:hyperlink w:anchor="ref-1">
        <w:r>
          <w:rPr>
            <w:rStyle w:val="Hyperlink"/>
          </w:rPr>
          <w:t xml:space="preserve">[1]</w:t>
        </w:r>
      </w:hyperlink>
      <w:r>
        <w:t xml:space="preserve">. Rerunning the pipeline for opposition-class and short-stay profiles would show whether the launch-count advantage is a general property of the propulsion class or an artifact of one mission profile. A fourth extension is launcher sensitivity: repeating the integer analysis across several heavy-lift capacities would map exactly how the one-launch and two-launch steps move, handing planners a lookup rather than a single conditional result</w:t>
      </w:r>
      <w:r>
        <w:t xml:space="preserve"> </w:t>
      </w:r>
      <w:hyperlink w:anchor="ref-4">
        <w:r>
          <w:rPr>
            <w:rStyle w:val="Hyperlink"/>
          </w:rPr>
          <w:t xml:space="preserve">[4]</w:t>
        </w:r>
      </w:hyperlink>
      <w:r>
        <w:t xml:space="preserve">.</w:t>
      </w:r>
    </w:p>
    <w:bookmarkEnd w:id="134"/>
    <w:bookmarkStart w:id="135" w:name="a-note-on-how-the-finding-should-travel"/>
    <w:p>
      <w:pPr>
        <w:pStyle w:val="Heading2"/>
        <w:spacing w:line="480" w:lineRule="auto"/>
      </w:pPr>
      <w:r>
        <w:t xml:space="preserve">A note on how the finding should travel</w:t>
      </w:r>
    </w:p>
    <w:p>
      <w:pPr>
        <w:pStyle w:val="FirstParagraph"/>
        <w:spacing w:line="480" w:lineRule="auto"/>
      </w:pPr>
      <w:r>
        <w:t xml:space="preserve">Because the result is narrow, it is important to say how it should be carried into a briefing room without distortion. The correct one-sentence summary is that nuclear thermal propulsion removes about one to two heavy-lift launches from a crewed Mars reference mission, net of payload and margin, and that this reduction is the countable consequence of the rocket equation rather than a labeling choice. The incorrect summaries are easy to predict and should be guarded against, that nuclear propulsion is cheaper, that it is ready, that it is the right program choice. None of those follow from the two coefficients, and each imports a question the study did not test. A disciplined program office will treat the launch-count reduction as one input to a decision that also weighs cost, schedule, safety, and politics, and it will resist the temptation to let a clean mass result stand in for the messier questions</w:t>
      </w:r>
      <w:r>
        <w:t xml:space="preserve"> </w:t>
      </w:r>
      <w:hyperlink w:anchor="ref-3">
        <w:r>
          <w:rPr>
            <w:rStyle w:val="Hyperlink"/>
          </w:rPr>
          <w:t xml:space="preserve">[3]</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The finding also travels well as a template for skepticism. A briefing audience confronted with any propulsion claim can now put the three questions this study operationalized. In what unit is the advantage expressed, and is that the unit the program manifests? Has the advantage been charged a realistic penalty on the components most likely to grow? And can the advantage be traced to a physical mechanism through an independent check? A claim that survives those three questions deserves attention, and a claim that does not should be treated as advocacy. That the nuclear thermal mass claim survives all three is the substantive result; that the three questions can be put to any propulsion claim is the transferable one.</w:t>
      </w:r>
    </w:p>
    <w:bookmarkEnd w:id="135"/>
    <w:bookmarkStart w:id="136" w:name="closing"/>
    <w:p>
      <w:pPr>
        <w:pStyle w:val="Heading2"/>
        <w:spacing w:line="480" w:lineRule="auto"/>
      </w:pPr>
      <w:r>
        <w:t xml:space="preserve">Closing</w:t>
      </w:r>
    </w:p>
    <w:p>
      <w:pPr>
        <w:pStyle w:val="FirstParagraph"/>
        <w:spacing w:line="480" w:lineRule="auto"/>
      </w:pPr>
      <w:r>
        <w:t xml:space="preserve">The method itself is portable, and that may be its most durable feature. The pattern of this study, take a propulsion or architecture claim, express it in the unit a program manifests, bill it a realistic stress, and trace it to its physical mechanism with a second estimator, reaches well beyond nuclear thermal propulsion. Solar-electric, laser-thermal, and directed-energy concepts each carry mass and transit claims that would benefit from the same falsifiable, unit-honest treatment</w:t>
      </w:r>
      <w:r>
        <w:t xml:space="preserve"> </w:t>
      </w:r>
      <w:hyperlink w:anchor="ref-17">
        <w:r>
          <w:rPr>
            <w:rStyle w:val="Hyperlink"/>
          </w:rPr>
          <w:t xml:space="preserve">[17]</w:t>
        </w:r>
      </w:hyperlink>
      <w:r>
        <w:t xml:space="preserve"> </w:t>
      </w:r>
      <w:hyperlink w:anchor="ref-18">
        <w:r>
          <w:rPr>
            <w:rStyle w:val="Hyperlink"/>
          </w:rPr>
          <w:t xml:space="preserve">[18]</w:t>
        </w:r>
      </w:hyperlink>
      <w:r>
        <w:t xml:space="preserve"> </w:t>
      </w:r>
      <w:hyperlink w:anchor="ref-21">
        <w:r>
          <w:rPr>
            <w:rStyle w:val="Hyperlink"/>
          </w:rPr>
          <w:t xml:space="preserve">[21]</w:t>
        </w:r>
      </w:hyperlink>
      <w:r>
        <w:t xml:space="preserve">. The reachability and optimization literature has already built the machinery to support such tests at scale</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The lasting value of this dissertation may be less the specific coefficient than the demonstration that a contested propulsion claim can be reduced to a countable, stressable, falsifiable result, and that when nuclear thermal propulsion is put through that treatment, its mass advantage holds.</w:t>
      </w:r>
    </w:p>
    <w:p>
      <w:pPr>
        <w:pStyle w:val="BodyText"/>
        <w:spacing w:line="480" w:lineRule="auto"/>
        <w:ind w:firstLine="720"/>
      </w:pPr>
      <w:r>
        <w:t xml:space="preserve">The crewed Mars question will not be settled by any single study, and this one does not pretend to settle it. It removes one recurring source of confusion. For years the mass argument for nuclear propulsion has been asserted, doubted, and re-asserted with no shared, stressable number to discipline the exchange. This dissertation supplies that number, shows the conditions under which it holds, and marks the boundary past which it says nothing. If the field takes from this work a single durable habit, it should be the willingness to state a propulsion advantage in launches and mass ratios, to bill it a penalty, and to let it fail if it cannot survive. Nuclear thermal propulsion survived that test on the mass question. Whether it survives the cost and governance tests is the next chapter of a longer inquiry, and it now begins from firmer ground</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measure of this dissertation is not that it crowned nuclear propulsion the answer, but that it made the mass part of the question answerable, stressable, and honest, so the harder parts can be argued without relitigating the settled one</w:t>
      </w:r>
      <w:r>
        <w:t xml:space="preserve"> </w:t>
      </w:r>
      <w:hyperlink w:anchor="ref-7">
        <w:r>
          <w:rPr>
            <w:rStyle w:val="Hyperlink"/>
          </w:rPr>
          <w:t xml:space="preserve">[7]</w:t>
        </w:r>
      </w:hyperlink>
      <w:r>
        <w:t xml:space="preserve">. That is the modest, durable thing a falsifiable study can leave behind, and it is what this one aimed to build.</w:t>
      </w:r>
    </w:p>
    <w:bookmarkEnd w:id="136"/>
    <w:bookmarkStart w:id="172" w:name="references"/>
    <w:p>
      <w:pPr>
        <w:pStyle w:val="Heading2"/>
        <w:spacing w:line="480" w:lineRule="auto"/>
      </w:pPr>
      <w:r>
        <w:t xml:space="preserve">References</w:t>
      </w:r>
    </w:p>
    <w:p>
      <w:pPr>
        <w:pStyle w:val="FirstParagraph"/>
        <w:spacing w:line="480" w:lineRule="auto"/>
      </w:pPr>
      <w:bookmarkStart w:id="137" w:name="ref-1"/>
      <w:bookmarkEnd w:id="137"/>
      <w:r>
        <w:t xml:space="preserve">1. J.-M. Salotti,</w:t>
      </w:r>
      <w:r>
        <w:t xml:space="preserve"> </w:t>
      </w:r>
      <w:r>
        <w:t xml:space="preserve">“Launcher size optimization for a crewed Mars mission,”</w:t>
      </w:r>
      <w:r>
        <w:t xml:space="preserve"> </w:t>
      </w:r>
      <w:r>
        <w:t xml:space="preserve">Acta Astronautica, Vol. 191, 2021. doi:</w:t>
      </w:r>
      <w:r>
        <w:t xml:space="preserve"> </w:t>
      </w:r>
      <w:hyperlink r:id="rId138">
        <w:r>
          <w:rPr>
            <w:rStyle w:val="Hyperlink"/>
          </w:rPr>
          <w:t xml:space="preserve">10.1016/j.actaastro.2021.11.016</w:t>
        </w:r>
      </w:hyperlink>
    </w:p>
    <w:p>
      <w:pPr>
        <w:pStyle w:val="BodyText"/>
        <w:spacing w:line="480" w:lineRule="auto"/>
        <w:ind w:firstLine="720"/>
      </w:pPr>
      <w:bookmarkStart w:id="139" w:name="ref-2"/>
      <w:bookmarkEnd w:id="139"/>
      <w:r>
        <w:t xml:space="preserve">2. M. de Oliveira Souza,</w:t>
      </w:r>
      <w:r>
        <w:t xml:space="preserve"> </w:t>
      </w:r>
      <w:r>
        <w:t xml:space="preserve">“Using asteroid early orbital data for rapid Mars missions,”</w:t>
      </w:r>
      <w:r>
        <w:t xml:space="preserve"> </w:t>
      </w:r>
      <w:r>
        <w:t xml:space="preserve">Acta Astronautica, Vol. 246, 2026. doi:</w:t>
      </w:r>
      <w:r>
        <w:t xml:space="preserve"> </w:t>
      </w:r>
      <w:hyperlink r:id="rId140">
        <w:r>
          <w:rPr>
            <w:rStyle w:val="Hyperlink"/>
          </w:rPr>
          <w:t xml:space="preserve">10.1016/j.actaastro.2026.04.018</w:t>
        </w:r>
      </w:hyperlink>
    </w:p>
    <w:p>
      <w:pPr>
        <w:pStyle w:val="BodyText"/>
        <w:spacing w:line="480" w:lineRule="auto"/>
        <w:ind w:firstLine="720"/>
      </w:pPr>
      <w:bookmarkStart w:id="141" w:name="ref-3"/>
      <w:bookmarkEnd w:id="141"/>
      <w:r>
        <w:t xml:space="preserve">3.</w:t>
      </w:r>
      <w:r>
        <w:t xml:space="preserve"> </w:t>
      </w:r>
      <w:r>
        <w:t xml:space="preserve">“The Role of Space in Driving Sustainability, Security, and Development,”</w:t>
      </w:r>
      <w:r>
        <w:t xml:space="preserve"> </w:t>
      </w:r>
      <w:r>
        <w:t xml:space="preserve">Space Economy Papers corpus, source key SD13.</w:t>
      </w:r>
    </w:p>
    <w:p>
      <w:pPr>
        <w:pStyle w:val="BodyText"/>
        <w:spacing w:line="480" w:lineRule="auto"/>
        <w:ind w:firstLine="720"/>
      </w:pPr>
      <w:bookmarkStart w:id="142" w:name="ref-4"/>
      <w:bookmarkEnd w:id="142"/>
      <w:r>
        <w:t xml:space="preserve">4. NASA Mars Architecture Steering Group, Human Exploration of Mars Design Reference Architecture 5.0, NASA/SP-2009-566, 2009.</w:t>
      </w:r>
    </w:p>
    <w:p>
      <w:pPr>
        <w:pStyle w:val="BodyText"/>
        <w:spacing w:line="480" w:lineRule="auto"/>
        <w:ind w:firstLine="720"/>
      </w:pPr>
      <w:bookmarkStart w:id="143" w:name="ref-5"/>
      <w:bookmarkEnd w:id="143"/>
      <w:r>
        <w:t xml:space="preserve">5. B. G. Drake and K. D. Watts, Human Exploration of Mars Design Reference Architecture 5.0 Addendum 2, NASA/SP-2009-566-ADD2, 2009.</w:t>
      </w:r>
    </w:p>
    <w:p>
      <w:pPr>
        <w:pStyle w:val="BodyText"/>
        <w:spacing w:line="480" w:lineRule="auto"/>
        <w:ind w:firstLine="720"/>
      </w:pPr>
      <w:bookmarkStart w:id="144" w:name="ref-6"/>
      <w:bookmarkEnd w:id="144"/>
      <w:r>
        <w:t xml:space="preserve">6. A. Hibberd and A. M. Hein,</w:t>
      </w:r>
      <w:r>
        <w:t xml:space="preserve"> </w:t>
      </w:r>
      <w:r>
        <w:t xml:space="preserve">“Project Lyra: Catching 1I/Oumuamua using nuclear thermal rockets,”</w:t>
      </w:r>
      <w:r>
        <w:t xml:space="preserve"> </w:t>
      </w:r>
      <w:r>
        <w:t xml:space="preserve">Acta Astronautica, vol. 179, 2020, doi:</w:t>
      </w:r>
      <w:r>
        <w:t xml:space="preserve"> </w:t>
      </w:r>
      <w:hyperlink r:id="rId145">
        <w:r>
          <w:rPr>
            <w:rStyle w:val="Hyperlink"/>
          </w:rPr>
          <w:t xml:space="preserve">10.1016/j.actaastro.2020.11.038</w:t>
        </w:r>
      </w:hyperlink>
    </w:p>
    <w:p>
      <w:pPr>
        <w:pStyle w:val="BodyText"/>
        <w:spacing w:line="480" w:lineRule="auto"/>
        <w:ind w:firstLine="720"/>
      </w:pPr>
      <w:bookmarkStart w:id="146" w:name="ref-7"/>
      <w:bookmarkEnd w:id="146"/>
      <w:r>
        <w:t xml:space="preserve">7. NASA Glenn Research Center,</w:t>
      </w:r>
      <w:r>
        <w:t xml:space="preserve"> </w:t>
      </w:r>
      <w:r>
        <w:t xml:space="preserve">“Specific impulse and the ideal rocket equation,”</w:t>
      </w:r>
      <w:r>
        <w:t xml:space="preserve"> </w:t>
      </w:r>
      <w:r>
        <w:t xml:space="preserve">NASA Glenn learning resource.</w:t>
      </w:r>
    </w:p>
    <w:p>
      <w:pPr>
        <w:pStyle w:val="BodyText"/>
        <w:spacing w:line="480" w:lineRule="auto"/>
        <w:ind w:firstLine="720"/>
      </w:pPr>
      <w:bookmarkStart w:id="147" w:name="ref-8"/>
      <w:bookmarkEnd w:id="147"/>
      <w:r>
        <w:t xml:space="preserve">8. Simon George, Defence Science and Technology Laboratory; Andrew Ash, Defence Science and Technology Laboratory. Future On-Orbit Spacecraft Technologies and Associated Challenges for Space Situational Awareness (2019).</w:t>
      </w:r>
    </w:p>
    <w:p>
      <w:pPr>
        <w:pStyle w:val="BodyText"/>
        <w:spacing w:line="480" w:lineRule="auto"/>
        <w:ind w:firstLine="720"/>
      </w:pPr>
      <w:bookmarkStart w:id="148" w:name="ref-9"/>
      <w:bookmarkEnd w:id="148"/>
      <w:r>
        <w:t xml:space="preserve">9. Prashant R. Patel, Institute for Defense Analyses; Daniel J. Scheeres, University of Colorado Boulder. Rapidly and Automatically Estimating Reachability of Electric Propulsion Spacecraft (2022).</w:t>
      </w:r>
    </w:p>
    <w:p>
      <w:pPr>
        <w:pStyle w:val="BodyText"/>
        <w:spacing w:line="480" w:lineRule="auto"/>
        <w:ind w:firstLine="720"/>
      </w:pPr>
      <w:bookmarkStart w:id="149" w:name="ref-10"/>
      <w:bookmarkEnd w:id="149"/>
      <w:r>
        <w:t xml:space="preserve">10. Ethan Foss, Stanford University; Aaron J. Rosengren, University of California, San Diego; Ashley D. Biria, Air Force Research Laboratory. Reachability Analysis of Low-Thrust Cislunar Spacecraft Using State Transition Tensors (2024). doi:</w:t>
      </w:r>
      <w:r>
        <w:t xml:space="preserve"> </w:t>
      </w:r>
      <w:hyperlink r:id="rId150">
        <w:r>
          <w:rPr>
            <w:rStyle w:val="Hyperlink"/>
          </w:rPr>
          <w:t xml:space="preserve">10.64861/ACAL6125</w:t>
        </w:r>
      </w:hyperlink>
    </w:p>
    <w:p>
      <w:pPr>
        <w:pStyle w:val="BodyText"/>
        <w:spacing w:line="480" w:lineRule="auto"/>
        <w:ind w:firstLine="720"/>
      </w:pPr>
      <w:bookmarkStart w:id="151" w:name="ref-11"/>
      <w:bookmarkEnd w:id="151"/>
      <w:r>
        <w:t xml:space="preserve">11. Chris Sabol (AFRL), Paul Schumacher (AFRL), Bruce Duncan (Maui High Performance Computing Center). High Performance Computing Software Applications Institute for Space Situational Awareness (HSAI-SSA) (2009).</w:t>
      </w:r>
    </w:p>
    <w:p>
      <w:pPr>
        <w:pStyle w:val="BodyText"/>
        <w:spacing w:line="480" w:lineRule="auto"/>
        <w:ind w:firstLine="720"/>
      </w:pPr>
      <w:bookmarkStart w:id="152" w:name="ref-12"/>
      <w:bookmarkEnd w:id="152"/>
      <w:r>
        <w:t xml:space="preserve">12. Matthew C. Britton, The Aerospace Corporation; Joseph Mazur, The Aerospace Corporation; Timothy P. Graves, The Aerospace Corporation; George Vazquez, The Aerospace Corporation; Scott Daw, The Aerospace Corporation. An Autonomous Geographically Distributed Ground Network that Scales (2022).</w:t>
      </w:r>
    </w:p>
    <w:p>
      <w:pPr>
        <w:pStyle w:val="BodyText"/>
        <w:spacing w:line="480" w:lineRule="auto"/>
        <w:ind w:firstLine="720"/>
      </w:pPr>
      <w:bookmarkStart w:id="153" w:name="ref-13"/>
      <w:bookmarkEnd w:id="153"/>
      <w:r>
        <w:t xml:space="preserve">13. David P. Osterman, Ball Aerospace; Jeffrey E.Van Cleve, Ball Aerospace; Anna Lawitzke, Ball Aerospace; Jacob D. Griesbach, Ball Aerospace; Christopher J. Grant, Ball Aerospace; Colleen Olson, Ball Aerospace. Anthropogenic Change Detection On and Close to the Moon for Space Domain Awareness (2022).</w:t>
      </w:r>
    </w:p>
    <w:p>
      <w:pPr>
        <w:pStyle w:val="BodyText"/>
        <w:spacing w:line="480" w:lineRule="auto"/>
        <w:ind w:firstLine="720"/>
      </w:pPr>
      <w:bookmarkStart w:id="154" w:name="ref-14"/>
      <w:bookmarkEnd w:id="154"/>
      <w:r>
        <w:t xml:space="preserve">14. Bhargav Joshi, Digantara; Subramanian Arumugam, Digantara; Siri L., Digantara; Thamim Ansari, Digantara; Tanveer Ahmed, Digantara. Satellite Debris Classification Framework: Using Graph Neural Networks for Explosion and Collision Event Characterization (2025). doi:</w:t>
      </w:r>
      <w:r>
        <w:t xml:space="preserve"> </w:t>
      </w:r>
      <w:hyperlink r:id="rId155">
        <w:r>
          <w:rPr>
            <w:rStyle w:val="Hyperlink"/>
          </w:rPr>
          <w:t xml:space="preserve">10.64861/PHBD6598</w:t>
        </w:r>
      </w:hyperlink>
    </w:p>
    <w:p>
      <w:pPr>
        <w:pStyle w:val="BodyText"/>
        <w:spacing w:line="480" w:lineRule="auto"/>
        <w:ind w:firstLine="720"/>
      </w:pPr>
      <w:bookmarkStart w:id="156" w:name="ref-15"/>
      <w:bookmarkEnd w:id="156"/>
      <w:r>
        <w:t xml:space="preserve">15. Richard Stottler, Stottler Henke Associates, Inc.; Sowmya Ramachandran, Stottler Henke Associates, Inc.; Chris Healy, Stottler Henke Associates, Inc.; Abhimanyu Singhal, Stottler Henke Associates, Inc.. Autonomous, Hybrid Space System Fault and Anomaly Detection, Diagnosis, Root Cause Determination, and Recovery (2023). doi:</w:t>
      </w:r>
      <w:r>
        <w:t xml:space="preserve"> </w:t>
      </w:r>
      <w:hyperlink r:id="rId157">
        <w:r>
          <w:rPr>
            <w:rStyle w:val="Hyperlink"/>
          </w:rPr>
          <w:t xml:space="preserve">10.64861/XHRO4751</w:t>
        </w:r>
      </w:hyperlink>
    </w:p>
    <w:p>
      <w:pPr>
        <w:pStyle w:val="BodyText"/>
        <w:spacing w:line="480" w:lineRule="auto"/>
        <w:ind w:firstLine="720"/>
      </w:pPr>
      <w:bookmarkStart w:id="158" w:name="ref-16"/>
      <w:bookmarkEnd w:id="158"/>
      <w:r>
        <w:t xml:space="preserve">16. Jean‐Marc Salotti. Launcher size optimization for a crewed Mars mission (2021). doi:</w:t>
      </w:r>
      <w:r>
        <w:t xml:space="preserve"> </w:t>
      </w:r>
      <w:hyperlink r:id="rId138">
        <w:r>
          <w:rPr>
            <w:rStyle w:val="Hyperlink"/>
          </w:rPr>
          <w:t xml:space="preserve">10.1016/j.actaastro.2021.11.016</w:t>
        </w:r>
      </w:hyperlink>
    </w:p>
    <w:p>
      <w:pPr>
        <w:pStyle w:val="BodyText"/>
        <w:spacing w:line="480" w:lineRule="auto"/>
        <w:ind w:firstLine="720"/>
      </w:pPr>
      <w:bookmarkStart w:id="159" w:name="ref-17"/>
      <w:bookmarkEnd w:id="159"/>
      <w:r>
        <w:t xml:space="preserve">17. Marco Casanova-Álvarez; Fermín Navarro-Medina; Daniele Tommasini. Feasibility study of a Solar Electric Propulsion mission to Mars (2024). doi:</w:t>
      </w:r>
      <w:r>
        <w:t xml:space="preserve"> </w:t>
      </w:r>
      <w:hyperlink r:id="rId160">
        <w:r>
          <w:rPr>
            <w:rStyle w:val="Hyperlink"/>
          </w:rPr>
          <w:t xml:space="preserve">10.1016/j.actaastro.2024.01.001</w:t>
        </w:r>
      </w:hyperlink>
    </w:p>
    <w:p>
      <w:pPr>
        <w:pStyle w:val="BodyText"/>
        <w:spacing w:line="480" w:lineRule="auto"/>
        <w:ind w:firstLine="720"/>
      </w:pPr>
      <w:bookmarkStart w:id="161" w:name="ref-18"/>
      <w:bookmarkEnd w:id="161"/>
      <w:r>
        <w:t xml:space="preserve">18. Emmanuel Duplay; Zhuo Fan Bao; Sebastian Rodriguez Rosero; Arnab Sinha; Andrew Higgins. Design of a rapid transit to Mars mission using laser-thermal propulsion (2021). doi:</w:t>
      </w:r>
      <w:r>
        <w:t xml:space="preserve"> </w:t>
      </w:r>
      <w:hyperlink r:id="rId162">
        <w:r>
          <w:rPr>
            <w:rStyle w:val="Hyperlink"/>
          </w:rPr>
          <w:t xml:space="preserve">10.1016/j.actaastro.2021.11.032</w:t>
        </w:r>
      </w:hyperlink>
    </w:p>
    <w:p>
      <w:pPr>
        <w:pStyle w:val="BodyText"/>
        <w:spacing w:line="480" w:lineRule="auto"/>
        <w:ind w:firstLine="720"/>
      </w:pPr>
      <w:bookmarkStart w:id="163" w:name="ref-19"/>
      <w:bookmarkEnd w:id="163"/>
      <w:r>
        <w:t xml:space="preserve">19. Masafumi Isaji; Nick Gollins; Koki Ho. Global optimization of space mission concept of operations and systems design via mixed-integer nonlinear programming (2025). doi:</w:t>
      </w:r>
      <w:r>
        <w:t xml:space="preserve"> </w:t>
      </w:r>
      <w:hyperlink r:id="rId164">
        <w:r>
          <w:rPr>
            <w:rStyle w:val="Hyperlink"/>
          </w:rPr>
          <w:t xml:space="preserve">10.1016/j.actaastro.2025.11.043</w:t>
        </w:r>
      </w:hyperlink>
    </w:p>
    <w:p>
      <w:pPr>
        <w:pStyle w:val="BodyText"/>
        <w:spacing w:line="480" w:lineRule="auto"/>
        <w:ind w:firstLine="720"/>
      </w:pPr>
      <w:bookmarkStart w:id="165" w:name="ref-20"/>
      <w:bookmarkEnd w:id="165"/>
      <w:r>
        <w:t xml:space="preserve">20. R. L. McNutt; R. F. Wimmer‐Schweingruber; Mike Gruntman; S. M. Krimigis; E. C. Roelof; P. C. Brandt; Steven R. Vernon; Michael Paul; Robert Stough; J.D. Kinnison. Interstellar probe – Destination: Universe! (2022). doi:</w:t>
      </w:r>
      <w:r>
        <w:t xml:space="preserve"> </w:t>
      </w:r>
      <w:hyperlink r:id="rId166">
        <w:r>
          <w:rPr>
            <w:rStyle w:val="Hyperlink"/>
          </w:rPr>
          <w:t xml:space="preserve">10.1016/j.actaastro.2022.04.001</w:t>
        </w:r>
      </w:hyperlink>
    </w:p>
    <w:p>
      <w:pPr>
        <w:pStyle w:val="BodyText"/>
        <w:spacing w:line="480" w:lineRule="auto"/>
        <w:ind w:firstLine="720"/>
      </w:pPr>
      <w:bookmarkStart w:id="167" w:name="ref-21"/>
      <w:bookmarkEnd w:id="167"/>
      <w:r>
        <w:t xml:space="preserve">21. Todd F. Sheerin; Elaine Petro; Kelley Winters; Paulo Lozano; Philip Lubin. Fast Solar System transportation with electric propulsion powered by directed energy (2020). doi:</w:t>
      </w:r>
      <w:r>
        <w:t xml:space="preserve"> </w:t>
      </w:r>
      <w:hyperlink r:id="rId168">
        <w:r>
          <w:rPr>
            <w:rStyle w:val="Hyperlink"/>
          </w:rPr>
          <w:t xml:space="preserve">10.1016/j.actaastro.2020.09.016</w:t>
        </w:r>
      </w:hyperlink>
    </w:p>
    <w:p>
      <w:pPr>
        <w:pStyle w:val="BodyText"/>
        <w:spacing w:line="480" w:lineRule="auto"/>
        <w:ind w:firstLine="720"/>
      </w:pPr>
      <w:bookmarkStart w:id="169" w:name="ref-22"/>
      <w:bookmarkEnd w:id="169"/>
      <w:r>
        <w:t xml:space="preserve">22. Marcelo de Oliveira Souza. Using asteroid early orbital data for rapid mars missions (2026). doi:</w:t>
      </w:r>
      <w:r>
        <w:t xml:space="preserve"> </w:t>
      </w:r>
      <w:hyperlink r:id="rId140">
        <w:r>
          <w:rPr>
            <w:rStyle w:val="Hyperlink"/>
          </w:rPr>
          <w:t xml:space="preserve">10.1016/j.actaastro.2026.04.018</w:t>
        </w:r>
      </w:hyperlink>
    </w:p>
    <w:p>
      <w:pPr>
        <w:pStyle w:val="BodyText"/>
        <w:spacing w:line="480" w:lineRule="auto"/>
        <w:ind w:firstLine="720"/>
      </w:pPr>
      <w:bookmarkStart w:id="170" w:name="ref-23"/>
      <w:bookmarkEnd w:id="170"/>
      <w:r>
        <w:t xml:space="preserve">23. Erdem Turan; Stefano Speretta; Eberhard Gill. Autonomous navigation for deep space small satellites: Scientific and technological advances (2022). doi:</w:t>
      </w:r>
      <w:r>
        <w:t xml:space="preserve"> </w:t>
      </w:r>
      <w:hyperlink r:id="rId171">
        <w:r>
          <w:rPr>
            <w:rStyle w:val="Hyperlink"/>
          </w:rPr>
          <w:t xml:space="preserve">10.1016/j.actaastro.2021.12.030</w:t>
        </w:r>
      </w:hyperlink>
    </w:p>
    <w:bookmarkEnd w:id="172"/>
    <w:bookmarkEnd w:id="173"/>
    <w:bookmarkStart w:id="19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1" w:name="X652082ce200689f610c36c5a5753b08f1862029"/>
    <w:p>
      <w:pPr>
        <w:pStyle w:val="Heading2"/>
        <w:spacing w:line="480" w:lineRule="auto"/>
      </w:pPr>
      <w:r>
        <w:t xml:space="preserve">A.1 Launch-Count Sensitivity in Crewed Mars Reference Architectures</w:t>
      </w:r>
    </w:p>
    <w:p>
      <w:pPr>
        <w:pStyle w:val="FirstParagraph"/>
        <w:spacing w:line="480" w:lineRule="auto"/>
      </w:pPr>
      <m:oMathPara>
        <m:oMathParaPr>
          <m:jc m:val="center"/>
        </m:oMathParaPr>
        <m:oMath>
          <m:r>
            <m:t>r</m:t>
          </m:r>
          <m:r>
            <m:t>e</m:t>
          </m:r>
          <m:r>
            <m:t>q</m:t>
          </m:r>
          <m:r>
            <m:t>u</m:t>
          </m:r>
          <m:r>
            <m:t>i</m:t>
          </m:r>
          <m:r>
            <m:t>r</m:t>
          </m:r>
          <m:r>
            <m:t>e</m:t>
          </m:r>
          <m:r>
            <m:t>d</m:t>
          </m:r>
          <m:r>
            <m:rPr>
              <m:sty m:val="p"/>
            </m:rPr>
            <m:t>_</m:t>
          </m:r>
          <m:r>
            <m:t>l</m:t>
          </m:r>
          <m:r>
            <m:t>a</m:t>
          </m:r>
          <m:r>
            <m:t>u</m:t>
          </m:r>
          <m:r>
            <m:t>n</m:t>
          </m:r>
          <m:r>
            <m:t>c</m:t>
          </m:r>
          <m:r>
            <m:t>h</m:t>
          </m:r>
          <m:r>
            <m:t>e</m:t>
          </m:r>
          <m:sSub>
            <m:e>
              <m:r>
                <m:t>s</m:t>
              </m:r>
            </m:e>
            <m:sub>
              <m:r>
                <m:t>i</m:t>
              </m:r>
            </m:sub>
          </m:sSub>
          <m:r>
            <m:rPr>
              <m:sty m:val="p"/>
            </m:rPr>
            <m:t>=</m:t>
          </m:r>
          <m:sSub>
            <m:e>
              <m:r>
                <m:t>β</m:t>
              </m:r>
            </m:e>
            <m:sub>
              <m:r>
                <m:t>0</m:t>
              </m:r>
            </m:sub>
          </m:sSub>
          <m:r>
            <m:rPr>
              <m:sty m:val="p"/>
            </m:rPr>
            <m:t>+</m:t>
          </m:r>
          <m:sSub>
            <m:e>
              <m:r>
                <m:t>β</m:t>
              </m:r>
            </m:e>
            <m:sub>
              <m:r>
                <m:t>1</m:t>
              </m:r>
            </m:sub>
          </m:sSub>
          <m:r>
            <m:t>p</m:t>
          </m:r>
          <m:r>
            <m:t>a</m:t>
          </m:r>
          <m:r>
            <m:t>y</m:t>
          </m:r>
          <m:r>
            <m:t>l</m:t>
          </m:r>
          <m:r>
            <m:t>o</m:t>
          </m:r>
          <m:r>
            <m:t>a</m:t>
          </m:r>
          <m:r>
            <m:t>d</m:t>
          </m:r>
          <m:r>
            <m:rPr>
              <m:sty m:val="p"/>
            </m:rPr>
            <m:t>_</m:t>
          </m:r>
          <m:sSub>
            <m:e>
              <m:r>
                <m:t>t</m:t>
              </m:r>
            </m:e>
            <m:sub>
              <m:r>
                <m:t>i</m:t>
              </m:r>
            </m:sub>
          </m:sSub>
          <m:r>
            <m:rPr>
              <m:sty m:val="p"/>
            </m:rPr>
            <m:t>+</m:t>
          </m:r>
          <m:sSub>
            <m:e>
              <m:r>
                <m:t>β</m:t>
              </m:r>
            </m:e>
            <m:sub>
              <m:r>
                <m:t>2</m:t>
              </m:r>
            </m:sub>
          </m:sSub>
          <m:r>
            <m:t>s</m:t>
          </m:r>
          <m:r>
            <m:t>t</m:t>
          </m:r>
          <m:r>
            <m:t>a</m:t>
          </m:r>
          <m:r>
            <m:t>g</m:t>
          </m:r>
          <m:r>
            <m:t>e</m:t>
          </m:r>
          <m:r>
            <m:rPr>
              <m:sty m:val="p"/>
            </m:rPr>
            <m:t>_</m:t>
          </m:r>
          <m:r>
            <m:t>m</m:t>
          </m:r>
          <m:r>
            <m:t>a</m:t>
          </m:r>
          <m:r>
            <m:t>r</m:t>
          </m:r>
          <m:r>
            <m:t>g</m:t>
          </m:r>
          <m:r>
            <m:t>i</m:t>
          </m:r>
          <m:r>
            <m:t>n</m:t>
          </m:r>
          <m:r>
            <m:rPr>
              <m:sty m:val="p"/>
            </m:rPr>
            <m:t>_</m:t>
          </m:r>
          <m:r>
            <m:t>p</m:t>
          </m:r>
          <m:r>
            <m:t>c</m:t>
          </m:r>
          <m:sSub>
            <m:e>
              <m:r>
                <m:t>t</m:t>
              </m:r>
            </m:e>
            <m:sub>
              <m:r>
                <m:t>i</m:t>
              </m:r>
            </m:sub>
          </m:sSub>
          <m:r>
            <m:rPr>
              <m:sty m:val="p"/>
            </m:rPr>
            <m:t>+</m:t>
          </m:r>
          <m:sSub>
            <m:e>
              <m:r>
                <m:t>β</m:t>
              </m:r>
            </m:e>
            <m:sub>
              <m:r>
                <m:t>3</m:t>
              </m:r>
            </m:sub>
          </m:sSub>
          <m:r>
            <m:t>n</m:t>
          </m:r>
          <m:r>
            <m:t>t</m:t>
          </m:r>
          <m:r>
            <m:t>p</m:t>
          </m:r>
          <m:r>
            <m:rPr>
              <m:sty m:val="p"/>
            </m:rPr>
            <m:t>_</m:t>
          </m:r>
          <m:r>
            <m:t>f</m:t>
          </m:r>
          <m:r>
            <m:t>l</m:t>
          </m:r>
          <m:r>
            <m:t>a</m:t>
          </m:r>
          <m:sSub>
            <m:e>
              <m:r>
                <m:t>g</m:t>
              </m:r>
            </m:e>
            <m:sub>
              <m:r>
                <m:t>i</m:t>
              </m:r>
            </m:sub>
          </m:sSub>
          <m:r>
            <m:rPr>
              <m:sty m:val="p"/>
            </m:rPr>
            <m:t>+</m:t>
          </m:r>
          <m:sSub>
            <m:e>
              <m:r>
                <m:t>ϵ</m:t>
              </m:r>
            </m:e>
            <m:sub>
              <m:r>
                <m:t>i</m:t>
              </m:r>
            </m:sub>
          </m:sSub>
        </m:oMath>
      </m:oMathPara>
    </w:p>
    <w:bookmarkStart w:id="17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0.8056</w:t>
            </w:r>
          </w:p>
        </w:tc>
        <w:tc>
          <w:tcPr>
            <w:tcW w:w="0" w:type="auto"/>
          </w:tcPr>
          <w:p>
            <w:pPr>
              <w:spacing w:line="240" w:lineRule="auto" w:before="0" w:after="0"/>
              <w:pStyle w:val="Compact"/>
            </w:pPr>
            <w:r>
              <w:rPr>
                <w:sz w:val="20"/>
                <w:szCs w:val="20"/>
              </w:rPr>
              <w:t xml:space="preserve">0.3776</w:t>
            </w:r>
          </w:p>
        </w:tc>
        <w:tc>
          <w:tcPr>
            <w:tcW w:w="0" w:type="auto"/>
          </w:tcPr>
          <w:p>
            <w:pPr>
              <w:spacing w:line="240" w:lineRule="auto" w:before="0" w:after="0"/>
              <w:pStyle w:val="Compact"/>
            </w:pPr>
            <w:r>
              <w:rPr>
                <w:sz w:val="20"/>
                <w:szCs w:val="20"/>
              </w:rPr>
              <w:t xml:space="preserve">2.1331</w:t>
            </w:r>
          </w:p>
        </w:tc>
        <w:tc>
          <w:tcPr>
            <w:tcW w:w="0" w:type="auto"/>
          </w:tcPr>
          <w:p>
            <w:pPr>
              <w:spacing w:line="240" w:lineRule="auto" w:before="0" w:after="0"/>
              <w:pStyle w:val="Compact"/>
            </w:pPr>
            <w:r>
              <w:rPr>
                <w:sz w:val="20"/>
                <w:szCs w:val="20"/>
              </w:rPr>
              <w:t xml:space="preserve">0.0329</w:t>
            </w:r>
          </w:p>
        </w:tc>
        <w:tc>
          <w:tcPr>
            <w:tcW w:w="0" w:type="auto"/>
          </w:tcPr>
          <w:p>
            <w:pPr>
              <w:spacing w:line="240" w:lineRule="auto" w:before="0" w:after="0"/>
              <w:pStyle w:val="Compact"/>
            </w:pPr>
            <w:r>
              <w:rPr>
                <w:sz w:val="20"/>
                <w:szCs w:val="20"/>
              </w:rPr>
              <w:t xml:space="preserve">[0.0654, 1.5457]</w:t>
            </w:r>
          </w:p>
        </w:tc>
      </w:tr>
      <w:tr>
        <w:tc>
          <w:tcPr>
            <w:tcW w:w="0" w:type="auto"/>
          </w:tcPr>
          <w:p>
            <w:pPr>
              <w:spacing w:line="240" w:lineRule="auto" w:before="0" w:after="0"/>
              <w:pStyle w:val="Compact"/>
            </w:pPr>
            <w:r>
              <w:rPr>
                <w:sz w:val="20"/>
                <w:szCs w:val="20"/>
              </w:rPr>
              <w:t xml:space="preserve">payload_t</w:t>
            </w:r>
          </w:p>
        </w:tc>
        <w:tc>
          <w:tcPr>
            <w:tcW w:w="0" w:type="auto"/>
          </w:tcPr>
          <w:p>
            <w:pPr>
              <w:spacing w:line="240" w:lineRule="auto" w:before="0" w:after="0"/>
              <w:pStyle w:val="Compact"/>
            </w:pPr>
            <w:r>
              <w:rPr>
                <w:sz w:val="20"/>
                <w:szCs w:val="20"/>
              </w:rPr>
              <w:t xml:space="preserve">0.0611</w:t>
            </w:r>
          </w:p>
        </w:tc>
        <w:tc>
          <w:tcPr>
            <w:tcW w:w="0" w:type="auto"/>
          </w:tcPr>
          <w:p>
            <w:pPr>
              <w:spacing w:line="240" w:lineRule="auto" w:before="0" w:after="0"/>
              <w:pStyle w:val="Compact"/>
            </w:pPr>
            <w:r>
              <w:rPr>
                <w:sz w:val="20"/>
                <w:szCs w:val="20"/>
              </w:rPr>
              <w:t xml:space="preserve">0.0069</w:t>
            </w:r>
          </w:p>
        </w:tc>
        <w:tc>
          <w:tcPr>
            <w:tcW w:w="0" w:type="auto"/>
          </w:tcPr>
          <w:p>
            <w:pPr>
              <w:spacing w:line="240" w:lineRule="auto" w:before="0" w:after="0"/>
              <w:pStyle w:val="Compact"/>
            </w:pPr>
            <w:r>
              <w:rPr>
                <w:sz w:val="20"/>
                <w:szCs w:val="20"/>
              </w:rPr>
              <w:t xml:space="preserve">8.7944</w:t>
            </w:r>
          </w:p>
        </w:tc>
        <w:tc>
          <w:tcPr>
            <w:tcW w:w="0" w:type="auto"/>
          </w:tcPr>
          <w:p>
            <w:pPr>
              <w:spacing w:line="240" w:lineRule="auto" w:before="0" w:after="0"/>
              <w:pStyle w:val="Compact"/>
            </w:pPr>
            <w:r>
              <w:rPr>
                <w:sz w:val="20"/>
                <w:szCs w:val="20"/>
              </w:rPr>
              <w:t xml:space="preserve">1.438e-18</w:t>
            </w:r>
          </w:p>
        </w:tc>
        <w:tc>
          <w:tcPr>
            <w:tcW w:w="0" w:type="auto"/>
          </w:tcPr>
          <w:p>
            <w:pPr>
              <w:spacing w:line="240" w:lineRule="auto" w:before="0" w:after="0"/>
              <w:pStyle w:val="Compact"/>
            </w:pPr>
            <w:r>
              <w:rPr>
                <w:sz w:val="20"/>
                <w:szCs w:val="20"/>
              </w:rPr>
              <w:t xml:space="preserve">[0.0475, 0.0747]</w:t>
            </w:r>
          </w:p>
        </w:tc>
      </w:tr>
      <w:tr>
        <w:tc>
          <w:tcPr>
            <w:tcW w:w="0" w:type="auto"/>
          </w:tcPr>
          <w:p>
            <w:pPr>
              <w:spacing w:line="240" w:lineRule="auto" w:before="0" w:after="0"/>
              <w:pStyle w:val="Compact"/>
            </w:pPr>
            <w:r>
              <w:rPr>
                <w:sz w:val="20"/>
                <w:szCs w:val="20"/>
              </w:rPr>
              <w:t xml:space="preserve">stage_margin_pct</w:t>
            </w:r>
          </w:p>
        </w:tc>
        <w:tc>
          <w:tcPr>
            <w:tcW w:w="0" w:type="auto"/>
          </w:tcPr>
          <w:p>
            <w:pPr>
              <w:spacing w:line="240" w:lineRule="auto" w:before="0" w:after="0"/>
              <w:pStyle w:val="Compact"/>
            </w:pPr>
            <w:r>
              <w:rPr>
                <w:sz w:val="20"/>
                <w:szCs w:val="20"/>
              </w:rPr>
              <w:t xml:space="preserve">0.0344</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5.2353</w:t>
            </w:r>
          </w:p>
        </w:tc>
        <w:tc>
          <w:tcPr>
            <w:tcW w:w="0" w:type="auto"/>
          </w:tcPr>
          <w:p>
            <w:pPr>
              <w:spacing w:line="240" w:lineRule="auto" w:before="0" w:after="0"/>
              <w:pStyle w:val="Compact"/>
            </w:pPr>
            <w:r>
              <w:rPr>
                <w:sz w:val="20"/>
                <w:szCs w:val="20"/>
              </w:rPr>
              <w:t xml:space="preserve">1.647e-07</w:t>
            </w:r>
          </w:p>
        </w:tc>
        <w:tc>
          <w:tcPr>
            <w:tcW w:w="0" w:type="auto"/>
          </w:tcPr>
          <w:p>
            <w:pPr>
              <w:spacing w:line="240" w:lineRule="auto" w:before="0" w:after="0"/>
              <w:pStyle w:val="Compact"/>
            </w:pPr>
            <w:r>
              <w:rPr>
                <w:sz w:val="20"/>
                <w:szCs w:val="20"/>
              </w:rPr>
              <w:t xml:space="preserve">[0.0215, 0.0473]</w:t>
            </w:r>
          </w:p>
        </w:tc>
      </w:tr>
      <w:tr>
        <w:tc>
          <w:tcPr>
            <w:tcW w:w="0" w:type="auto"/>
          </w:tcPr>
          <w:p>
            <w:pPr>
              <w:spacing w:line="240" w:lineRule="auto" w:before="0" w:after="0"/>
              <w:pStyle w:val="Compact"/>
            </w:pPr>
            <w:r>
              <w:rPr>
                <w:sz w:val="20"/>
                <w:szCs w:val="20"/>
              </w:rPr>
              <w:t xml:space="preserve">ntp_flag</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0.1561</w:t>
            </w:r>
          </w:p>
        </w:tc>
        <w:tc>
          <w:tcPr>
            <w:tcW w:w="0" w:type="auto"/>
          </w:tcPr>
          <w:p>
            <w:pPr>
              <w:spacing w:line="240" w:lineRule="auto" w:before="0" w:after="0"/>
              <w:pStyle w:val="Compact"/>
            </w:pPr>
            <w:r>
              <w:rPr>
                <w:sz w:val="20"/>
                <w:szCs w:val="20"/>
              </w:rPr>
              <w:t xml:space="preserve">-9.6077</w:t>
            </w:r>
          </w:p>
        </w:tc>
        <w:tc>
          <w:tcPr>
            <w:tcW w:w="0" w:type="auto"/>
          </w:tcPr>
          <w:p>
            <w:pPr>
              <w:spacing w:line="240" w:lineRule="auto" w:before="0" w:after="0"/>
              <w:pStyle w:val="Compact"/>
            </w:pPr>
            <w:r>
              <w:rPr>
                <w:sz w:val="20"/>
                <w:szCs w:val="20"/>
              </w:rPr>
              <w:t xml:space="preserve">7.42e-22</w:t>
            </w:r>
          </w:p>
        </w:tc>
        <w:tc>
          <w:tcPr>
            <w:tcW w:w="0" w:type="auto"/>
          </w:tcPr>
          <w:p>
            <w:pPr>
              <w:spacing w:line="240" w:lineRule="auto" w:before="0" w:after="0"/>
              <w:pStyle w:val="Compact"/>
            </w:pPr>
            <w:r>
              <w:rPr>
                <w:sz w:val="20"/>
                <w:szCs w:val="20"/>
              </w:rPr>
              <w:t xml:space="preserve">[-1.806, -1.194]</w:t>
            </w:r>
          </w:p>
        </w:tc>
      </w:tr>
    </w:tbl>
    <w:p>
      <w:pPr>
        <w:pStyle w:val="BodyText"/>
        <w:spacing w:line="480" w:lineRule="auto"/>
        <w:ind w:firstLine="720"/>
      </w:pPr>
      <w:r>
        <w:t xml:space="preserve">Fit: N = 20 R2 = 0.9562 R2_adj = 0.948 F = 96.3811 F_p = 1.863e-10</w:t>
      </w:r>
    </w:p>
    <w:bookmarkEnd w:id="174"/>
    <w:bookmarkStart w:id="17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aunch-count response by payload scale across chemical and NTP architecture rows." title="" id="176" name="Picture"/>
            <a:graphic>
              <a:graphicData uri="http://schemas.openxmlformats.org/drawingml/2006/picture">
                <pic:pic>
                  <pic:nvPicPr>
                    <pic:cNvPr descr="D:/Claude_Code/brain/collegium/candidates/dissertations/CISLUNAR_DEV_10/research_papers/p1/paper_fig1.png" id="177" name="Picture"/>
                    <pic:cNvPicPr>
                      <a:picLocks noChangeArrowheads="1" noChangeAspect="1"/>
                    </pic:cNvPicPr>
                  </pic:nvPicPr>
                  <pic:blipFill>
                    <a:blip r:embed="rId1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Launch-count response by payload scale across chemical and NTP architecture rows.</w:t>
      </w:r>
    </w:p>
    <w:bookmarkEnd w:id="178"/>
    <w:bookmarkStart w:id="17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scenario</w:t>
            </w:r>
          </w:p>
        </w:tc>
        <w:tc>
          <w:tcPr>
            <w:tcW w:w="0" w:type="auto"/>
          </w:tcPr>
          <w:p>
            <w:pPr>
              <w:spacing w:line="240" w:lineRule="auto" w:before="0" w:after="0"/>
              <w:pStyle w:val="Compact"/>
            </w:pPr>
            <w:r>
              <w:rPr>
                <w:sz w:val="20"/>
                <w:szCs w:val="20"/>
              </w:rPr>
              <w:t xml:space="preserve">architecture</w:t>
            </w:r>
          </w:p>
        </w:tc>
        <w:tc>
          <w:tcPr>
            <w:tcW w:w="0" w:type="auto"/>
          </w:tcPr>
          <w:p>
            <w:pPr>
              <w:spacing w:line="240" w:lineRule="auto" w:before="0" w:after="0"/>
              <w:pStyle w:val="Compact"/>
            </w:pPr>
            <w:r>
              <w:rPr>
                <w:sz w:val="20"/>
                <w:szCs w:val="20"/>
              </w:rPr>
              <w:t xml:space="preserve">payload_t</w:t>
            </w:r>
          </w:p>
        </w:tc>
        <w:tc>
          <w:tcPr>
            <w:tcW w:w="0" w:type="auto"/>
          </w:tcPr>
          <w:p>
            <w:pPr>
              <w:spacing w:line="240" w:lineRule="auto" w:before="0" w:after="0"/>
              <w:pStyle w:val="Compact"/>
            </w:pPr>
            <w:r>
              <w:rPr>
                <w:sz w:val="20"/>
                <w:szCs w:val="20"/>
              </w:rPr>
              <w:t xml:space="preserve">stage_margin_pct</w:t>
            </w:r>
          </w:p>
        </w:tc>
        <w:tc>
          <w:tcPr>
            <w:tcW w:w="0" w:type="auto"/>
          </w:tcPr>
          <w:p>
            <w:pPr>
              <w:spacing w:line="240" w:lineRule="auto" w:before="0" w:after="0"/>
              <w:pStyle w:val="Compact"/>
            </w:pPr>
            <w:r>
              <w:rPr>
                <w:sz w:val="20"/>
                <w:szCs w:val="20"/>
              </w:rPr>
              <w:t xml:space="preserve">ntp_flag</w:t>
            </w:r>
          </w:p>
        </w:tc>
        <w:tc>
          <w:tcPr>
            <w:tcW w:w="0" w:type="auto"/>
          </w:tcPr>
          <w:p>
            <w:pPr>
              <w:spacing w:line="240" w:lineRule="auto" w:before="0" w:after="0"/>
              <w:pStyle w:val="Compact"/>
            </w:pPr>
            <w:r>
              <w:rPr>
                <w:sz w:val="20"/>
                <w:szCs w:val="20"/>
              </w:rPr>
              <w:t xml:space="preserve">isp_s</w:t>
            </w:r>
          </w:p>
        </w:tc>
        <w:tc>
          <w:tcPr>
            <w:tcW w:w="0" w:type="auto"/>
          </w:tcPr>
          <w:p>
            <w:pPr>
              <w:spacing w:line="240" w:lineRule="auto" w:before="0" w:after="0"/>
              <w:pStyle w:val="Compact"/>
            </w:pPr>
            <w:r>
              <w:rPr>
                <w:sz w:val="20"/>
                <w:szCs w:val="20"/>
              </w:rPr>
              <w:t xml:space="preserve">tli_mass_t</w:t>
            </w:r>
          </w:p>
        </w:tc>
        <w:tc>
          <w:tcPr>
            <w:tcW w:w="0" w:type="auto"/>
          </w:tcPr>
          <w:p>
            <w:pPr>
              <w:spacing w:line="240" w:lineRule="auto" w:before="0" w:after="0"/>
              <w:pStyle w:val="Compact"/>
            </w:pPr>
            <w:r>
              <w:rPr>
                <w:sz w:val="20"/>
                <w:szCs w:val="20"/>
              </w:rPr>
              <w:t xml:space="preserve">launch_capacity_t</w:t>
            </w:r>
          </w:p>
        </w:tc>
        <w:tc>
          <w:tcPr>
            <w:tcW w:w="0" w:type="auto"/>
          </w:tcPr>
          <w:p>
            <w:pPr>
              <w:spacing w:line="240" w:lineRule="auto" w:before="0" w:after="0"/>
              <w:pStyle w:val="Compact"/>
            </w:pPr>
            <w:r>
              <w:rPr>
                <w:sz w:val="20"/>
                <w:szCs w:val="20"/>
              </w:rPr>
              <w:t xml:space="preserve">required_launches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chemical_40t_margin_0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326</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nuclear_thermal_40t_margin_0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chemical_45t_margin_10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403.4</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nuclear_thermal_45t_margin_10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chemical_50t_margin_20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489</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nuclear_thermal_50t_margin_20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333</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chemical_55t_margin_30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582.7</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nuclear_thermal_55t_margin_30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396.8</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chemical_60t_margin_40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684.6</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nuclear_thermal_60t_margin_40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466.2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chemical_65t_margin_5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556.2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nuclear_thermal_65t_margin_5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378.8</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chemical_70t_margin_15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656.1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nuclear_thermal_70t_margin_15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446.8</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chemical_75t_margin_25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764.1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nuclear_thermal_75t_margin_25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520.3</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chemical_80t_margin_35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880.2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nuclear_thermal_80t_margin_35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599.4</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chemical_85t_margin_45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1004.5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nuclear_thermal_85t_margin_45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684</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bl>
    <w:bookmarkEnd w:id="179"/>
    <w:bookmarkStart w:id="18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required_launches</w:t>
            </w:r>
          </w:p>
        </w:tc>
        <w:tc>
          <w:tcPr>
            <w:tcW w:w="0" w:type="auto"/>
          </w:tcPr>
          <w:p>
            <w:pPr>
              <w:spacing w:line="240" w:lineRule="auto" w:before="0" w:after="0"/>
              <w:pStyle w:val="Compact"/>
            </w:pPr>
            <w:r>
              <w:rPr>
                <w:sz w:val="20"/>
                <w:szCs w:val="20"/>
              </w:rPr>
              <w:t xml:space="preserve">Integer heavy-lift launches needed to close the row</w:t>
            </w:r>
          </w:p>
        </w:tc>
        <w:tc>
          <w:tcPr>
            <w:tcW w:w="0" w:type="auto"/>
          </w:tcPr>
          <w:p>
            <w:pPr>
              <w:spacing w:line="240" w:lineRule="auto" w:before="0" w:after="0"/>
              <w:pStyle w:val="Compact"/>
            </w:pPr>
            <w:r>
              <w:rPr>
                <w:sz w:val="20"/>
                <w:szCs w:val="20"/>
              </w:rPr>
              <w:t xml:space="preserve">Ceiling of transfer stack mass divided by 130 t launch capacity, using the Salotti chemical baseline and NASA DRA heavy-lift assembly convention.</w:t>
            </w:r>
          </w:p>
        </w:tc>
      </w:tr>
      <w:tr>
        <w:tc>
          <w:tcPr>
            <w:tcW w:w="0" w:type="auto"/>
          </w:tcPr>
          <w:p>
            <w:pPr>
              <w:spacing w:line="240" w:lineRule="auto" w:before="0" w:after="0"/>
              <w:pStyle w:val="Compact"/>
            </w:pPr>
            <w:r>
              <w:rPr>
                <w:sz w:val="20"/>
                <w:szCs w:val="20"/>
              </w:rPr>
              <w:t xml:space="preserve">payload_t</w:t>
            </w:r>
          </w:p>
        </w:tc>
        <w:tc>
          <w:tcPr>
            <w:tcW w:w="0" w:type="auto"/>
          </w:tcPr>
          <w:p>
            <w:pPr>
              <w:spacing w:line="240" w:lineRule="auto" w:before="0" w:after="0"/>
              <w:pStyle w:val="Compact"/>
            </w:pPr>
            <w:r>
              <w:rPr>
                <w:sz w:val="20"/>
                <w:szCs w:val="20"/>
              </w:rPr>
              <w:t xml:space="preserve">Reference delivered payload scale in metric tons</w:t>
            </w:r>
          </w:p>
        </w:tc>
        <w:tc>
          <w:tcPr>
            <w:tcW w:w="0" w:type="auto"/>
          </w:tcPr>
          <w:p>
            <w:pPr>
              <w:spacing w:line="240" w:lineRule="auto" w:before="0" w:after="0"/>
              <w:pStyle w:val="Compact"/>
            </w:pPr>
            <w:r>
              <w:rPr>
                <w:sz w:val="20"/>
                <w:szCs w:val="20"/>
              </w:rPr>
              <w:t xml:space="preserve">Payload scale parameter varied around the Salotti crewed Mars reference-mission closure.</w:t>
            </w:r>
          </w:p>
        </w:tc>
      </w:tr>
      <w:tr>
        <w:tc>
          <w:tcPr>
            <w:tcW w:w="0" w:type="auto"/>
          </w:tcPr>
          <w:p>
            <w:pPr>
              <w:spacing w:line="240" w:lineRule="auto" w:before="0" w:after="0"/>
              <w:pStyle w:val="Compact"/>
            </w:pPr>
            <w:r>
              <w:rPr>
                <w:sz w:val="20"/>
                <w:szCs w:val="20"/>
              </w:rPr>
              <w:t xml:space="preserve">stage_margin_pct</w:t>
            </w:r>
          </w:p>
        </w:tc>
        <w:tc>
          <w:tcPr>
            <w:tcW w:w="0" w:type="auto"/>
          </w:tcPr>
          <w:p>
            <w:pPr>
              <w:spacing w:line="240" w:lineRule="auto" w:before="0" w:after="0"/>
              <w:pStyle w:val="Compact"/>
            </w:pPr>
            <w:r>
              <w:rPr>
                <w:sz w:val="20"/>
                <w:szCs w:val="20"/>
              </w:rPr>
              <w:t xml:space="preserve">Dry-mass growth and integration allowance</w:t>
            </w:r>
          </w:p>
        </w:tc>
        <w:tc>
          <w:tcPr>
            <w:tcW w:w="0" w:type="auto"/>
          </w:tcPr>
          <w:p>
            <w:pPr>
              <w:spacing w:line="240" w:lineRule="auto" w:before="0" w:after="0"/>
              <w:pStyle w:val="Compact"/>
            </w:pPr>
            <w:r>
              <w:rPr>
                <w:sz w:val="20"/>
                <w:szCs w:val="20"/>
              </w:rPr>
              <w:t xml:space="preserve">Stress case applied to propulsion, tankage, shielding, and integration assumptions.</w:t>
            </w:r>
          </w:p>
        </w:tc>
      </w:tr>
      <w:tr>
        <w:tc>
          <w:tcPr>
            <w:tcW w:w="0" w:type="auto"/>
          </w:tcPr>
          <w:p>
            <w:pPr>
              <w:spacing w:line="240" w:lineRule="auto" w:before="0" w:after="0"/>
              <w:pStyle w:val="Compact"/>
            </w:pPr>
            <w:r>
              <w:rPr>
                <w:sz w:val="20"/>
                <w:szCs w:val="20"/>
              </w:rPr>
              <w:t xml:space="preserve">ntp_flag</w:t>
            </w:r>
          </w:p>
        </w:tc>
        <w:tc>
          <w:tcPr>
            <w:tcW w:w="0" w:type="auto"/>
          </w:tcPr>
          <w:p>
            <w:pPr>
              <w:spacing w:line="240" w:lineRule="auto" w:before="0" w:after="0"/>
              <w:pStyle w:val="Compact"/>
            </w:pPr>
            <w:r>
              <w:rPr>
                <w:sz w:val="20"/>
                <w:szCs w:val="20"/>
              </w:rPr>
              <w:t xml:space="preserve">One for nuclear thermal propulsion, zero for all-chemical propulsion</w:t>
            </w:r>
          </w:p>
        </w:tc>
        <w:tc>
          <w:tcPr>
            <w:tcW w:w="0" w:type="auto"/>
          </w:tcPr>
          <w:p>
            <w:pPr>
              <w:spacing w:line="240" w:lineRule="auto" w:before="0" w:after="0"/>
              <w:pStyle w:val="Compact"/>
            </w:pPr>
            <w:r>
              <w:rPr>
                <w:sz w:val="20"/>
                <w:szCs w:val="20"/>
              </w:rPr>
              <w:t xml:space="preserve">Architecture classification from Salotti chemical baseline versus de Oliveira Souza rapid Mars NTP context and NASA NTP literature.</w:t>
            </w:r>
          </w:p>
        </w:tc>
      </w:tr>
      <w:tr>
        <w:tc>
          <w:tcPr>
            <w:tcW w:w="0" w:type="auto"/>
          </w:tcPr>
          <w:p>
            <w:pPr>
              <w:spacing w:line="240" w:lineRule="auto" w:before="0" w:after="0"/>
              <w:pStyle w:val="Compact"/>
            </w:pPr>
            <w:r>
              <w:rPr>
                <w:sz w:val="20"/>
                <w:szCs w:val="20"/>
              </w:rPr>
              <w:t xml:space="preserve">tli_mass_t</w:t>
            </w:r>
          </w:p>
        </w:tc>
        <w:tc>
          <w:tcPr>
            <w:tcW w:w="0" w:type="auto"/>
          </w:tcPr>
          <w:p>
            <w:pPr>
              <w:spacing w:line="240" w:lineRule="auto" w:before="0" w:after="0"/>
              <w:pStyle w:val="Compact"/>
            </w:pPr>
            <w:r>
              <w:rPr>
                <w:sz w:val="20"/>
                <w:szCs w:val="20"/>
              </w:rPr>
              <w:t xml:space="preserve">Estimated transfer stack mass before launch-count rounding</w:t>
            </w:r>
          </w:p>
        </w:tc>
        <w:tc>
          <w:tcPr>
            <w:tcW w:w="0" w:type="auto"/>
          </w:tcPr>
          <w:p>
            <w:pPr>
              <w:spacing w:line="240" w:lineRule="auto" w:before="0" w:after="0"/>
              <w:pStyle w:val="Compact"/>
            </w:pPr>
            <w:r>
              <w:rPr>
                <w:sz w:val="20"/>
                <w:szCs w:val="20"/>
              </w:rPr>
              <w:t xml:space="preserve">Payload multiplied by propulsion-class mass multiplier and dry-mass allowance.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provenance</w:t>
            </w:r>
          </w:p>
        </w:tc>
        <w:tc>
          <w:tcPr>
            <w:tcW w:w="0" w:type="auto"/>
          </w:tcPr>
          <w:p>
            <w:pPr>
              <w:spacing w:line="240" w:lineRule="auto" w:before="0" w:after="0"/>
              <w:pStyle w:val="Compact"/>
            </w:pPr>
            <w:r>
              <w:rPr>
                <w:sz w:val="20"/>
                <w:szCs w:val="20"/>
              </w:rPr>
              <w:t xml:space="preserve">Each row states the published anchors and the deterministic construction.</w:t>
            </w:r>
          </w:p>
        </w:tc>
      </w:tr>
    </w:tbl>
    <w:bookmarkEnd w:id="180"/>
    <w:bookmarkEnd w:id="181"/>
    <w:bookmarkStart w:id="189" w:name="X338c83b35f3a01c7fcd86a7904ae3c4f9b50729"/>
    <w:p>
      <w:pPr>
        <w:pStyle w:val="Heading2"/>
        <w:spacing w:line="480" w:lineRule="auto"/>
      </w:pPr>
      <w:r>
        <w:t xml:space="preserve">A.2 Specific Impulse and Propellant Burden in Mars Transfer Stages</w:t>
      </w:r>
    </w:p>
    <w:p>
      <w:pPr>
        <w:pStyle w:val="FirstParagraph"/>
        <w:spacing w:line="480" w:lineRule="auto"/>
      </w:pPr>
      <m:oMathPara>
        <m:oMathParaPr>
          <m:jc m:val="center"/>
        </m:oMathParaPr>
        <m:oMath>
          <m:r>
            <m:rPr>
              <m:sty m:val="p"/>
            </m:rPr>
            <m:t>ln</m:t>
          </m:r>
          <m:r>
            <m:rPr>
              <m:sty m:val="p"/>
            </m:rPr>
            <m:t>(</m:t>
          </m:r>
          <m:r>
            <m:t>m</m:t>
          </m:r>
          <m:r>
            <m:t>a</m:t>
          </m:r>
          <m:r>
            <m:t>s</m:t>
          </m:r>
          <m:r>
            <m:t>s</m:t>
          </m:r>
          <m:r>
            <m:rPr>
              <m:sty m:val="p"/>
            </m:rPr>
            <m:t>_</m:t>
          </m:r>
          <m:r>
            <m:t>r</m:t>
          </m:r>
          <m:r>
            <m:t>a</m:t>
          </m:r>
          <m:r>
            <m:t>t</m:t>
          </m:r>
          <m:r>
            <m:t>i</m:t>
          </m:r>
          <m:sSub>
            <m:e>
              <m:r>
                <m:t>o</m:t>
              </m:r>
            </m:e>
            <m:sub>
              <m:r>
                <m:t>i</m:t>
              </m:r>
            </m:sub>
          </m:sSub>
          <m:r>
            <m:rPr>
              <m:sty m:val="p"/>
            </m:rPr>
            <m:t>)</m:t>
          </m:r>
          <m:r>
            <m:rPr>
              <m:sty m:val="p"/>
            </m:rPr>
            <m:t>=</m:t>
          </m:r>
          <m:r>
            <m:t>α</m:t>
          </m:r>
          <m:r>
            <m:rPr>
              <m:sty m:val="p"/>
            </m:rPr>
            <m:t>+</m:t>
          </m:r>
          <m:r>
            <m:t>β</m:t>
          </m:r>
          <m:r>
            <m:rPr>
              <m:sty m:val="p"/>
            </m:rPr>
            <m:t>ln</m:t>
          </m:r>
          <m:r>
            <m:rPr>
              <m:sty m:val="p"/>
            </m:rPr>
            <m:t>(</m:t>
          </m:r>
          <m:r>
            <m:t>i</m:t>
          </m:r>
          <m:r>
            <m:t>s</m:t>
          </m:r>
          <m:r>
            <m:t>p</m:t>
          </m:r>
          <m:r>
            <m:rPr>
              <m:sty m:val="p"/>
            </m:rPr>
            <m:t>_</m:t>
          </m:r>
          <m:sSub>
            <m:e>
              <m:r>
                <m:t>s</m:t>
              </m:r>
            </m:e>
            <m:sub>
              <m:r>
                <m:t>i</m:t>
              </m:r>
            </m:sub>
          </m:sSub>
          <m:r>
            <m:rPr>
              <m:sty m:val="p"/>
            </m:rPr>
            <m:t>)</m:t>
          </m:r>
          <m:r>
            <m:rPr>
              <m:sty m:val="p"/>
            </m:rPr>
            <m:t>+</m:t>
          </m:r>
          <m:sSub>
            <m:e>
              <m:r>
                <m:t>ϵ</m:t>
              </m:r>
            </m:e>
            <m:sub>
              <m:r>
                <m:t>i</m:t>
              </m:r>
            </m:sub>
          </m:sSub>
        </m:oMath>
      </m:oMathPara>
    </w:p>
    <w:bookmarkStart w:id="18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6.2556</w:t>
            </w:r>
          </w:p>
        </w:tc>
        <w:tc>
          <w:tcPr>
            <w:tcW w:w="0" w:type="auto"/>
          </w:tcPr>
          <w:p>
            <w:pPr>
              <w:spacing w:line="240" w:lineRule="auto" w:before="0" w:after="0"/>
              <w:pStyle w:val="Compact"/>
            </w:pPr>
            <w:r>
              <w:rPr>
                <w:sz w:val="20"/>
                <w:szCs w:val="20"/>
              </w:rPr>
              <w:t xml:space="preserve">0.5042</w:t>
            </w:r>
          </w:p>
        </w:tc>
        <w:tc>
          <w:tcPr>
            <w:tcW w:w="0" w:type="auto"/>
          </w:tcPr>
          <w:p>
            <w:pPr>
              <w:spacing w:line="240" w:lineRule="auto" w:before="0" w:after="0"/>
              <w:pStyle w:val="Compact"/>
            </w:pPr>
            <w:r>
              <w:rPr>
                <w:sz w:val="20"/>
                <w:szCs w:val="20"/>
              </w:rPr>
              <w:t xml:space="preserve">12.4069</w:t>
            </w:r>
          </w:p>
        </w:tc>
        <w:tc>
          <w:tcPr>
            <w:tcW w:w="0" w:type="auto"/>
          </w:tcPr>
          <w:p>
            <w:pPr>
              <w:spacing w:line="240" w:lineRule="auto" w:before="0" w:after="0"/>
              <w:pStyle w:val="Compact"/>
            </w:pPr>
            <w:r>
              <w:rPr>
                <w:sz w:val="20"/>
                <w:szCs w:val="20"/>
              </w:rPr>
              <w:t xml:space="preserve">2.397e-35</w:t>
            </w:r>
          </w:p>
        </w:tc>
        <w:tc>
          <w:tcPr>
            <w:tcW w:w="0" w:type="auto"/>
          </w:tcPr>
          <w:p>
            <w:pPr>
              <w:spacing w:line="240" w:lineRule="auto" w:before="0" w:after="0"/>
              <w:pStyle w:val="Compact"/>
            </w:pPr>
            <w:r>
              <w:rPr>
                <w:sz w:val="20"/>
                <w:szCs w:val="20"/>
              </w:rPr>
              <w:t xml:space="preserve">[5.2674, 7.2439]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-0.8494</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-11.1856</w:t>
            </w:r>
          </w:p>
        </w:tc>
        <w:tc>
          <w:tcPr>
            <w:tcW w:w="0" w:type="auto"/>
          </w:tcPr>
          <w:p>
            <w:pPr>
              <w:spacing w:line="240" w:lineRule="auto" w:before="0" w:after="0"/>
              <w:pStyle w:val="Compact"/>
            </w:pPr>
            <w:r>
              <w:rPr>
                <w:sz w:val="20"/>
                <w:szCs w:val="20"/>
              </w:rPr>
              <w:t xml:space="preserve">4.798e-29</w:t>
            </w:r>
          </w:p>
        </w:tc>
        <w:tc>
          <w:tcPr>
            <w:tcW w:w="0" w:type="auto"/>
          </w:tcPr>
          <w:p>
            <w:pPr>
              <w:spacing w:line="240" w:lineRule="auto" w:before="0" w:after="0"/>
              <w:pStyle w:val="Compact"/>
            </w:pPr>
            <w:r>
              <w:rPr>
                <w:sz w:val="20"/>
                <w:szCs w:val="20"/>
              </w:rPr>
              <w:t xml:space="preserve">[-0.9983, -0.7006]</w:t>
            </w:r>
          </w:p>
        </w:tc>
      </w:tr>
    </w:tbl>
    <w:p>
      <w:pPr>
        <w:pStyle w:val="BodyText"/>
        <w:spacing w:line="480" w:lineRule="auto"/>
        <w:ind w:firstLine="720"/>
      </w:pPr>
      <w:r>
        <w:t xml:space="preserve">Fit: N = 20 R2 = 0.8936 elasticity_b = -0.8494 progress_ratio_2^b = 0.555</w:t>
      </w:r>
    </w:p>
    <w:bookmarkEnd w:id="182"/>
    <w:bookmarkStart w:id="18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relationship between specific impulse and required mass ratio." title="" id="184" name="Picture"/>
            <a:graphic>
              <a:graphicData uri="http://schemas.openxmlformats.org/drawingml/2006/picture">
                <pic:pic>
                  <pic:nvPicPr>
                    <pic:cNvPr descr="D:/Claude_Code/brain/collegium/candidates/dissertations/CISLUNAR_DEV_10/research_papers/p2/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relationship between specific impulse and required mass ratio.</w:t>
      </w:r>
    </w:p>
    <w:bookmarkEnd w:id="186"/>
    <w:bookmarkStart w:id="18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case</w:t>
            </w:r>
          </w:p>
        </w:tc>
        <w:tc>
          <w:tcPr>
            <w:tcW w:w="0" w:type="auto"/>
          </w:tcPr>
          <w:p>
            <w:pPr>
              <w:spacing w:line="240" w:lineRule="auto" w:before="0" w:after="0"/>
              <w:pStyle w:val="Compact"/>
            </w:pPr>
            <w:r>
              <w:rPr>
                <w:sz w:val="20"/>
                <w:szCs w:val="20"/>
              </w:rPr>
              <w:t xml:space="preserve">propulsion_class</w:t>
            </w:r>
          </w:p>
        </w:tc>
        <w:tc>
          <w:tcPr>
            <w:tcW w:w="0" w:type="auto"/>
          </w:tcPr>
          <w:p>
            <w:pPr>
              <w:spacing w:line="240" w:lineRule="auto" w:before="0" w:after="0"/>
              <w:pStyle w:val="Compact"/>
            </w:pPr>
            <w:r>
              <w:rPr>
                <w:sz w:val="20"/>
                <w:szCs w:val="20"/>
              </w:rPr>
              <w:t xml:space="preserve">delta_v_kms</w:t>
            </w:r>
          </w:p>
        </w:tc>
        <w:tc>
          <w:tcPr>
            <w:tcW w:w="0" w:type="auto"/>
          </w:tcPr>
          <w:p>
            <w:pPr>
              <w:spacing w:line="240" w:lineRule="auto" w:before="0" w:after="0"/>
              <w:pStyle w:val="Compact"/>
            </w:pPr>
            <w:r>
              <w:rPr>
                <w:sz w:val="20"/>
                <w:szCs w:val="20"/>
              </w:rPr>
              <w:t xml:space="preserve">isp_s</w:t>
            </w:r>
          </w:p>
        </w:tc>
        <w:tc>
          <w:tcPr>
            <w:tcW w:w="0" w:type="auto"/>
          </w:tcPr>
          <w:p>
            <w:pPr>
              <w:spacing w:line="240" w:lineRule="auto" w:before="0" w:after="0"/>
              <w:pStyle w:val="Compact"/>
            </w:pPr>
            <w:r>
              <w:rPr>
                <w:sz w:val="20"/>
                <w:szCs w:val="20"/>
              </w:rPr>
              <w:t xml:space="preserve">g0_m_s2</w:t>
            </w:r>
          </w:p>
        </w:tc>
        <w:tc>
          <w:tcPr>
            <w:tcW w:w="0" w:type="auto"/>
          </w:tcPr>
          <w:p>
            <w:pPr>
              <w:spacing w:line="240" w:lineRule="auto" w:before="0" w:after="0"/>
              <w:pStyle w:val="Compact"/>
            </w:pPr>
            <w:r>
              <w:rPr>
                <w:sz w:val="20"/>
                <w:szCs w:val="20"/>
              </w:rPr>
              <w:t xml:space="preserve">mass_ratio</w:t>
            </w:r>
          </w:p>
        </w:tc>
        <w:tc>
          <w:tcPr>
            <w:tcW w:w="0" w:type="auto"/>
          </w:tcPr>
          <w:p>
            <w:pPr>
              <w:spacing w:line="240" w:lineRule="auto" w:before="0" w:after="0"/>
              <w:pStyle w:val="Compact"/>
            </w:pPr>
            <w:r>
              <w:rPr>
                <w:sz w:val="20"/>
                <w:szCs w:val="20"/>
              </w:rPr>
              <w:t xml:space="preserve">propellant_fraction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storable_chemical_3.6kms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3.1493</w:t>
            </w:r>
          </w:p>
        </w:tc>
        <w:tc>
          <w:tcPr>
            <w:tcW w:w="0" w:type="auto"/>
          </w:tcPr>
          <w:p>
            <w:pPr>
              <w:spacing w:line="240" w:lineRule="auto" w:before="0" w:after="0"/>
              <w:pStyle w:val="Compact"/>
            </w:pPr>
            <w:r>
              <w:rPr>
                <w:sz w:val="20"/>
                <w:szCs w:val="20"/>
              </w:rPr>
              <w:t xml:space="preserve">0.6825</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cryogenic_chemical_3.6kms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2.2609</w:t>
            </w:r>
          </w:p>
        </w:tc>
        <w:tc>
          <w:tcPr>
            <w:tcW w:w="0" w:type="auto"/>
          </w:tcPr>
          <w:p>
            <w:pPr>
              <w:spacing w:line="240" w:lineRule="auto" w:before="0" w:after="0"/>
              <w:pStyle w:val="Compact"/>
            </w:pPr>
            <w:r>
              <w:rPr>
                <w:sz w:val="20"/>
                <w:szCs w:val="20"/>
              </w:rPr>
              <w:t xml:space="preserve">0.5577</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NTP_lower_bound_3.6kms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1.5401</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NTP_reference_3.6kms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1.5036</w:t>
            </w:r>
          </w:p>
        </w:tc>
        <w:tc>
          <w:tcPr>
            <w:tcW w:w="0" w:type="auto"/>
          </w:tcPr>
          <w:p>
            <w:pPr>
              <w:spacing w:line="240" w:lineRule="auto" w:before="0" w:after="0"/>
              <w:pStyle w:val="Compact"/>
            </w:pPr>
            <w:r>
              <w:rPr>
                <w:sz w:val="20"/>
                <w:szCs w:val="20"/>
              </w:rPr>
              <w:t xml:space="preserve">0.3349</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storable_chemical_4.0kms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3.5774</w:t>
            </w:r>
          </w:p>
        </w:tc>
        <w:tc>
          <w:tcPr>
            <w:tcW w:w="0" w:type="auto"/>
          </w:tcPr>
          <w:p>
            <w:pPr>
              <w:spacing w:line="240" w:lineRule="auto" w:before="0" w:after="0"/>
              <w:pStyle w:val="Compact"/>
            </w:pPr>
            <w:r>
              <w:rPr>
                <w:sz w:val="20"/>
                <w:szCs w:val="20"/>
              </w:rPr>
              <w:t xml:space="preserve">0.7205</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cryogenic_chemical_4.0kms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2.4754</w:t>
            </w:r>
          </w:p>
        </w:tc>
        <w:tc>
          <w:tcPr>
            <w:tcW w:w="0" w:type="auto"/>
          </w:tcPr>
          <w:p>
            <w:pPr>
              <w:spacing w:line="240" w:lineRule="auto" w:before="0" w:after="0"/>
              <w:pStyle w:val="Compact"/>
            </w:pPr>
            <w:r>
              <w:rPr>
                <w:sz w:val="20"/>
                <w:szCs w:val="20"/>
              </w:rPr>
              <w:t xml:space="preserve">0.596</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NTP_lower_bound_4.0kms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1.6159</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NTP_reference_4.0kms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1.5734</w:t>
            </w:r>
          </w:p>
        </w:tc>
        <w:tc>
          <w:tcPr>
            <w:tcW w:w="0" w:type="auto"/>
          </w:tcPr>
          <w:p>
            <w:pPr>
              <w:spacing w:line="240" w:lineRule="auto" w:before="0" w:after="0"/>
              <w:pStyle w:val="Compact"/>
            </w:pPr>
            <w:r>
              <w:rPr>
                <w:sz w:val="20"/>
                <w:szCs w:val="20"/>
              </w:rPr>
              <w:t xml:space="preserve">0.3644</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storable_chemical_4.4kms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4.0638</w:t>
            </w:r>
          </w:p>
        </w:tc>
        <w:tc>
          <w:tcPr>
            <w:tcW w:w="0" w:type="auto"/>
          </w:tcPr>
          <w:p>
            <w:pPr>
              <w:spacing w:line="240" w:lineRule="auto" w:before="0" w:after="0"/>
              <w:pStyle w:val="Compact"/>
            </w:pPr>
            <w:r>
              <w:rPr>
                <w:sz w:val="20"/>
                <w:szCs w:val="20"/>
              </w:rPr>
              <w:t xml:space="preserve">0.7539</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cryogenic_chemical_4.4kms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2.7103</w:t>
            </w:r>
          </w:p>
        </w:tc>
        <w:tc>
          <w:tcPr>
            <w:tcW w:w="0" w:type="auto"/>
          </w:tcPr>
          <w:p>
            <w:pPr>
              <w:spacing w:line="240" w:lineRule="auto" w:before="0" w:after="0"/>
              <w:pStyle w:val="Compact"/>
            </w:pPr>
            <w:r>
              <w:rPr>
                <w:sz w:val="20"/>
                <w:szCs w:val="20"/>
              </w:rPr>
              <w:t xml:space="preserve">0.631</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NTP_lower_bound_4.4kms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1.6953</w:t>
            </w:r>
          </w:p>
        </w:tc>
        <w:tc>
          <w:tcPr>
            <w:tcW w:w="0" w:type="auto"/>
          </w:tcPr>
          <w:p>
            <w:pPr>
              <w:spacing w:line="240" w:lineRule="auto" w:before="0" w:after="0"/>
              <w:pStyle w:val="Compact"/>
            </w:pPr>
            <w:r>
              <w:rPr>
                <w:sz w:val="20"/>
                <w:szCs w:val="20"/>
              </w:rPr>
              <w:t xml:space="preserve">0.4101</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NTP_reference_4.4kms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1.6463</w:t>
            </w:r>
          </w:p>
        </w:tc>
        <w:tc>
          <w:tcPr>
            <w:tcW w:w="0" w:type="auto"/>
          </w:tcPr>
          <w:p>
            <w:pPr>
              <w:spacing w:line="240" w:lineRule="auto" w:before="0" w:after="0"/>
              <w:pStyle w:val="Compact"/>
            </w:pPr>
            <w:r>
              <w:rPr>
                <w:sz w:val="20"/>
                <w:szCs w:val="20"/>
              </w:rPr>
              <w:t xml:space="preserve">0.3926</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storable_chemical_4.8kms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4.6162</w:t>
            </w:r>
          </w:p>
        </w:tc>
        <w:tc>
          <w:tcPr>
            <w:tcW w:w="0" w:type="auto"/>
          </w:tcPr>
          <w:p>
            <w:pPr>
              <w:spacing w:line="240" w:lineRule="auto" w:before="0" w:after="0"/>
              <w:pStyle w:val="Compact"/>
            </w:pPr>
            <w:r>
              <w:rPr>
                <w:sz w:val="20"/>
                <w:szCs w:val="20"/>
              </w:rPr>
              <w:t xml:space="preserve">0.7834</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cryogenic_chemical_4.8kms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2.9674</w:t>
            </w:r>
          </w:p>
        </w:tc>
        <w:tc>
          <w:tcPr>
            <w:tcW w:w="0" w:type="auto"/>
          </w:tcPr>
          <w:p>
            <w:pPr>
              <w:spacing w:line="240" w:lineRule="auto" w:before="0" w:after="0"/>
              <w:pStyle w:val="Compact"/>
            </w:pPr>
            <w:r>
              <w:rPr>
                <w:sz w:val="20"/>
                <w:szCs w:val="20"/>
              </w:rPr>
              <w:t xml:space="preserve">0.663</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NTP_lower_bound_4.8kms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1.7786</w:t>
            </w:r>
          </w:p>
        </w:tc>
        <w:tc>
          <w:tcPr>
            <w:tcW w:w="0" w:type="auto"/>
          </w:tcPr>
          <w:p>
            <w:pPr>
              <w:spacing w:line="240" w:lineRule="auto" w:before="0" w:after="0"/>
              <w:pStyle w:val="Compact"/>
            </w:pPr>
            <w:r>
              <w:rPr>
                <w:sz w:val="20"/>
                <w:szCs w:val="20"/>
              </w:rPr>
              <w:t xml:space="preserve">0.4378</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NTP_reference_4.8kms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1.7226</w:t>
            </w:r>
          </w:p>
        </w:tc>
        <w:tc>
          <w:tcPr>
            <w:tcW w:w="0" w:type="auto"/>
          </w:tcPr>
          <w:p>
            <w:pPr>
              <w:spacing w:line="240" w:lineRule="auto" w:before="0" w:after="0"/>
              <w:pStyle w:val="Compact"/>
            </w:pPr>
            <w:r>
              <w:rPr>
                <w:sz w:val="20"/>
                <w:szCs w:val="20"/>
              </w:rPr>
              <w:t xml:space="preserve">0.4195</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storable_chemical_5.2kms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5.2438</w:t>
            </w:r>
          </w:p>
        </w:tc>
        <w:tc>
          <w:tcPr>
            <w:tcW w:w="0" w:type="auto"/>
          </w:tcPr>
          <w:p>
            <w:pPr>
              <w:spacing w:line="240" w:lineRule="auto" w:before="0" w:after="0"/>
              <w:pStyle w:val="Compact"/>
            </w:pPr>
            <w:r>
              <w:rPr>
                <w:sz w:val="20"/>
                <w:szCs w:val="20"/>
              </w:rPr>
              <w:t xml:space="preserve">0.8093</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cryogenic_chemical_5.2kms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3.249</w:t>
            </w:r>
          </w:p>
        </w:tc>
        <w:tc>
          <w:tcPr>
            <w:tcW w:w="0" w:type="auto"/>
          </w:tcPr>
          <w:p>
            <w:pPr>
              <w:spacing w:line="240" w:lineRule="auto" w:before="0" w:after="0"/>
              <w:pStyle w:val="Compact"/>
            </w:pPr>
            <w:r>
              <w:rPr>
                <w:sz w:val="20"/>
                <w:szCs w:val="20"/>
              </w:rPr>
              <w:t xml:space="preserve">0.6922</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NTP_lower_bound_5.2kms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1.8661</w:t>
            </w:r>
          </w:p>
        </w:tc>
        <w:tc>
          <w:tcPr>
            <w:tcW w:w="0" w:type="auto"/>
          </w:tcPr>
          <w:p>
            <w:pPr>
              <w:spacing w:line="240" w:lineRule="auto" w:before="0" w:after="0"/>
              <w:pStyle w:val="Compact"/>
            </w:pPr>
            <w:r>
              <w:rPr>
                <w:sz w:val="20"/>
                <w:szCs w:val="20"/>
              </w:rPr>
              <w:t xml:space="preserve">0.4641</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NTP_reference_5.2kms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1.8025</w:t>
            </w:r>
          </w:p>
        </w:tc>
        <w:tc>
          <w:tcPr>
            <w:tcW w:w="0" w:type="auto"/>
          </w:tcPr>
          <w:p>
            <w:pPr>
              <w:spacing w:line="240" w:lineRule="auto" w:before="0" w:after="0"/>
              <w:pStyle w:val="Compact"/>
            </w:pPr>
            <w:r>
              <w:rPr>
                <w:sz w:val="20"/>
                <w:szCs w:val="20"/>
              </w:rPr>
              <w:t xml:space="preserve">0.4452</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bl>
    <w:bookmarkEnd w:id="187"/>
    <w:bookmarkStart w:id="18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mass_ratio</w:t>
            </w:r>
          </w:p>
        </w:tc>
        <w:tc>
          <w:tcPr>
            <w:tcW w:w="0" w:type="auto"/>
          </w:tcPr>
          <w:p>
            <w:pPr>
              <w:spacing w:line="240" w:lineRule="auto" w:before="0" w:after="0"/>
              <w:pStyle w:val="Compact"/>
            </w:pPr>
            <w:r>
              <w:rPr>
                <w:sz w:val="20"/>
                <w:szCs w:val="20"/>
              </w:rPr>
              <w:t xml:space="preserve">Initial over final mass required for the transfer burn</w:t>
            </w:r>
          </w:p>
        </w:tc>
        <w:tc>
          <w:tcPr>
            <w:tcW w:w="0" w:type="auto"/>
          </w:tcPr>
          <w:p>
            <w:pPr>
              <w:spacing w:line="240" w:lineRule="auto" w:before="0" w:after="0"/>
              <w:pStyle w:val="Compact"/>
            </w:pPr>
            <w:r>
              <w:rPr>
                <w:sz w:val="20"/>
                <w:szCs w:val="20"/>
              </w:rPr>
              <w:t xml:space="preserve">Computed with the Tsiolkovsky rocket equation from delta-v, standard gravity, and specific impulse.</w:t>
            </w:r>
          </w:p>
        </w:tc>
      </w:tr>
      <w:tr>
        <w:tc>
          <w:tcPr>
            <w:tcW w:w="0" w:type="auto"/>
          </w:tcPr>
          <w:p>
            <w:pPr>
              <w:spacing w:line="240" w:lineRule="auto" w:before="0" w:after="0"/>
              <w:pStyle w:val="Compact"/>
            </w:pPr>
            <w:r>
              <w:rPr>
                <w:sz w:val="20"/>
                <w:szCs w:val="20"/>
              </w:rPr>
              <w:t xml:space="preserve">isp_s</w:t>
            </w:r>
          </w:p>
        </w:tc>
        <w:tc>
          <w:tcPr>
            <w:tcW w:w="0" w:type="auto"/>
          </w:tcPr>
          <w:p>
            <w:pPr>
              <w:spacing w:line="240" w:lineRule="auto" w:before="0" w:after="0"/>
              <w:pStyle w:val="Compact"/>
            </w:pPr>
            <w:r>
              <w:rPr>
                <w:sz w:val="20"/>
                <w:szCs w:val="20"/>
              </w:rPr>
              <w:t xml:space="preserve">Specific impulse in seconds</w:t>
            </w:r>
          </w:p>
        </w:tc>
        <w:tc>
          <w:tcPr>
            <w:tcW w:w="0" w:type="auto"/>
          </w:tcPr>
          <w:p>
            <w:pPr>
              <w:spacing w:line="240" w:lineRule="auto" w:before="0" w:after="0"/>
              <w:pStyle w:val="Compact"/>
            </w:pPr>
            <w:r>
              <w:rPr>
                <w:sz w:val="20"/>
                <w:szCs w:val="20"/>
              </w:rPr>
              <w:t xml:space="preserve">Chemical and NTP class values drawn from NASA DRA and Acta NTP literature.</w:t>
            </w:r>
          </w:p>
        </w:tc>
      </w:tr>
      <w:tr>
        <w:tc>
          <w:tcPr>
            <w:tcW w:w="0" w:type="auto"/>
          </w:tcPr>
          <w:p>
            <w:pPr>
              <w:spacing w:line="240" w:lineRule="auto" w:before="0" w:after="0"/>
              <w:pStyle w:val="Compact"/>
            </w:pPr>
            <w:r>
              <w:rPr>
                <w:sz w:val="20"/>
                <w:szCs w:val="20"/>
              </w:rPr>
              <w:t xml:space="preserve">delta_v_kms</w:t>
            </w:r>
          </w:p>
        </w:tc>
        <w:tc>
          <w:tcPr>
            <w:tcW w:w="0" w:type="auto"/>
          </w:tcPr>
          <w:p>
            <w:pPr>
              <w:spacing w:line="240" w:lineRule="auto" w:before="0" w:after="0"/>
              <w:pStyle w:val="Compact"/>
            </w:pPr>
            <w:r>
              <w:rPr>
                <w:sz w:val="20"/>
                <w:szCs w:val="20"/>
              </w:rPr>
              <w:t xml:space="preserve">Mars transfer-stage delta-v stress case</w:t>
            </w:r>
          </w:p>
        </w:tc>
        <w:tc>
          <w:tcPr>
            <w:tcW w:w="0" w:type="auto"/>
          </w:tcPr>
          <w:p>
            <w:pPr>
              <w:spacing w:line="240" w:lineRule="auto" w:before="0" w:after="0"/>
              <w:pStyle w:val="Compact"/>
            </w:pPr>
            <w:r>
              <w:rPr>
                <w:sz w:val="20"/>
                <w:szCs w:val="20"/>
              </w:rPr>
              <w:t xml:space="preserve">Range selected to bracket high-energy Earth-Mars transfer contexts discussed in Salotti and de Oliveira Souza.</w:t>
            </w:r>
          </w:p>
        </w:tc>
      </w:tr>
      <w:tr>
        <w:tc>
          <w:tcPr>
            <w:tcW w:w="0" w:type="auto"/>
          </w:tcPr>
          <w:p>
            <w:pPr>
              <w:spacing w:line="240" w:lineRule="auto" w:before="0" w:after="0"/>
              <w:pStyle w:val="Compact"/>
            </w:pPr>
            <w:r>
              <w:rPr>
                <w:sz w:val="20"/>
                <w:szCs w:val="20"/>
              </w:rPr>
              <w:t xml:space="preserve">propellant_fraction</w:t>
            </w:r>
          </w:p>
        </w:tc>
        <w:tc>
          <w:tcPr>
            <w:tcW w:w="0" w:type="auto"/>
          </w:tcPr>
          <w:p>
            <w:pPr>
              <w:spacing w:line="240" w:lineRule="auto" w:before="0" w:after="0"/>
              <w:pStyle w:val="Compact"/>
            </w:pPr>
            <w:r>
              <w:rPr>
                <w:sz w:val="20"/>
                <w:szCs w:val="20"/>
              </w:rPr>
              <w:t xml:space="preserve">One minus inverse mass ratio</w:t>
            </w:r>
          </w:p>
        </w:tc>
        <w:tc>
          <w:tcPr>
            <w:tcW w:w="0" w:type="auto"/>
          </w:tcPr>
          <w:p>
            <w:pPr>
              <w:spacing w:line="240" w:lineRule="auto" w:before="0" w:after="0"/>
              <w:pStyle w:val="Compact"/>
            </w:pPr>
            <w:r>
              <w:rPr>
                <w:sz w:val="20"/>
                <w:szCs w:val="20"/>
              </w:rPr>
              <w:t xml:space="preserve">Derived from mass ratio as a stage burden measure.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provenance</w:t>
            </w:r>
          </w:p>
        </w:tc>
        <w:tc>
          <w:tcPr>
            <w:tcW w:w="0" w:type="auto"/>
          </w:tcPr>
          <w:p>
            <w:pPr>
              <w:spacing w:line="240" w:lineRule="auto" w:before="0" w:after="0"/>
              <w:pStyle w:val="Compact"/>
            </w:pPr>
            <w:r>
              <w:rPr>
                <w:sz w:val="20"/>
                <w:szCs w:val="20"/>
              </w:rPr>
              <w:t xml:space="preserve">Each row states the published anchors and deterministic rocket-equation construction.</w:t>
            </w:r>
          </w:p>
        </w:tc>
      </w:tr>
    </w:tbl>
    <w:bookmarkEnd w:id="188"/>
    <w:bookmarkEnd w:id="189"/>
    <w:bookmarkEnd w:id="1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5" Type="http://schemas.openxmlformats.org/officeDocument/2006/relationships/image" Target="media/rId175.png"/><Relationship Id="rId183" Type="http://schemas.openxmlformats.org/officeDocument/2006/relationships/image" Target="media/rId183.png"/><Relationship Id="rId168" Type="http://schemas.openxmlformats.org/officeDocument/2006/relationships/hyperlink" Target="https://doi.org/10.1016/j.actaastro.2020.09.016" TargetMode="External"/><Relationship Id="rId145" Type="http://schemas.openxmlformats.org/officeDocument/2006/relationships/hyperlink" Target="https://doi.org/10.1016/j.actaastro.2020.11.038" TargetMode="External"/><Relationship Id="rId138" Type="http://schemas.openxmlformats.org/officeDocument/2006/relationships/hyperlink" Target="https://doi.org/10.1016/j.actaastro.2021.11.016" TargetMode="External"/><Relationship Id="rId162" Type="http://schemas.openxmlformats.org/officeDocument/2006/relationships/hyperlink" Target="https://doi.org/10.1016/j.actaastro.2021.11.032" TargetMode="External"/><Relationship Id="rId171" Type="http://schemas.openxmlformats.org/officeDocument/2006/relationships/hyperlink" Target="https://doi.org/10.1016/j.actaastro.2021.12.030" TargetMode="External"/><Relationship Id="rId166" Type="http://schemas.openxmlformats.org/officeDocument/2006/relationships/hyperlink" Target="https://doi.org/10.1016/j.actaastro.2022.04.001" TargetMode="External"/><Relationship Id="rId160" Type="http://schemas.openxmlformats.org/officeDocument/2006/relationships/hyperlink" Target="https://doi.org/10.1016/j.actaastro.2024.01.001" TargetMode="External"/><Relationship Id="rId164" Type="http://schemas.openxmlformats.org/officeDocument/2006/relationships/hyperlink" Target="https://doi.org/10.1016/j.actaastro.2025.11.043" TargetMode="External"/><Relationship Id="rId140" Type="http://schemas.openxmlformats.org/officeDocument/2006/relationships/hyperlink" Target="https://doi.org/10.1016/j.actaastro.2026.04.018" TargetMode="External"/><Relationship Id="rId150" Type="http://schemas.openxmlformats.org/officeDocument/2006/relationships/hyperlink" Target="https://doi.org/10.64861/ACAL6125" TargetMode="External"/><Relationship Id="rId155" Type="http://schemas.openxmlformats.org/officeDocument/2006/relationships/hyperlink" Target="https://doi.org/10.64861/PHBD6598" TargetMode="External"/><Relationship Id="rId157" Type="http://schemas.openxmlformats.org/officeDocument/2006/relationships/hyperlink" Target="https://doi.org/10.64861/XHRO4751" TargetMode="External"/></Relationships>
</file>

<file path=word/_rels/footnotes.xml.rels><?xml version='1.0' encoding='UTF-8' standalone='yes'?>
<Relationships xmlns="http://schemas.openxmlformats.org/package/2006/relationships"><Relationship Id="rId168" Type="http://schemas.openxmlformats.org/officeDocument/2006/relationships/hyperlink" Target="https://doi.org/10.1016/j.actaastro.2020.09.016" TargetMode="External"/><Relationship Id="rId145" Type="http://schemas.openxmlformats.org/officeDocument/2006/relationships/hyperlink" Target="https://doi.org/10.1016/j.actaastro.2020.11.038" TargetMode="External"/><Relationship Id="rId138" Type="http://schemas.openxmlformats.org/officeDocument/2006/relationships/hyperlink" Target="https://doi.org/10.1016/j.actaastro.2021.11.016" TargetMode="External"/><Relationship Id="rId162" Type="http://schemas.openxmlformats.org/officeDocument/2006/relationships/hyperlink" Target="https://doi.org/10.1016/j.actaastro.2021.11.032" TargetMode="External"/><Relationship Id="rId171" Type="http://schemas.openxmlformats.org/officeDocument/2006/relationships/hyperlink" Target="https://doi.org/10.1016/j.actaastro.2021.12.030" TargetMode="External"/><Relationship Id="rId166" Type="http://schemas.openxmlformats.org/officeDocument/2006/relationships/hyperlink" Target="https://doi.org/10.1016/j.actaastro.2022.04.001" TargetMode="External"/><Relationship Id="rId160" Type="http://schemas.openxmlformats.org/officeDocument/2006/relationships/hyperlink" Target="https://doi.org/10.1016/j.actaastro.2024.01.001" TargetMode="External"/><Relationship Id="rId164" Type="http://schemas.openxmlformats.org/officeDocument/2006/relationships/hyperlink" Target="https://doi.org/10.1016/j.actaastro.2025.11.043" TargetMode="External"/><Relationship Id="rId140" Type="http://schemas.openxmlformats.org/officeDocument/2006/relationships/hyperlink" Target="https://doi.org/10.1016/j.actaastro.2026.04.018" TargetMode="External"/><Relationship Id="rId150" Type="http://schemas.openxmlformats.org/officeDocument/2006/relationships/hyperlink" Target="https://doi.org/10.64861/ACAL6125" TargetMode="External"/><Relationship Id="rId155" Type="http://schemas.openxmlformats.org/officeDocument/2006/relationships/hyperlink" Target="https://doi.org/10.64861/PHBD6598" TargetMode="External"/><Relationship Id="rId157" Type="http://schemas.openxmlformats.org/officeDocument/2006/relationships/hyperlink" Target="https://doi.org/10.64861/XHRO47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 Transit Architecture and the Nuclear-Propulsion Payoff: A Falsifiable Mass-Sensitivity Test</dc:title>
  <dc:creator>Mateo Haddad (1B-LUN-143)</dc:creator>
  <cp:keywords/>
  <dcterms:created xsi:type="dcterms:W3CDTF">2026-07-03T21:57:02Z</dcterms:created>
  <dcterms:modified xsi:type="dcterms:W3CDTF">2026-07-03T21:57:02Z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