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ca2a211967aad5001d363a8e7395ed5bc65ad75"/>
    <w:p>
      <w:pPr>
        <w:pStyle w:val="Heading1"/>
      </w:pPr>
      <w:r>
        <w:t xml:space="preserve">Citation Accumulation in Lunar Closure Literature: A Log-Log Learning Curve from Acta Metadata</w:t>
      </w:r>
    </w:p>
    <w:bookmarkStart w:id="61" w:name="introduction"/>
    <w:p>
      <w:pPr>
        <w:pStyle w:val="Heading2"/>
      </w:pPr>
      <w:r>
        <w:t xml:space="preserve">1. Introduction</w:t>
      </w:r>
    </w:p>
    <w:p>
      <w:pPr>
        <w:pStyle w:val="FirstParagraph"/>
      </w:pPr>
      <w:r>
        <w:t xml:space="preserve">A lunar carrying-capacity model requires current technical evidence, but current evidence is not the same as mature evidence. Recent papers can introduce essential mechanisms before the literature has had time to cite and test them. This paper estimates citation accumulation in the same 40-record Acta metadata sample used in Paper 1. The dependent variable is citation count plus one, and the predictor is paper age plus one. The plus-one transformation permits log-log estimation for recent papers with zero citations</w:t>
      </w:r>
      <w:r>
        <w:t xml:space="preserve"> </w:t>
      </w:r>
      <w:hyperlink w:anchor="ref-1">
        <m:oMathPara>
          <m:oMathParaPr>
            <m:jc m:val="center"/>
          </m:oMathParaPr>
          <m:oMath>
            <m:r>
              <m:t>1</m:t>
            </m:r>
          </m:oMath>
        </m:oMathPara>
      </w:hyperlink>
      <w:r>
        <w:t xml:space="preserve">.</w:t>
      </w:r>
    </w:p>
    <w:p>
      <w:pPr>
        <w:pStyle w:val="FirstParagraph"/>
      </w:pPr>
      <w:r>
        <w:t xml:space="preserve">The question is whether closure-relevant knowledge uptake accumulates with time in the metadata. The answer is yes. The learning-curve estimator reports an elasticity of 1.4931 with a robust standard error of 0.1766 and a p-value of 2.8303e-17. The R-squared is 0.6223, and the doubling multiplier is 2.8149. Older papers in this closure-relevant sample have substantially more citations-plus-one.</w:t>
      </w:r>
    </w:p>
    <w:p>
      <w:pPr>
        <w:pStyle w:val="BodyText"/>
      </w:pPr>
      <w:r>
        <w:t xml:space="preserve">The finding matters for carrying-capacity modeling because recent lunar photobioreactor, oxygen, food-system, and hybrid ISRU studies may be central even when their citation counts remain low</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 Citation accumulation is a time-dependent attention process. It cannot be treated as a direct proxy for sub-loop closure quality.</w:t>
      </w:r>
    </w:p>
    <w:bookmarkEnd w:id="61"/>
    <w:bookmarkStart w:id="62" w:name="theory-and-hypotheses"/>
    <w:p>
      <w:pPr>
        <w:pStyle w:val="Heading2"/>
      </w:pPr>
      <w:r>
        <w:t xml:space="preserve">2. Theory and Hypotheses</w:t>
      </w:r>
    </w:p>
    <w:p>
      <w:pPr>
        <w:pStyle w:val="FirstParagraph"/>
      </w:pPr>
      <w:r>
        <w:t xml:space="preserve">Citation counts are often used informally as evidence of maturity. In a fast-moving lunar settlement literature, that can mislead. A 2016 urine recovery paper has had more time to be cited than a 2025 photobioreactor manufacturing paper, even if the latter is more directly relevant to lunar in-situ closure</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 A 2026 food-system review may be useful for integrated carrying capacity but too new to show high citations</w:t>
      </w:r>
      <w:r>
        <w:t xml:space="preserve"> </w:t>
      </w:r>
      <w:hyperlink w:anchor="ref-9">
        <m:oMathPara>
          <m:oMathParaPr>
            <m:jc m:val="center"/>
          </m:oMathParaPr>
          <m:oMath>
            <m:r>
              <m:t>9</m:t>
            </m:r>
          </m:oMath>
        </m:oMathPara>
      </w:hyperlink>
      <w:r>
        <w:t xml:space="preserve">.</w:t>
      </w:r>
    </w:p>
    <w:p>
      <w:pPr>
        <w:pStyle w:val="FirstParagraph"/>
      </w:pPr>
      <w:r>
        <w:t xml:space="preserve">The theoretical expectation is positive citation accumulation with age. The null hypothesis is that the elasticity of citations-plus-one with respect to paper-age-plus-one is zero. The alternative is that the elasticity is positive. The test does not claim that older papers are better. It claims that attention accumulates with time, which means modelers should separate maturity from recency when selecting closure evidence.</w:t>
      </w:r>
    </w:p>
    <w:p>
      <w:pPr>
        <w:pStyle w:val="BodyText"/>
      </w:pPr>
      <w:r>
        <w:t xml:space="preserve">This distinction is central to the dissertation. If a crew ceiling is calibrated only from high-citation papers, it may underweight recent ISRU and BLSS integration papers. If it relies only on novelty, it may overstate untested technologies. A log-log citation accumulation model provides a quantitative correction to both tendencies.</w:t>
      </w:r>
    </w:p>
    <w:bookmarkEnd w:id="62"/>
    <w:bookmarkStart w:id="63" w:name="data"/>
    <w:p>
      <w:pPr>
        <w:pStyle w:val="Heading2"/>
      </w:pPr>
      <w:r>
        <w:t xml:space="preserve">3. Data</w:t>
      </w:r>
    </w:p>
    <w:p>
      <w:pPr>
        <w:pStyle w:val="FirstParagraph"/>
      </w:pPr>
      <w:r>
        <w:t xml:space="preserve">The data are the same 40 Acta metadata records used in Paper 1</w:t>
      </w:r>
      <w:r>
        <w:t xml:space="preserve"> </w:t>
      </w:r>
      <w:hyperlink w:anchor="ref-1">
        <m:oMathPara>
          <m:oMathParaPr>
            <m:jc m:val="center"/>
          </m:oMathParaPr>
          <m:oMath>
            <m:r>
              <m:t>1</m:t>
            </m:r>
          </m:oMath>
        </m:oMathPara>
      </w:hyperlink>
      <w:r>
        <w:t xml:space="preserve">. Each row carries year, title, DOI, citation count, paper age plus one, and source. The outcome,</w:t>
      </w:r>
      <w:r>
        <w:t xml:space="preserve"> </w:t>
      </w:r>
      <w:r>
        <w:rPr>
          <w:rStyle w:val="VerbatimChar"/>
        </w:rPr>
        <w:t xml:space="preserve">citations_plus_one</w:t>
      </w:r>
      <w:r>
        <w:t xml:space="preserve">, is citation count plus one. The predictor,</w:t>
      </w:r>
      <w:r>
        <w:t xml:space="preserve"> </w:t>
      </w:r>
      <w:r>
        <w:rPr>
          <w:rStyle w:val="VerbatimChar"/>
        </w:rPr>
        <w:t xml:space="preserve">paper_age_plus_one</w:t>
      </w:r>
      <w:r>
        <w:t xml:space="preserve">, is 2026 minus publication year plus one. All values are derived from the local Acta metadata export and DOI-bearing rows. No row is illustrative.</w:t>
      </w:r>
    </w:p>
    <w:p>
      <w:pPr>
        <w:pStyle w:val="FirstParagraph"/>
      </w:pPr>
      <w:r>
        <w:t xml:space="preserve">The sample includes papers on lunar photobioreactors, hybrid ISRU plants, NASA nutrition requirements for BLSS, plant-space research, urine recovery, food systems, lunar regolith simulants, and oxygen production facilities. It therefore covers the evidence categories named in the prospectus. It is not a full systematic review. It is a reproducible metadata sample designed to quantify attention accumulation.</w:t>
      </w:r>
    </w:p>
    <w:p>
      <w:pPr>
        <w:pStyle w:val="BodyText"/>
      </w:pPr>
      <w:r>
        <w:t xml:space="preserve">The plus-one outcome is a modeling choice rather than a source claim. It prevents zero-citation recent papers from being dropped in the log transformation. The estimator then interprets the coefficient as elasticity in citations-plus-one, not raw citations.</w:t>
      </w:r>
    </w:p>
    <w:bookmarkEnd w:id="63"/>
    <w:bookmarkStart w:id="64" w:name="method"/>
    <w:p>
      <w:pPr>
        <w:pStyle w:val="Heading2"/>
      </w:pPr>
      <w:r>
        <w:t xml:space="preserve">4. Method</w:t>
      </w:r>
    </w:p>
    <w:p>
      <w:pPr>
        <w:pStyle w:val="FirstParagraph"/>
      </w:pPr>
      <w:r>
        <w:t xml:space="preserve">The repository learning-curve method estimates ordinary least squares after natural-log transformation. The model regresses log citations-plus-one on log paper-age-plus-one. The slope is an elasticity. A slope of one would mean proportional accumulation: a doubling of age is associated with a doubling of citations-plus-one. A slope above one indicates more than proportional accumulation.</w:t>
      </w:r>
    </w:p>
    <w:p>
      <w:pPr>
        <w:pStyle w:val="BodyText"/>
      </w:pPr>
      <w:r>
        <w:t xml:space="preserve">The estimator uses HC1 robust standard errors. Because the design is bibliometric and cross-sectional, it does not estimate causal influence. Older papers differ from recent papers in topic, opportunity, and field maturity. The coefficient is a descriptive measure of accumulation in the sample.</w:t>
      </w:r>
    </w:p>
    <w:bookmarkEnd w:id="64"/>
    <w:bookmarkStart w:id="65" w:name="findings"/>
    <w:p>
      <w:pPr>
        <w:pStyle w:val="Heading2"/>
      </w:pPr>
      <w:r>
        <w:t xml:space="preserve">5. Findings</w:t>
      </w:r>
    </w:p>
    <w:p>
      <w:pPr>
        <w:pStyle w:val="FirstParagraph"/>
      </w:pPr>
      <w:r>
        <w:t xml:space="preserve">The model uses all 40 observations. It reports an R-squared of 0.6223. The intercept is 0.1342 with a robust standard error of 0.2095 and a p-value of 0.5219. The age elasticity is 1.4931 with a robust standard error of 0.1766 and a p-value of 2.8303e-17. The 95 percent confidence interval runs from 1.1469 to 1.8393.</w:t>
      </w:r>
    </w:p>
    <w:p>
      <w:pPr>
        <w:pStyle w:val="BodyText"/>
      </w:pPr>
      <w:r>
        <w:t xml:space="preserve">The elasticity is positive and above one. The doubling multiplier is 2.8149, meaning that a doubling of paper age is associated with 2.8149 times citations-plus-one in this sample. The result supports rejection of the null. Citation accumulation is strongly age-related.</w:t>
      </w:r>
    </w:p>
    <w:p>
      <w:pPr>
        <w:pStyle w:val="BodyText"/>
      </w:pPr>
      <w:r>
        <w:t xml:space="preserve">For closure-rate modeling, the implication is straightforward. Recent lunar ISRU and BLSS papers can be technically central before they become highly cited. A simple citation ranking would penalize papers published in 2025 or 2026. A carrying-capacity model should therefore record citation age and technical sub-loop relevance separately.</w:t>
      </w:r>
    </w:p>
    <w:bookmarkEnd w:id="65"/>
    <w:bookmarkStart w:id="66" w:name="discussion"/>
    <w:p>
      <w:pPr>
        <w:pStyle w:val="Heading2"/>
      </w:pPr>
      <w:r>
        <w:t xml:space="preserve">6. Discussion</w:t>
      </w:r>
    </w:p>
    <w:p>
      <w:pPr>
        <w:pStyle w:val="FirstParagraph"/>
      </w:pPr>
      <w:r>
        <w:t xml:space="preserve">The learning-curve result complements the OLS paper. Paper 1 showed that age and ISRU orientation are directionally associated with citations but not jointly decisive in a three-predictor model. Paper 2 shows that age alone has a strong log-log association with citations-plus-one. Together, the papers argue for evidence governance in lunar closure modeling. The literature must be measured as a time-dependent evidence base before it is inverted into a crew ceiling.</w:t>
      </w:r>
    </w:p>
    <w:p>
      <w:pPr>
        <w:pStyle w:val="BodyText"/>
      </w:pPr>
      <w:r>
        <w:t xml:space="preserve">This is not a substitute for physical closure-rate data. It is a guardrail against fabricating physical closure rates when source papers do not report comparable values. The dissertation uses real metadata to show why a transparent model must track recency, sub-loop classification, and citation uptake. When future work extracts actual water, oxygen, nitrogen, and edible biomass closure rates from comparable experiments, those values can replace the metadata proxy.</w:t>
      </w:r>
    </w:p>
    <w:p>
      <w:pPr>
        <w:pStyle w:val="BodyText"/>
      </w:pPr>
      <w:r>
        <w:t xml:space="preserve">A final implication concerns procurement and research funding. If a lunar settlement program funds only mature and highly cited sub-loops, it may miss emerging but essential technologies such as local photobioreactor manufacture. If it funds only novelty, it may ignore hard-won knowledge from older urine recovery and BLSS studies. Carrying capacity depends on integrating both.</w:t>
      </w:r>
    </w:p>
    <w:p>
      <w:pPr>
        <w:pStyle w:val="BodyText"/>
      </w:pPr>
      <w:r>
        <w:t xml:space="preserve">The age effect also has a substantive interpretation for research portfolios. A recent technical advance can be important even before its citation count matures. That is especially true for lunar closure, where the technology mix is changing quickly and where ISRU, food systems, and bioregenerative loops have begun to converge. A model that ranks papers only by citation count will tend to reproduce older assumptions. A model that ignores citations completely will lose information about scrutiny and reuse.</w:t>
      </w:r>
    </w:p>
    <w:p>
      <w:pPr>
        <w:pStyle w:val="BodyText"/>
      </w:pPr>
      <w:r>
        <w:t xml:space="preserve">The learning-curve estimate gives a way to separate these concerns. It shows that citation count is strongly age-dependent in the sample, so a low citation count for a recent paper should not be treated as weak evidence by itself. The correct next step is to code technical variables directly: loop type, reported yield, duration, analog environment, mass basis, and uncertainty. This paper supplies the bibliometric correction that motivates that more detailed extraction.</w:t>
      </w:r>
    </w:p>
    <w:p>
      <w:pPr>
        <w:pStyle w:val="BodyText"/>
      </w:pPr>
      <w:r>
        <w:t xml:space="preserve">The result also implies that a carrying-capacity model should report an evidence-age table. Such a table would identify which sub-loops rest on older, repeatedly cited work and which rely on recent papers with limited citation time. That table would make the uncertainty in n* easier to interpret and would reduce the risk that novelty or seniority alone drives the model.</w:t>
      </w:r>
    </w:p>
    <w:p>
      <w:pPr>
        <w:pStyle w:val="BodyText"/>
      </w:pPr>
      <w:r>
        <w:t xml:space="preserve">In short, citation age is a confounder in evidence selection. Treating it explicitly improves the credibility of any later closure-rate synthesis.</w:t>
      </w:r>
    </w:p>
    <w:p>
      <w:pPr>
        <w:pStyle w:val="BodyText"/>
      </w:pPr>
      <w:r>
        <w:t xml:space="preserve">This is why the dissertation treats metadata as a first-stage empirical object. Before estimating a settlement crew ceiling, it asks whether the knowledge base has aged evenly enough to support a direct synthesis. The answer is no; time must be represented explicitly.</w:t>
      </w:r>
    </w:p>
    <w:bookmarkEnd w:id="66"/>
    <w:bookmarkStart w:id="84" w:name="references"/>
    <w:p>
      <w:pPr>
        <w:pStyle w:val="Heading2"/>
      </w:pPr>
      <w:r>
        <w:t xml:space="preserve">References</w:t>
      </w:r>
    </w:p>
    <w:p>
      <w:pPr>
        <w:pStyle w:val="FirstParagraph"/>
      </w:pPr>
      <w:bookmarkStart w:id="67" w:name="ref-1"/>
      <w:bookmarkEnd w:id="67"/>
      <w:r>
        <w:t xml:space="preserve">1. Acta Astronautica local metadata corpus, query export on lunar life support, ISRU, bioregenerative systems, photobioreactors, regolith, oxygen, food, habitat, and settlement, June 27, 2026.</w:t>
      </w:r>
    </w:p>
    <w:p>
      <w:pPr>
        <w:pStyle w:val="BodyText"/>
      </w:pPr>
      <w:bookmarkStart w:id="68" w:name="ref-2"/>
      <w:bookmarkEnd w:id="68"/>
      <w:r>
        <w:t xml:space="preserve">2. L. Salman et al.,</w:t>
      </w:r>
      <w:r>
        <w:t xml:space="preserve"> </w:t>
      </w:r>
      <w:r>
        <w:t xml:space="preserve">“In-situ manufacturing of photobioreactors on the Moon using local resources,”</w:t>
      </w:r>
      <w:r>
        <w:t xml:space="preserve"> </w:t>
      </w:r>
      <w:r>
        <w:t xml:space="preserve">Acta Astronautica, vol. 236, 2025. doi:</w:t>
      </w:r>
      <w:r>
        <w:t xml:space="preserve"> </w:t>
      </w:r>
      <w:hyperlink r:id="rId69">
        <w:r>
          <w:rPr>
            <w:rStyle w:val="Hyperlink"/>
          </w:rPr>
          <w:t xml:space="preserve">10.1016/j.actaastro.2025.07.033</w:t>
        </w:r>
      </w:hyperlink>
    </w:p>
    <w:p>
      <w:pPr>
        <w:pStyle w:val="BodyText"/>
      </w:pPr>
      <w:bookmarkStart w:id="70" w:name="ref-3"/>
      <w:bookmarkEnd w:id="70"/>
      <w:r>
        <w:t xml:space="preserve">3. J. Robinot et al.,</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71">
        <w:r>
          <w:rPr>
            <w:rStyle w:val="Hyperlink"/>
          </w:rPr>
          <w:t xml:space="preserve">10.1016/j.actaastro.2025.05.008</w:t>
        </w:r>
      </w:hyperlink>
    </w:p>
    <w:p>
      <w:pPr>
        <w:pStyle w:val="BodyText"/>
      </w:pPr>
      <w:bookmarkStart w:id="72" w:name="ref-4"/>
      <w:bookmarkEnd w:id="72"/>
      <w:r>
        <w:t xml:space="preserve">4.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73">
        <w:r>
          <w:rPr>
            <w:rStyle w:val="Hyperlink"/>
          </w:rPr>
          <w:t xml:space="preserve">10.1016/j.actaastro.2021.01.009</w:t>
        </w:r>
      </w:hyperlink>
    </w:p>
    <w:p>
      <w:pPr>
        <w:pStyle w:val="BodyText"/>
      </w:pPr>
      <w:bookmarkStart w:id="74" w:name="ref-5"/>
      <w:bookmarkEnd w:id="74"/>
      <w:r>
        <w:t xml:space="preserve">5. D. V. Sukhinov, P. M. Gotovtsev, and Y. E. Sergeeva,</w:t>
      </w:r>
      <w:r>
        <w:t xml:space="preserve"> </w:t>
      </w:r>
      <w:r>
        <w:t xml:space="preserve">“Phototrophic microorganisms in bioregenerative life support systems for long-term crewed expeditions,”</w:t>
      </w:r>
      <w:r>
        <w:t xml:space="preserve"> </w:t>
      </w:r>
      <w:r>
        <w:t xml:space="preserve">Acta Astronautica, vol. 211, 2023. doi:</w:t>
      </w:r>
      <w:r>
        <w:t xml:space="preserve"> </w:t>
      </w:r>
      <w:hyperlink r:id="rId75">
        <w:r>
          <w:rPr>
            <w:rStyle w:val="Hyperlink"/>
          </w:rPr>
          <w:t xml:space="preserve">10.1016/j.actaastro.2023.07.006</w:t>
        </w:r>
      </w:hyperlink>
    </w:p>
    <w:p>
      <w:pPr>
        <w:pStyle w:val="BodyText"/>
      </w:pPr>
      <w:bookmarkStart w:id="76" w:name="ref-6"/>
      <w:bookmarkEnd w:id="76"/>
      <w:r>
        <w:t xml:space="preserve">6. S. Deng, B. Xie, and H. Liu,</w:t>
      </w:r>
      <w:r>
        <w:t xml:space="preserve"> </w:t>
      </w:r>
      <w:r>
        <w:t xml:space="preserve">“The recycle of water and nitrogen from urine in bioregenerative life support system,”</w:t>
      </w:r>
      <w:r>
        <w:t xml:space="preserve"> </w:t>
      </w:r>
      <w:r>
        <w:t xml:space="preserve">Acta Astronautica, vol. 123, 2016. doi:</w:t>
      </w:r>
      <w:r>
        <w:t xml:space="preserve"> </w:t>
      </w:r>
      <w:hyperlink r:id="rId77">
        <w:r>
          <w:rPr>
            <w:rStyle w:val="Hyperlink"/>
          </w:rPr>
          <w:t xml:space="preserve">10.1016/j.actaastro.2016.03.007</w:t>
        </w:r>
      </w:hyperlink>
    </w:p>
    <w:p>
      <w:pPr>
        <w:pStyle w:val="BodyText"/>
      </w:pPr>
      <w:bookmarkStart w:id="78" w:name="ref-7"/>
      <w:bookmarkEnd w:id="78"/>
      <w:r>
        <w:t xml:space="preserve">7. C. Lorenz, B. Hay Mele, and C. Arena,</w:t>
      </w:r>
      <w:r>
        <w:t xml:space="preserve"> </w:t>
      </w:r>
      <w:r>
        <w:t xml:space="preserve">“Where is the plant-space research going?”</w:t>
      </w:r>
      <w:r>
        <w:t xml:space="preserve"> </w:t>
      </w:r>
      <w:r>
        <w:t xml:space="preserve">Acta Astronautica, vol. 221, 2024. doi:</w:t>
      </w:r>
      <w:r>
        <w:t xml:space="preserve"> </w:t>
      </w:r>
      <w:hyperlink r:id="rId79">
        <w:r>
          <w:rPr>
            <w:rStyle w:val="Hyperlink"/>
          </w:rPr>
          <w:t xml:space="preserve">10.1016/j.actaastro.2024.05.022</w:t>
        </w:r>
      </w:hyperlink>
    </w:p>
    <w:p>
      <w:pPr>
        <w:pStyle w:val="BodyText"/>
      </w:pPr>
      <w:bookmarkStart w:id="80" w:name="ref-8"/>
      <w:bookmarkEnd w:id="80"/>
      <w:r>
        <w:t xml:space="preserve">8. K. Ikeya et al.,</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81">
        <w:r>
          <w:rPr>
            <w:rStyle w:val="Hyperlink"/>
          </w:rPr>
          <w:t xml:space="preserve">10.1016/j.actaastro.2025.02.004</w:t>
        </w:r>
      </w:hyperlink>
    </w:p>
    <w:p>
      <w:pPr>
        <w:pStyle w:val="BodyText"/>
      </w:pPr>
      <w:bookmarkStart w:id="82" w:name="ref-9"/>
      <w:bookmarkEnd w:id="82"/>
      <w:r>
        <w:t xml:space="preserve">9. T. Blomqvist and R. Fritsche,</w:t>
      </w:r>
      <w:r>
        <w:t xml:space="preserve"> </w:t>
      </w:r>
      <w:r>
        <w:t xml:space="preserve">“From production to food systems: A systems-level review of drivers, requirements, and integration for Lunar and Martian food systems,”</w:t>
      </w:r>
      <w:r>
        <w:t xml:space="preserve"> </w:t>
      </w:r>
      <w:r>
        <w:t xml:space="preserve">Acta Astronautica, vol. 244, 2026. doi:</w:t>
      </w:r>
      <w:r>
        <w:t xml:space="preserve"> </w:t>
      </w:r>
      <w:hyperlink r:id="rId83">
        <w:r>
          <w:rPr>
            <w:rStyle w:val="Hyperlink"/>
          </w:rPr>
          <w:t xml:space="preserve">10.1016/j.actaastro.2026.02.021</w:t>
        </w:r>
      </w:hyperlink>
    </w:p>
    <w:bookmarkEnd w:id="84"/>
    <w:bookmarkStart w:id="85"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nor/>
                  <m:sty m:val="p"/>
                </m:rPr>
                <m:t>CitationsPlusOne</m:t>
              </m:r>
            </m:e>
            <m:sub>
              <m:r>
                <m:t>i</m:t>
              </m:r>
            </m:sub>
          </m:sSub>
          <m:r>
            <m:rPr>
              <m:sty m:val="p"/>
            </m:rPr>
            <m:t>)</m:t>
          </m:r>
          <m:r>
            <m:rPr>
              <m:sty m:val="p"/>
            </m:rPr>
            <m:t>=</m:t>
          </m:r>
          <m:r>
            <m:t>α</m:t>
          </m:r>
          <m:r>
            <m:rPr>
              <m:sty m:val="p"/>
            </m:rPr>
            <m:t>+</m:t>
          </m:r>
          <m:r>
            <m:t>b</m:t>
          </m:r>
          <m:r>
            <m:rPr>
              <m:sty m:val="p"/>
            </m:rPr>
            <m:t>log</m:t>
          </m:r>
          <m:r>
            <m:rPr>
              <m:sty m:val="p"/>
            </m:rPr>
            <m:t>(</m:t>
          </m:r>
          <m:sSub>
            <m:e>
              <m:r>
                <m:rPr>
                  <m:nor/>
                  <m:sty m:val="p"/>
                </m:rPr>
                <m:t>AgePlusOne</m:t>
              </m:r>
            </m:e>
            <m:sub>
              <m:r>
                <m:t>i</m:t>
              </m:r>
            </m:sub>
          </m:sSub>
          <m:r>
            <m:rPr>
              <m:sty m:val="p"/>
            </m:rPr>
            <m:t>)</m:t>
          </m:r>
          <m:r>
            <m:rPr>
              <m:sty m:val="p"/>
            </m:rPr>
            <m:t>+</m:t>
          </m:r>
          <m:sSub>
            <m:e>
              <m:r>
                <m:t>ε</m:t>
              </m:r>
            </m:e>
            <m:sub>
              <m:r>
                <m:t>i</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0.1342</w:t>
            </w:r>
          </w:p>
        </w:tc>
        <w:tc>
          <w:tcPr>
            <w:tcW w:w="0" w:type="auto"/>
          </w:tcPr>
          <w:p>
            <w:pPr>
              <w:spacing w:line="240" w:lineRule="auto" w:before="0" w:after="0"/>
              <w:pStyle w:val="Compact"/>
            </w:pPr>
            <w:r>
              <w:rPr>
                <w:sz w:val="20"/>
                <w:szCs w:val="20"/>
              </w:rPr>
              <w:t xml:space="preserve">0.2095</w:t>
            </w:r>
          </w:p>
        </w:tc>
        <w:tc>
          <w:tcPr>
            <w:tcW w:w="0" w:type="auto"/>
          </w:tcPr>
          <w:p>
            <w:pPr>
              <w:spacing w:line="240" w:lineRule="auto" w:before="0" w:after="0"/>
              <w:pStyle w:val="Compact"/>
            </w:pPr>
            <w:r>
              <w:rPr>
                <w:sz w:val="20"/>
                <w:szCs w:val="20"/>
              </w:rPr>
              <w:t xml:space="preserve">0.6405</w:t>
            </w:r>
          </w:p>
        </w:tc>
        <w:tc>
          <w:tcPr>
            <w:tcW w:w="0" w:type="auto"/>
          </w:tcPr>
          <w:p>
            <w:pPr>
              <w:spacing w:line="240" w:lineRule="auto" w:before="0" w:after="0"/>
              <w:pStyle w:val="Compact"/>
            </w:pPr>
            <w:r>
              <w:rPr>
                <w:sz w:val="20"/>
                <w:szCs w:val="20"/>
              </w:rPr>
              <w:t xml:space="preserve">0.5219</w:t>
            </w:r>
          </w:p>
        </w:tc>
        <w:tc>
          <w:tcPr>
            <w:tcW w:w="0" w:type="auto"/>
          </w:tcPr>
          <w:p>
            <w:pPr>
              <w:spacing w:line="240" w:lineRule="auto" w:before="0" w:after="0"/>
              <w:pStyle w:val="Compact"/>
            </w:pPr>
            <w:r>
              <w:rPr>
                <w:sz w:val="20"/>
                <w:szCs w:val="20"/>
              </w:rPr>
              <w:t xml:space="preserve">[-0.2765, 0.5448]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1.4931</w:t>
            </w:r>
          </w:p>
        </w:tc>
        <w:tc>
          <w:tcPr>
            <w:tcW w:w="0" w:type="auto"/>
          </w:tcPr>
          <w:p>
            <w:pPr>
              <w:spacing w:line="240" w:lineRule="auto" w:before="0" w:after="0"/>
              <w:pStyle w:val="Compact"/>
            </w:pPr>
            <w:r>
              <w:rPr>
                <w:sz w:val="20"/>
                <w:szCs w:val="20"/>
              </w:rPr>
              <w:t xml:space="preserve">0.1766</w:t>
            </w:r>
          </w:p>
        </w:tc>
        <w:tc>
          <w:tcPr>
            <w:tcW w:w="0" w:type="auto"/>
          </w:tcPr>
          <w:p>
            <w:pPr>
              <w:spacing w:line="240" w:lineRule="auto" w:before="0" w:after="0"/>
              <w:pStyle w:val="Compact"/>
            </w:pPr>
            <w:r>
              <w:rPr>
                <w:sz w:val="20"/>
                <w:szCs w:val="20"/>
              </w:rPr>
              <w:t xml:space="preserve">8.4534</w:t>
            </w:r>
          </w:p>
        </w:tc>
        <w:tc>
          <w:tcPr>
            <w:tcW w:w="0" w:type="auto"/>
          </w:tcPr>
          <w:p>
            <w:pPr>
              <w:spacing w:line="240" w:lineRule="auto" w:before="0" w:after="0"/>
              <w:pStyle w:val="Compact"/>
            </w:pPr>
            <w:r>
              <w:rPr>
                <w:sz w:val="20"/>
                <w:szCs w:val="20"/>
              </w:rPr>
              <w:t xml:space="preserve">2.83e-17</w:t>
            </w:r>
          </w:p>
        </w:tc>
        <w:tc>
          <w:tcPr>
            <w:tcW w:w="0" w:type="auto"/>
          </w:tcPr>
          <w:p>
            <w:pPr>
              <w:spacing w:line="240" w:lineRule="auto" w:before="0" w:after="0"/>
              <w:pStyle w:val="Compact"/>
            </w:pPr>
            <w:r>
              <w:rPr>
                <w:sz w:val="20"/>
                <w:szCs w:val="20"/>
              </w:rPr>
              <w:t xml:space="preserve">[1.1469, 1.8393]</w:t>
            </w:r>
          </w:p>
        </w:tc>
      </w:tr>
    </w:tbl>
    <w:p>
      <w:pPr>
        <w:pStyle w:val="BodyText"/>
      </w:pPr>
      <w:r>
        <w:t xml:space="preserve">Fit: N = 40 R2 = 0.6223 elasticity_b = 1.4931 progress_ratio_2^b = 2.8149</w:t>
      </w:r>
    </w:p>
    <w:p>
      <w:pPr>
        <w:pStyle w:val="CaptionedFigure"/>
      </w:pPr>
      <w:r>
        <w:drawing>
          <wp:inline>
            <wp:extent cx="5669280" cy="3657600"/>
            <wp:effectExtent b="0" l="0" r="0" t="0"/>
            <wp:docPr descr="Figure 1. Figure 1. Log-log citation accumulation in the lunar closure-relevant Acta metadata sample." title="" id="87" name="Picture"/>
            <a:graphic>
              <a:graphicData uri="http://schemas.openxmlformats.org/drawingml/2006/picture">
                <pic:pic>
                  <pic:nvPicPr>
                    <pic:cNvPr descr="dissertations\CISLUNAR_DEV_09\research_papers\p2\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Log-log citation accumulation in the lunar closure-relevant Acta metadata sample.</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paper_id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doi</w:t>
            </w:r>
          </w:p>
        </w:tc>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years_since_2016</w:t>
            </w:r>
          </w:p>
        </w:tc>
        <w:tc>
          <w:tcPr>
            <w:tcW w:w="0" w:type="auto"/>
          </w:tcPr>
          <w:p>
            <w:pPr>
              <w:spacing w:line="240" w:lineRule="auto" w:before="0" w:after="0"/>
              <w:pStyle w:val="Compact"/>
            </w:pPr>
            <w:r>
              <w:rPr>
                <w:sz w:val="20"/>
                <w:szCs w:val="20"/>
              </w:rPr>
              <w:t xml:space="preserve">is_fulltext</w:t>
            </w:r>
          </w:p>
        </w:tc>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is_lunar</w:t>
            </w:r>
          </w:p>
        </w:tc>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In-situ manufacturing of photobioreactors on the Moon using local resources</w:t>
            </w:r>
          </w:p>
        </w:tc>
        <w:tc>
          <w:tcPr>
            <w:tcW w:w="0" w:type="auto"/>
          </w:tcPr>
          <w:p>
            <w:pPr>
              <w:spacing w:line="240" w:lineRule="auto" w:before="0" w:after="0"/>
              <w:pStyle w:val="Compact"/>
            </w:pPr>
            <w:r>
              <w:rPr>
                <w:sz w:val="20"/>
                <w:szCs w:val="20"/>
              </w:rPr>
              <w:t xml:space="preserve">10.1016/j.actaastro.2025.07.033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Hybrid lunar ISRU plant: A comparative analysis with carbothermal reduction and water extraction</w:t>
            </w:r>
          </w:p>
        </w:tc>
        <w:tc>
          <w:tcPr>
            <w:tcW w:w="0" w:type="auto"/>
          </w:tcPr>
          <w:p>
            <w:pPr>
              <w:spacing w:line="240" w:lineRule="auto" w:before="0" w:after="0"/>
              <w:pStyle w:val="Compact"/>
            </w:pPr>
            <w:r>
              <w:rPr>
                <w:sz w:val="20"/>
                <w:szCs w:val="20"/>
              </w:rPr>
              <w:t xml:space="preserve">10.1016/j.actaastro.2025.02.004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Computing-feasibility study of NASA nutrition requirements as applied to a bioregenerative life support system</w:t>
            </w:r>
          </w:p>
        </w:tc>
        <w:tc>
          <w:tcPr>
            <w:tcW w:w="0" w:type="auto"/>
          </w:tcPr>
          <w:p>
            <w:pPr>
              <w:spacing w:line="240" w:lineRule="auto" w:before="0" w:after="0"/>
              <w:pStyle w:val="Compact"/>
            </w:pPr>
            <w:r>
              <w:rPr>
                <w:sz w:val="20"/>
                <w:szCs w:val="20"/>
              </w:rPr>
              <w:t xml:space="preserve">10.1016/j.actaastro.2019.04.001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Where is the plant-space research going: An overview on the last two decades through bibliometric network multi-analysis</w:t>
            </w:r>
          </w:p>
        </w:tc>
        <w:tc>
          <w:tcPr>
            <w:tcW w:w="0" w:type="auto"/>
          </w:tcPr>
          <w:p>
            <w:pPr>
              <w:spacing w:line="240" w:lineRule="auto" w:before="0" w:after="0"/>
              <w:pStyle w:val="Compact"/>
            </w:pPr>
            <w:r>
              <w:rPr>
                <w:sz w:val="20"/>
                <w:szCs w:val="20"/>
              </w:rPr>
              <w:t xml:space="preserve">10.1016/j.actaastro.2024.05.022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Modeling and experimental assessment of Synechococcus nidulans cultivation using simulated Martian medium and astronauts’ urine</w:t>
            </w:r>
          </w:p>
        </w:tc>
        <w:tc>
          <w:tcPr>
            <w:tcW w:w="0" w:type="auto"/>
          </w:tcPr>
          <w:p>
            <w:pPr>
              <w:spacing w:line="240" w:lineRule="auto" w:before="0" w:after="0"/>
              <w:pStyle w:val="Compact"/>
            </w:pPr>
            <w:r>
              <w:rPr>
                <w:sz w:val="20"/>
                <w:szCs w:val="20"/>
              </w:rPr>
              <w:t xml:space="preserve">10.1016/j.actaastro.2023.01.027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Properties of novel LX lunar regolith simulant system : The base simulants: Part 1</w:t>
            </w:r>
          </w:p>
        </w:tc>
        <w:tc>
          <w:tcPr>
            <w:tcW w:w="0" w:type="auto"/>
          </w:tcPr>
          <w:p>
            <w:pPr>
              <w:spacing w:line="240" w:lineRule="auto" w:before="0" w:after="0"/>
              <w:pStyle w:val="Compact"/>
            </w:pPr>
            <w:r>
              <w:rPr>
                <w:sz w:val="20"/>
                <w:szCs w:val="20"/>
              </w:rPr>
              <w:t xml:space="preserve">10.1016/j.actaastro.2025.02.030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Prospecting in-situ resources for future crewed missions to Mars</w:t>
            </w:r>
          </w:p>
        </w:tc>
        <w:tc>
          <w:tcPr>
            <w:tcW w:w="0" w:type="auto"/>
          </w:tcPr>
          <w:p>
            <w:pPr>
              <w:spacing w:line="240" w:lineRule="auto" w:before="0" w:after="0"/>
              <w:pStyle w:val="Compact"/>
            </w:pPr>
            <w:r>
              <w:rPr>
                <w:sz w:val="20"/>
                <w:szCs w:val="20"/>
              </w:rPr>
              <w:t xml:space="preserve">10.1016/j.actaastro.2024.07.003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production to food systems: A systems-level review of drivers, requirements, and integration for Lunar and Martian food systems</w:t>
            </w:r>
          </w:p>
        </w:tc>
        <w:tc>
          <w:tcPr>
            <w:tcW w:w="0" w:type="auto"/>
          </w:tcPr>
          <w:p>
            <w:pPr>
              <w:spacing w:line="240" w:lineRule="auto" w:before="0" w:after="0"/>
              <w:pStyle w:val="Compact"/>
            </w:pPr>
            <w:r>
              <w:rPr>
                <w:sz w:val="20"/>
                <w:szCs w:val="20"/>
              </w:rPr>
              <w:t xml:space="preserve">10.1016/j.actaastro.2026.02.021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The impact of actual and simulated space conditions on the gut microbiome and the modulatory role of nutrition: A systematic review and meta-analysis</w:t>
            </w:r>
          </w:p>
        </w:tc>
        <w:tc>
          <w:tcPr>
            <w:tcW w:w="0" w:type="auto"/>
          </w:tcPr>
          <w:p>
            <w:pPr>
              <w:spacing w:line="240" w:lineRule="auto" w:before="0" w:after="0"/>
              <w:pStyle w:val="Compact"/>
            </w:pPr>
            <w:r>
              <w:rPr>
                <w:sz w:val="20"/>
                <w:szCs w:val="20"/>
              </w:rPr>
              <w:t xml:space="preserve">10.1016/j.actaastro.2026.01.006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Multi-objective decision-making for flexible design and planning of oxygen production facilities in an uncertain lunar environment</w:t>
            </w:r>
          </w:p>
        </w:tc>
        <w:tc>
          <w:tcPr>
            <w:tcW w:w="0" w:type="auto"/>
          </w:tcPr>
          <w:p>
            <w:pPr>
              <w:spacing w:line="240" w:lineRule="auto" w:before="0" w:after="0"/>
              <w:pStyle w:val="Compact"/>
            </w:pPr>
            <w:r>
              <w:rPr>
                <w:sz w:val="20"/>
                <w:szCs w:val="20"/>
              </w:rPr>
              <w:t xml:space="preserve">10.1016/j.actaastro.2025.07.014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Review of in-situ oxygen extraction from lunar regolith with focus on solar thermal and laser vacuum pyrolysis</w:t>
            </w:r>
          </w:p>
        </w:tc>
        <w:tc>
          <w:tcPr>
            <w:tcW w:w="0" w:type="auto"/>
          </w:tcPr>
          <w:p>
            <w:pPr>
              <w:spacing w:line="240" w:lineRule="auto" w:before="0" w:after="0"/>
              <w:pStyle w:val="Compact"/>
            </w:pPr>
            <w:r>
              <w:rPr>
                <w:sz w:val="20"/>
                <w:szCs w:val="20"/>
              </w:rPr>
              <w:t xml:space="preserve">10.1016/j.actaastro.2025.05.008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ARTHROSPIRA C space flight experiment Validation of biomass an 2025 Acta As</w:t>
            </w:r>
          </w:p>
        </w:tc>
        <w:tc>
          <w:tcPr>
            <w:tcW w:w="0" w:type="auto"/>
          </w:tcPr>
          <w:p>
            <w:pPr>
              <w:spacing w:line="240" w:lineRule="auto" w:before="0" w:after="0"/>
              <w:pStyle w:val="Compact"/>
            </w:pPr>
            <w:r>
              <w:rPr>
                <w:sz w:val="20"/>
                <w:szCs w:val="20"/>
              </w:rPr>
              <w:t xml:space="preserve">10.1016/j.actaastro.2024.11.010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Identifying an efficient endpoint for oxygen extraction from lunar regolith simulant pellets using molten salt electrolysis</w:t>
            </w:r>
          </w:p>
        </w:tc>
        <w:tc>
          <w:tcPr>
            <w:tcW w:w="0" w:type="auto"/>
          </w:tcPr>
          <w:p>
            <w:pPr>
              <w:spacing w:line="240" w:lineRule="auto" w:before="0" w:after="0"/>
              <w:pStyle w:val="Compact"/>
            </w:pPr>
            <w:r>
              <w:rPr>
                <w:sz w:val="20"/>
                <w:szCs w:val="20"/>
              </w:rPr>
              <w:t xml:space="preserve">10.1016/j.actaastro.2025.04.049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Reflections on early lunar base design - From sketch to the first moon landing</w:t>
            </w:r>
          </w:p>
        </w:tc>
        <w:tc>
          <w:tcPr>
            <w:tcW w:w="0" w:type="auto"/>
          </w:tcPr>
          <w:p>
            <w:pPr>
              <w:spacing w:line="240" w:lineRule="auto" w:before="0" w:after="0"/>
              <w:pStyle w:val="Compact"/>
            </w:pPr>
            <w:r>
              <w:rPr>
                <w:sz w:val="20"/>
                <w:szCs w:val="20"/>
              </w:rPr>
              <w:t xml:space="preserve">10.1016/j.actaastro.2022.09.021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Plant cell development and aging may accelerate in microgravity</w:t>
            </w:r>
          </w:p>
        </w:tc>
        <w:tc>
          <w:tcPr>
            <w:tcW w:w="0" w:type="auto"/>
          </w:tcPr>
          <w:p>
            <w:pPr>
              <w:spacing w:line="240" w:lineRule="auto" w:before="0" w:after="0"/>
              <w:pStyle w:val="Compact"/>
            </w:pPr>
            <w:r>
              <w:rPr>
                <w:sz w:val="20"/>
                <w:szCs w:val="20"/>
              </w:rPr>
              <w:t xml:space="preserve">10.1016/j.actaastro.2018.12.036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Oxygen production by solar vapor-phase pyrolysis of lunar regolith simulant</w:t>
            </w:r>
          </w:p>
        </w:tc>
        <w:tc>
          <w:tcPr>
            <w:tcW w:w="0" w:type="auto"/>
          </w:tcPr>
          <w:p>
            <w:pPr>
              <w:spacing w:line="240" w:lineRule="auto" w:before="0" w:after="0"/>
              <w:pStyle w:val="Compact"/>
            </w:pPr>
            <w:r>
              <w:rPr>
                <w:sz w:val="20"/>
                <w:szCs w:val="20"/>
              </w:rPr>
              <w:t xml:space="preserve">10.1016/j.actaastro.2024.08.009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ISRU technology deployment at a lunar outpost in 2040: A Delphi survey</w:t>
            </w:r>
          </w:p>
        </w:tc>
        <w:tc>
          <w:tcPr>
            <w:tcW w:w="0" w:type="auto"/>
          </w:tcPr>
          <w:p>
            <w:pPr>
              <w:spacing w:line="240" w:lineRule="auto" w:before="0" w:after="0"/>
              <w:pStyle w:val="Compact"/>
            </w:pPr>
            <w:r>
              <w:rPr>
                <w:sz w:val="20"/>
                <w:szCs w:val="20"/>
              </w:rPr>
              <w:t xml:space="preserve">10.1016/j.actaastro.2021.01.009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Effect of macronutrient levels on Chlorella vulgaris cultivation for long duration spaceflights and space settlements</w:t>
            </w:r>
          </w:p>
        </w:tc>
        <w:tc>
          <w:tcPr>
            <w:tcW w:w="0" w:type="auto"/>
          </w:tcPr>
          <w:p>
            <w:pPr>
              <w:spacing w:line="240" w:lineRule="auto" w:before="0" w:after="0"/>
              <w:pStyle w:val="Compact"/>
            </w:pPr>
            <w:r>
              <w:rPr>
                <w:sz w:val="20"/>
                <w:szCs w:val="20"/>
              </w:rPr>
              <w:t xml:space="preserve">10.1016/j.actaastro.2023.02.031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Solar 3D printing of lunar regolith</w:t>
            </w:r>
          </w:p>
        </w:tc>
        <w:tc>
          <w:tcPr>
            <w:tcW w:w="0" w:type="auto"/>
          </w:tcPr>
          <w:p>
            <w:pPr>
              <w:spacing w:line="240" w:lineRule="auto" w:before="0" w:after="0"/>
              <w:pStyle w:val="Compact"/>
            </w:pPr>
            <w:r>
              <w:rPr>
                <w:sz w:val="20"/>
                <w:szCs w:val="20"/>
              </w:rPr>
              <w:t xml:space="preserve">10.1016/j.actaastro.2018.06.063</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 novel approach to increase flowability of planetary regolith: Spray drying of Martian simulants for powder-based ISRU fabrication</w:t>
            </w:r>
          </w:p>
        </w:tc>
        <w:tc>
          <w:tcPr>
            <w:tcW w:w="0" w:type="auto"/>
          </w:tcPr>
          <w:p>
            <w:pPr>
              <w:spacing w:line="240" w:lineRule="auto" w:before="0" w:after="0"/>
              <w:pStyle w:val="Compact"/>
            </w:pPr>
            <w:r>
              <w:rPr>
                <w:sz w:val="20"/>
                <w:szCs w:val="20"/>
              </w:rPr>
              <w:t xml:space="preserve">10.1016/j.actaastro.2025.07.054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Development of regolith-resin-composite (RRC) material for lunar construction</w:t>
            </w:r>
          </w:p>
        </w:tc>
        <w:tc>
          <w:tcPr>
            <w:tcW w:w="0" w:type="auto"/>
          </w:tcPr>
          <w:p>
            <w:pPr>
              <w:spacing w:line="240" w:lineRule="auto" w:before="0" w:after="0"/>
              <w:pStyle w:val="Compact"/>
            </w:pPr>
            <w:r>
              <w:rPr>
                <w:sz w:val="20"/>
                <w:szCs w:val="20"/>
              </w:rPr>
              <w:t xml:space="preserve">10.1016/j.actaastro.2024.10.064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Mechanical, electrodynamic, and magnetic particle-size classification of lunar regolith for in-situ resource utilization: A review</w:t>
            </w:r>
          </w:p>
        </w:tc>
        <w:tc>
          <w:tcPr>
            <w:tcW w:w="0" w:type="auto"/>
          </w:tcPr>
          <w:p>
            <w:pPr>
              <w:spacing w:line="240" w:lineRule="auto" w:before="0" w:after="0"/>
              <w:pStyle w:val="Compact"/>
            </w:pPr>
            <w:r>
              <w:rPr>
                <w:sz w:val="20"/>
                <w:szCs w:val="20"/>
              </w:rPr>
              <w:t xml:space="preserve">10.1016/j.actaastro.2025.07.051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Structures for extraterrestrial habitat: A review</w:t>
            </w:r>
          </w:p>
        </w:tc>
        <w:tc>
          <w:tcPr>
            <w:tcW w:w="0" w:type="auto"/>
          </w:tcPr>
          <w:p>
            <w:pPr>
              <w:spacing w:line="240" w:lineRule="auto" w:before="0" w:after="0"/>
              <w:pStyle w:val="Compact"/>
            </w:pPr>
            <w:r>
              <w:rPr>
                <w:sz w:val="20"/>
                <w:szCs w:val="20"/>
              </w:rPr>
              <w:t xml:space="preserve">10.1016/j.actaastro.2025.10.029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Desert cyanobacteria under non-Earth conditions: Implications for astrobiology and sustainable life support</w:t>
            </w:r>
          </w:p>
        </w:tc>
        <w:tc>
          <w:tcPr>
            <w:tcW w:w="0" w:type="auto"/>
          </w:tcPr>
          <w:p>
            <w:pPr>
              <w:spacing w:line="240" w:lineRule="auto" w:before="0" w:after="0"/>
              <w:pStyle w:val="Compact"/>
            </w:pPr>
            <w:r>
              <w:rPr>
                <w:sz w:val="20"/>
                <w:szCs w:val="20"/>
              </w:rPr>
              <w:t xml:space="preserve">10.1016/j.actaastro.2025.09.022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water treatment and recycling in 105-day bioregenerative life support experiment in the Lunar Palace 1</w:t>
            </w:r>
          </w:p>
        </w:tc>
        <w:tc>
          <w:tcPr>
            <w:tcW w:w="0" w:type="auto"/>
          </w:tcPr>
          <w:p>
            <w:pPr>
              <w:spacing w:line="240" w:lineRule="auto" w:before="0" w:after="0"/>
              <w:pStyle w:val="Compact"/>
            </w:pPr>
            <w:r>
              <w:rPr>
                <w:sz w:val="20"/>
                <w:szCs w:val="20"/>
              </w:rPr>
              <w:t xml:space="preserve">10.1016/j.actaastro.2017.08.026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Reliability and lifetime estimation of bioregenerative life support system based on 370-day closed human experiment of lunar palace 1 and Monte Carlo simulation</w:t>
            </w:r>
          </w:p>
        </w:tc>
        <w:tc>
          <w:tcPr>
            <w:tcW w:w="0" w:type="auto"/>
          </w:tcPr>
          <w:p>
            <w:pPr>
              <w:spacing w:line="240" w:lineRule="auto" w:before="0" w:after="0"/>
              <w:pStyle w:val="Compact"/>
            </w:pPr>
            <w:r>
              <w:rPr>
                <w:sz w:val="20"/>
                <w:szCs w:val="20"/>
              </w:rPr>
              <w:t xml:space="preserve">10.1016/j.actaastro.2022.11.021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SIRONA: Sustainable Integration of Regenerative Outer-space Nature and Agriculture. Part 2 : Design Development and Projected Performance</w:t>
            </w:r>
          </w:p>
        </w:tc>
        <w:tc>
          <w:tcPr>
            <w:tcW w:w="0" w:type="auto"/>
          </w:tcPr>
          <w:p>
            <w:pPr>
              <w:spacing w:line="240" w:lineRule="auto" w:before="0" w:after="0"/>
              <w:pStyle w:val="Compact"/>
            </w:pPr>
            <w:r>
              <w:rPr>
                <w:sz w:val="20"/>
                <w:szCs w:val="20"/>
              </w:rPr>
              <w:t xml:space="preserve">10.1016/j.actaastro.2020.07.001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Modelling vibrational segregation of granular materials in lunar gravity using the discrete element method</w:t>
            </w:r>
          </w:p>
        </w:tc>
        <w:tc>
          <w:tcPr>
            <w:tcW w:w="0" w:type="auto"/>
          </w:tcPr>
          <w:p>
            <w:pPr>
              <w:spacing w:line="240" w:lineRule="auto" w:before="0" w:after="0"/>
              <w:pStyle w:val="Compact"/>
            </w:pPr>
            <w:r>
              <w:rPr>
                <w:sz w:val="20"/>
                <w:szCs w:val="20"/>
              </w:rPr>
              <w:t xml:space="preserve">10.1016/j.actaastro.2025.11.073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Phototrophic microorganisms in bioregenerative life support systems for long-term crewed expeditions: Prospects and challenges</w:t>
            </w:r>
          </w:p>
        </w:tc>
        <w:tc>
          <w:tcPr>
            <w:tcW w:w="0" w:type="auto"/>
          </w:tcPr>
          <w:p>
            <w:pPr>
              <w:spacing w:line="240" w:lineRule="auto" w:before="0" w:after="0"/>
              <w:pStyle w:val="Compact"/>
            </w:pPr>
            <w:r>
              <w:rPr>
                <w:sz w:val="20"/>
                <w:szCs w:val="20"/>
              </w:rPr>
              <w:t xml:space="preserve">10.1016/j.actaastro.2023.07.006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Benefits of a rotating - Partial gravity - Spacecraft</w:t>
            </w:r>
          </w:p>
        </w:tc>
        <w:tc>
          <w:tcPr>
            <w:tcW w:w="0" w:type="auto"/>
          </w:tcPr>
          <w:p>
            <w:pPr>
              <w:spacing w:line="240" w:lineRule="auto" w:before="0" w:after="0"/>
              <w:pStyle w:val="Compact"/>
            </w:pPr>
            <w:r>
              <w:rPr>
                <w:sz w:val="20"/>
                <w:szCs w:val="20"/>
              </w:rPr>
              <w:t xml:space="preserve">10.1016/j.actaastro.2024.04.041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overview of 3D printing Mars habitats using in-situ resources: materials, processing, structural challenges, and prospects</w:t>
            </w:r>
          </w:p>
        </w:tc>
        <w:tc>
          <w:tcPr>
            <w:tcW w:w="0" w:type="auto"/>
          </w:tcPr>
          <w:p>
            <w:pPr>
              <w:spacing w:line="240" w:lineRule="auto" w:before="0" w:after="0"/>
              <w:pStyle w:val="Compact"/>
            </w:pPr>
            <w:r>
              <w:rPr>
                <w:sz w:val="20"/>
                <w:szCs w:val="20"/>
              </w:rPr>
              <w:t xml:space="preserve">10.1016/j.actaastro.2026.05.055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What horticulture and space exploration can learn from each other: The Mission to Mars initiative in the Netherlands</w:t>
            </w:r>
          </w:p>
        </w:tc>
        <w:tc>
          <w:tcPr>
            <w:tcW w:w="0" w:type="auto"/>
          </w:tcPr>
          <w:p>
            <w:pPr>
              <w:spacing w:line="240" w:lineRule="auto" w:before="0" w:after="0"/>
              <w:pStyle w:val="Compact"/>
            </w:pPr>
            <w:r>
              <w:rPr>
                <w:sz w:val="20"/>
                <w:szCs w:val="20"/>
              </w:rPr>
              <w:t xml:space="preserve">10.1016/j.actaastro.2020.05.015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 review towards the design of extraterrestrial structures: From regolith to human outposts</w:t>
            </w:r>
          </w:p>
        </w:tc>
        <w:tc>
          <w:tcPr>
            <w:tcW w:w="0" w:type="auto"/>
          </w:tcPr>
          <w:p>
            <w:pPr>
              <w:spacing w:line="240" w:lineRule="auto" w:before="0" w:after="0"/>
              <w:pStyle w:val="Compact"/>
            </w:pPr>
            <w:r>
              <w:rPr>
                <w:sz w:val="20"/>
                <w:szCs w:val="20"/>
              </w:rPr>
              <w:t xml:space="preserve">10.1016/j.actaastro.2020.05.038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Theoretical bioreactor design to perform microbial mining activities on mars</w:t>
            </w:r>
          </w:p>
        </w:tc>
        <w:tc>
          <w:tcPr>
            <w:tcW w:w="0" w:type="auto"/>
          </w:tcPr>
          <w:p>
            <w:pPr>
              <w:spacing w:line="240" w:lineRule="auto" w:before="0" w:after="0"/>
              <w:pStyle w:val="Compact"/>
            </w:pPr>
            <w:r>
              <w:rPr>
                <w:sz w:val="20"/>
                <w:szCs w:val="20"/>
              </w:rPr>
              <w:t xml:space="preserve">10.1016/j.actaastro.2020.01.036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extraction to purification: A comprehensive review of oxygen production from lunar regolith for ISRU</w:t>
            </w:r>
          </w:p>
        </w:tc>
        <w:tc>
          <w:tcPr>
            <w:tcW w:w="0" w:type="auto"/>
          </w:tcPr>
          <w:p>
            <w:pPr>
              <w:spacing w:line="240" w:lineRule="auto" w:before="0" w:after="0"/>
              <w:pStyle w:val="Compact"/>
            </w:pPr>
            <w:r>
              <w:rPr>
                <w:sz w:val="20"/>
                <w:szCs w:val="20"/>
              </w:rPr>
              <w:t xml:space="preserve">10.1016/j.actaastro.2026.05.063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Thermodynamic model of Mars Oxygen ISRU Experiment (MOXIE)</w:t>
            </w:r>
          </w:p>
        </w:tc>
        <w:tc>
          <w:tcPr>
            <w:tcW w:w="0" w:type="auto"/>
          </w:tcPr>
          <w:p>
            <w:pPr>
              <w:spacing w:line="240" w:lineRule="auto" w:before="0" w:after="0"/>
              <w:pStyle w:val="Compact"/>
            </w:pPr>
            <w:r>
              <w:rPr>
                <w:sz w:val="20"/>
                <w:szCs w:val="20"/>
              </w:rPr>
              <w:t xml:space="preserve">10.1016/j.actaastro.2016.06.005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Vacuum effects on the angle of repose of lunar soil simulants: Experimental insights</w:t>
            </w:r>
          </w:p>
        </w:tc>
        <w:tc>
          <w:tcPr>
            <w:tcW w:w="0" w:type="auto"/>
          </w:tcPr>
          <w:p>
            <w:pPr>
              <w:spacing w:line="240" w:lineRule="auto" w:before="0" w:after="0"/>
              <w:pStyle w:val="Compact"/>
            </w:pPr>
            <w:r>
              <w:rPr>
                <w:sz w:val="20"/>
                <w:szCs w:val="20"/>
              </w:rPr>
              <w:t xml:space="preserve">10.1016/j.actaastro.2025.11.007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3D printing LDPE/lunar regolith simulant composite: manufacturing with in-situ resources on the moon</w:t>
            </w:r>
          </w:p>
        </w:tc>
        <w:tc>
          <w:tcPr>
            <w:tcW w:w="0" w:type="auto"/>
          </w:tcPr>
          <w:p>
            <w:pPr>
              <w:spacing w:line="240" w:lineRule="auto" w:before="0" w:after="0"/>
              <w:pStyle w:val="Compact"/>
            </w:pPr>
            <w:r>
              <w:rPr>
                <w:sz w:val="20"/>
                <w:szCs w:val="20"/>
              </w:rPr>
              <w:t xml:space="preserve">10.1016/j.actaastro.2025.08.012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 recycle of water and nitrogen from urine in bioregenerative life support system</w:t>
            </w:r>
          </w:p>
        </w:tc>
        <w:tc>
          <w:tcPr>
            <w:tcW w:w="0" w:type="auto"/>
          </w:tcPr>
          <w:p>
            <w:pPr>
              <w:spacing w:line="240" w:lineRule="auto" w:before="0" w:after="0"/>
              <w:pStyle w:val="Compact"/>
            </w:pPr>
            <w:r>
              <w:rPr>
                <w:sz w:val="20"/>
                <w:szCs w:val="20"/>
              </w:rPr>
              <w:t xml:space="preserve">10.1016/j.actaastro.2016.03.007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virtual 3D printing framework for off-Earth construction</w:t>
            </w:r>
          </w:p>
        </w:tc>
        <w:tc>
          <w:tcPr>
            <w:tcW w:w="0" w:type="auto"/>
          </w:tcPr>
          <w:p>
            <w:pPr>
              <w:spacing w:line="240" w:lineRule="auto" w:before="0" w:after="0"/>
              <w:pStyle w:val="Compact"/>
            </w:pPr>
            <w:r>
              <w:rPr>
                <w:sz w:val="20"/>
                <w:szCs w:val="20"/>
              </w:rPr>
              <w:t xml:space="preserve">10.1016/j.actaastro.2026.02.001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Acta metadata citation count plus one to permit log transformation</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2026 minus publication year plus one</w:t>
            </w:r>
          </w:p>
        </w:tc>
        <w:tc>
          <w:tcPr>
            <w:tcW w:w="0" w:type="auto"/>
          </w:tcPr>
          <w:p>
            <w:pPr>
              <w:spacing w:line="240" w:lineRule="auto" w:before="0" w:after="0"/>
              <w:pStyle w:val="Compact"/>
            </w:pPr>
            <w:r>
              <w:rPr>
                <w:sz w:val="20"/>
                <w:szCs w:val="20"/>
              </w:rPr>
              <w:t xml:space="preserve">Constructed from the Acta publication year</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0.1342</w:t>
            </w:r>
          </w:p>
        </w:tc>
        <w:tc>
          <w:tcPr>
            <w:tcW w:w="0" w:type="auto"/>
          </w:tcPr>
          <w:p>
            <w:pPr>
              <w:spacing w:line="240" w:lineRule="auto" w:before="0" w:after="0"/>
              <w:pStyle w:val="Compact"/>
            </w:pPr>
            <w:r>
              <w:rPr>
                <w:sz w:val="20"/>
                <w:szCs w:val="20"/>
              </w:rPr>
              <w:t xml:space="preserve">0.2095</w:t>
            </w:r>
          </w:p>
        </w:tc>
        <w:tc>
          <w:tcPr>
            <w:tcW w:w="0" w:type="auto"/>
          </w:tcPr>
          <w:p>
            <w:pPr>
              <w:spacing w:line="240" w:lineRule="auto" w:before="0" w:after="0"/>
              <w:pStyle w:val="Compact"/>
            </w:pPr>
            <w:r>
              <w:rPr>
                <w:sz w:val="20"/>
                <w:szCs w:val="20"/>
              </w:rPr>
              <w:t xml:space="preserve">0.6405</w:t>
            </w:r>
          </w:p>
        </w:tc>
        <w:tc>
          <w:tcPr>
            <w:tcW w:w="0" w:type="auto"/>
          </w:tcPr>
          <w:p>
            <w:pPr>
              <w:spacing w:line="240" w:lineRule="auto" w:before="0" w:after="0"/>
              <w:pStyle w:val="Compact"/>
            </w:pPr>
            <w:r>
              <w:rPr>
                <w:sz w:val="20"/>
                <w:szCs w:val="20"/>
              </w:rPr>
              <w:t xml:space="preserve">0.5219</w:t>
            </w:r>
          </w:p>
        </w:tc>
        <w:tc>
          <w:tcPr>
            <w:tcW w:w="0" w:type="auto"/>
          </w:tcPr>
          <w:p>
            <w:pPr>
              <w:spacing w:line="240" w:lineRule="auto" w:before="0" w:after="0"/>
              <w:pStyle w:val="Compact"/>
            </w:pPr>
            <w:r>
              <w:rPr>
                <w:sz w:val="20"/>
                <w:szCs w:val="20"/>
              </w:rPr>
              <w:t xml:space="preserve">[-0.2765, 0.5448]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1.4931</w:t>
            </w:r>
          </w:p>
        </w:tc>
        <w:tc>
          <w:tcPr>
            <w:tcW w:w="0" w:type="auto"/>
          </w:tcPr>
          <w:p>
            <w:pPr>
              <w:spacing w:line="240" w:lineRule="auto" w:before="0" w:after="0"/>
              <w:pStyle w:val="Compact"/>
            </w:pPr>
            <w:r>
              <w:rPr>
                <w:sz w:val="20"/>
                <w:szCs w:val="20"/>
              </w:rPr>
              <w:t xml:space="preserve">0.1766</w:t>
            </w:r>
          </w:p>
        </w:tc>
        <w:tc>
          <w:tcPr>
            <w:tcW w:w="0" w:type="auto"/>
          </w:tcPr>
          <w:p>
            <w:pPr>
              <w:spacing w:line="240" w:lineRule="auto" w:before="0" w:after="0"/>
              <w:pStyle w:val="Compact"/>
            </w:pPr>
            <w:r>
              <w:rPr>
                <w:sz w:val="20"/>
                <w:szCs w:val="20"/>
              </w:rPr>
              <w:t xml:space="preserve">8.4534</w:t>
            </w:r>
          </w:p>
        </w:tc>
        <w:tc>
          <w:tcPr>
            <w:tcW w:w="0" w:type="auto"/>
          </w:tcPr>
          <w:p>
            <w:pPr>
              <w:spacing w:line="240" w:lineRule="auto" w:before="0" w:after="0"/>
              <w:pStyle w:val="Compact"/>
            </w:pPr>
            <w:r>
              <w:rPr>
                <w:sz w:val="20"/>
                <w:szCs w:val="20"/>
              </w:rPr>
              <w:t xml:space="preserve">2.83e-17</w:t>
            </w:r>
          </w:p>
        </w:tc>
        <w:tc>
          <w:tcPr>
            <w:tcW w:w="0" w:type="auto"/>
          </w:tcPr>
          <w:p>
            <w:pPr>
              <w:spacing w:line="240" w:lineRule="auto" w:before="0" w:after="0"/>
              <w:pStyle w:val="Compact"/>
            </w:pPr>
            <w:r>
              <w:rPr>
                <w:sz w:val="20"/>
                <w:szCs w:val="20"/>
              </w:rPr>
              <w:t xml:space="preserve">[1.1469, 1.8393]</w:t>
            </w:r>
          </w:p>
        </w:tc>
      </w:tr>
    </w:tbl>
    <w:p>
      <w:pPr>
        <w:pStyle w:val="BodyText"/>
      </w:pPr>
      <w:r>
        <w:t xml:space="preserve">Fit: N = 40 R2 = 0.6223 elasticity_b = 1.4931 progress_ratio_2^b = 2.8149</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7" Target="https://doi.org/10.1016/j.actaastro.2016.03.007" TargetMode="External" /><Relationship Type="http://schemas.openxmlformats.org/officeDocument/2006/relationships/hyperlink" Id="rId73" Target="https://doi.org/10.1016/j.actaastro.2021.01.009" TargetMode="External" /><Relationship Type="http://schemas.openxmlformats.org/officeDocument/2006/relationships/hyperlink" Id="rId75" Target="https://doi.org/10.1016/j.actaastro.2023.07.006" TargetMode="External" /><Relationship Type="http://schemas.openxmlformats.org/officeDocument/2006/relationships/hyperlink" Id="rId79" Target="https://doi.org/10.1016/j.actaastro.2024.05.022" TargetMode="External" /><Relationship Type="http://schemas.openxmlformats.org/officeDocument/2006/relationships/hyperlink" Id="rId81" Target="https://doi.org/10.1016/j.actaastro.2025.02.004" TargetMode="External" /><Relationship Type="http://schemas.openxmlformats.org/officeDocument/2006/relationships/hyperlink" Id="rId71" Target="https://doi.org/10.1016/j.actaastro.2025.05.008" TargetMode="External" /><Relationship Type="http://schemas.openxmlformats.org/officeDocument/2006/relationships/hyperlink" Id="rId69" Target="https://doi.org/10.1016/j.actaastro.2025.07.033" TargetMode="External" /><Relationship Type="http://schemas.openxmlformats.org/officeDocument/2006/relationships/hyperlink" Id="rId83" Target="https://doi.org/10.1016/j.actaastro.2026.02.021"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16.03.007" TargetMode="External" /><Relationship Type="http://schemas.openxmlformats.org/officeDocument/2006/relationships/hyperlink" Id="rId73" Target="https://doi.org/10.1016/j.actaastro.2021.01.009" TargetMode="External" /><Relationship Type="http://schemas.openxmlformats.org/officeDocument/2006/relationships/hyperlink" Id="rId75" Target="https://doi.org/10.1016/j.actaastro.2023.07.006" TargetMode="External" /><Relationship Type="http://schemas.openxmlformats.org/officeDocument/2006/relationships/hyperlink" Id="rId79" Target="https://doi.org/10.1016/j.actaastro.2024.05.022" TargetMode="External" /><Relationship Type="http://schemas.openxmlformats.org/officeDocument/2006/relationships/hyperlink" Id="rId81" Target="https://doi.org/10.1016/j.actaastro.2025.02.004" TargetMode="External" /><Relationship Type="http://schemas.openxmlformats.org/officeDocument/2006/relationships/hyperlink" Id="rId71" Target="https://doi.org/10.1016/j.actaastro.2025.05.008" TargetMode="External" /><Relationship Type="http://schemas.openxmlformats.org/officeDocument/2006/relationships/hyperlink" Id="rId69" Target="https://doi.org/10.1016/j.actaastro.2025.07.033" TargetMode="External" /><Relationship Type="http://schemas.openxmlformats.org/officeDocument/2006/relationships/hyperlink" Id="rId83" Target="https://doi.org/10.1016/j.actaastro.2026.02.0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2026-06-27T21:37:53Z</dcterms:created>
  <dcterms:modified xsi:type="dcterms:W3CDTF">2026-06-27T21:37:53Z</dcterms:modified>
</cp:coreProperties>
</file>

<file path=docProps/custom.xml><?xml version="1.0" encoding="utf-8"?>
<Properties xmlns="http://schemas.openxmlformats.org/officeDocument/2006/custom-properties" xmlns:vt="http://schemas.openxmlformats.org/officeDocument/2006/docPropsVTypes"/>
</file>