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41a51647d323b05b0d8814626c191b09868bc48"/>
    <w:p>
      <w:pPr>
        <w:pStyle w:val="Heading1"/>
      </w:pPr>
      <w:r>
        <w:t xml:space="preserve">What Gets Cited in Lunar Closure Research? A Metadata Test of BLSS and ISRU Attention in Acta Astronautica</w:t>
      </w:r>
    </w:p>
    <w:bookmarkStart w:id="61" w:name="introduction"/>
    <w:p>
      <w:pPr>
        <w:pStyle w:val="Heading2"/>
      </w:pPr>
      <w:r>
        <w:t xml:space="preserve">1. Introduction</w:t>
      </w:r>
    </w:p>
    <w:p>
      <w:pPr>
        <w:pStyle w:val="FirstParagraph"/>
      </w:pPr>
      <w:r>
        <w:t xml:space="preserve">The carrying capacity of a lunar settlement depends on closure across life-support and resource-utilization sub-loops, yet the public literature does not report a single integrated closure-rate panel. Rather than invent unavailable values, this paper treats the closure literature itself as the empirical object. It asks which parts of the lunar closure literature have accumulated attention in Acta Astronautica metadata. The unit of analysis is a paper, and the outcome is the citation count recorded in the local Acta metadata export</w:t>
      </w:r>
      <w:r>
        <w:t xml:space="preserve"> </w:t>
      </w:r>
      <w:hyperlink w:anchor="ref-1">
        <m:oMathPara>
          <m:oMathParaPr>
            <m:jc m:val="center"/>
          </m:oMathParaPr>
          <m:oMath>
            <m:r>
              <m:t>1</m:t>
            </m:r>
          </m:oMath>
        </m:oMathPara>
      </w:hyperlink>
      <w:r>
        <w:t xml:space="preserve">.</w:t>
      </w:r>
    </w:p>
    <w:p>
      <w:pPr>
        <w:pStyle w:val="FirstParagraph"/>
      </w:pPr>
      <w:r>
        <w:t xml:space="preserve">This design is modest but useful. Carrying-capacity models rely on evidence from BLSS, urine water and nitrogen recovery, photobioreactors, lunar oxygen extraction, regolith processing, and food-system integration</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w:t>
      </w:r>
      <w:r>
        <w:t xml:space="preserve"> </w:t>
      </w:r>
      <w:hyperlink w:anchor="ref-9">
        <m:oMathPara>
          <m:oMathParaPr>
            <m:jc m:val="center"/>
          </m:oMathParaPr>
          <m:oMath>
            <m:r>
              <m:t>9</m:t>
            </m:r>
          </m:oMath>
        </m:oMathPara>
      </w:hyperlink>
      <w:r>
        <w:t xml:space="preserve">. If citation uptake is concentrated in some sub-loop literatures and weak in others, then a system-level closure model may inherit an uneven evidence base. The paper therefore estimates whether paper age, ISRU orientation, and life-support orientation are associated with citation counts in a forty-paper Acta sample.</w:t>
      </w:r>
    </w:p>
    <w:p>
      <w:pPr>
        <w:pStyle w:val="FirstParagraph"/>
      </w:pPr>
      <w:r>
        <w:t xml:space="preserve">The OLS results are directional rather than decisive. Paper age has a positive coefficient of 7.6293 with a robust standard error of 3.9996 and a p-value of 0.0565. The ISRU indicator has a coefficient of 22.8750 with a robust standard error of 14.0730 and a p-value of 0.1041. The life-support indicator has a coefficient of -12.3731 with a robust standard error of 10.8055 and a p-value of 0.2522. The model R-squared is 0.3031.</w:t>
      </w:r>
    </w:p>
    <w:bookmarkEnd w:id="61"/>
    <w:bookmarkStart w:id="62" w:name="theory-and-hypotheses"/>
    <w:p>
      <w:pPr>
        <w:pStyle w:val="Heading2"/>
      </w:pPr>
      <w:r>
        <w:t xml:space="preserve">2. Theory and Hypotheses</w:t>
      </w:r>
    </w:p>
    <w:p>
      <w:pPr>
        <w:pStyle w:val="FirstParagraph"/>
      </w:pPr>
      <w:r>
        <w:t xml:space="preserve">Closure-rate modeling depends on sub-loop evidence. A water recovery paper, a photobioreactor manufacturing paper, and an oxygen-extraction paper each informs a different part of the carrying-capacity equation. The Acta literature shows that these sub-loops are scientifically active but unevenly integrated. Photobioreactor manufacturing from local lunar resources addresses the hardware needed for biological closure</w:t>
      </w:r>
      <w:r>
        <w:t xml:space="preserve"> </w:t>
      </w:r>
      <w:hyperlink w:anchor="ref-2">
        <m:oMathPara>
          <m:oMathParaPr>
            <m:jc m:val="center"/>
          </m:oMathParaPr>
          <m:oMath>
            <m:r>
              <m:t>2</m:t>
            </m:r>
          </m:oMath>
        </m:oMathPara>
      </w:hyperlink>
      <w:r>
        <w:t xml:space="preserve">. Oxygen extraction from regolith addresses a major consumable and propellant stream</w:t>
      </w:r>
      <w:r>
        <w:t xml:space="preserve"> </w:t>
      </w:r>
      <w:hyperlink w:anchor="ref-3">
        <m:oMathPara>
          <m:oMathParaPr>
            <m:jc m:val="center"/>
          </m:oMathParaPr>
          <m:oMath>
            <m:r>
              <m:t>3</m:t>
            </m:r>
          </m:oMath>
        </m:oMathPara>
      </w:hyperlink>
      <w:r>
        <w:t xml:space="preserve">. BLSS microorganism and urine-recycling studies address biological and chemical cycling</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p>
    <w:p>
      <w:pPr>
        <w:pStyle w:val="FirstParagraph"/>
      </w:pPr>
      <w:r>
        <w:t xml:space="preserve">Citation uptake is not a measure of truth. It is a measure of attention and reuse. Older papers should have more time to accumulate citations. ISRU papers may receive attention because lunar-resource extraction is central to settlement architecture. Life-support papers may receive attention if they connect directly to sustained crew operations. The null hypothesis is that paper age, ISRU orientation, and life-support orientation have no association with citation count. The alternative is that at least one of these terms is associated with citation count, indicating uneven uptake across closure sub-loop literatures.</w:t>
      </w:r>
    </w:p>
    <w:p>
      <w:pPr>
        <w:pStyle w:val="BodyText"/>
      </w:pPr>
      <w:r>
        <w:t xml:space="preserve">The hypothesis is connected to carrying capacity because an integrated closure-rate model is only as strong as its empirical sub-loops. A high-citation sub-loop may have more accumulated scrutiny, while a low-citation sub-loop may be technically important but less mature as an evidence base.</w:t>
      </w:r>
    </w:p>
    <w:bookmarkEnd w:id="62"/>
    <w:bookmarkStart w:id="63" w:name="data"/>
    <w:p>
      <w:pPr>
        <w:pStyle w:val="Heading2"/>
      </w:pPr>
      <w:r>
        <w:t xml:space="preserve">3. Data</w:t>
      </w:r>
    </w:p>
    <w:p>
      <w:pPr>
        <w:pStyle w:val="FirstParagraph"/>
      </w:pPr>
      <w:r>
        <w:t xml:space="preserve">The dataset contains 40 Acta Astronautica metadata records exported from the local Acta corpus on June 27, 2026</w:t>
      </w:r>
      <w:r>
        <w:t xml:space="preserve"> </w:t>
      </w:r>
      <w:hyperlink w:anchor="ref-1">
        <m:oMathPara>
          <m:oMathParaPr>
            <m:jc m:val="center"/>
          </m:oMathParaPr>
          <m:oMath>
            <m:r>
              <m:t>1</m:t>
            </m:r>
          </m:oMath>
        </m:oMathPara>
      </w:hyperlink>
      <w:r>
        <w:t xml:space="preserve">. The query used lunar, life support, ISRU, bioregenerative, photobioreactor, regolith, oxygen, food, habitat, and settlement terms. Each row includes publication year, title, DOI, citation count, corpus section, title-keyword classifications, and a source field. No row is illustrative.</w:t>
      </w:r>
    </w:p>
    <w:p>
      <w:pPr>
        <w:pStyle w:val="FirstParagraph"/>
      </w:pPr>
      <w:r>
        <w:t xml:space="preserve">The outcome is</w:t>
      </w:r>
      <w:r>
        <w:t xml:space="preserve"> </w:t>
      </w:r>
      <w:r>
        <w:rPr>
          <w:rStyle w:val="VerbatimChar"/>
        </w:rPr>
        <w:t xml:space="preserve">citations_count</w:t>
      </w:r>
      <w:r>
        <w:t xml:space="preserve">, parsed from the Acta metadata</w:t>
      </w:r>
      <w:r>
        <w:t xml:space="preserve"> </w:t>
      </w:r>
      <w:r>
        <w:rPr>
          <w:rStyle w:val="VerbatimChar"/>
        </w:rPr>
        <w:t xml:space="preserve">cites</w:t>
      </w:r>
      <w:r>
        <w:t xml:space="preserve"> </w:t>
      </w:r>
      <w:r>
        <w:t xml:space="preserve">field.</w:t>
      </w:r>
      <w:r>
        <w:t xml:space="preserve"> </w:t>
      </w:r>
      <w:r>
        <w:rPr>
          <w:rStyle w:val="VerbatimChar"/>
        </w:rPr>
        <w:t xml:space="preserve">paper_age_plus_one</w:t>
      </w:r>
      <w:r>
        <w:t xml:space="preserve"> </w:t>
      </w:r>
      <w:r>
        <w:t xml:space="preserve">equals 2026 minus publication year plus one.</w:t>
      </w:r>
      <w:r>
        <w:t xml:space="preserve"> </w:t>
      </w:r>
      <w:r>
        <w:rPr>
          <w:rStyle w:val="VerbatimChar"/>
        </w:rPr>
        <w:t xml:space="preserve">is_isru</w:t>
      </w:r>
      <w:r>
        <w:t xml:space="preserve"> </w:t>
      </w:r>
      <w:r>
        <w:t xml:space="preserve">equals one when title or keywords refer to ISRU, in-situ production, regolith, oxygen extraction, resource utilization, or carbothermal processing.</w:t>
      </w:r>
      <w:r>
        <w:t xml:space="preserve"> </w:t>
      </w:r>
      <w:r>
        <w:rPr>
          <w:rStyle w:val="VerbatimChar"/>
        </w:rPr>
        <w:t xml:space="preserve">is_life_support</w:t>
      </w:r>
      <w:r>
        <w:t xml:space="preserve"> </w:t>
      </w:r>
      <w:r>
        <w:t xml:space="preserve">equals one when title or keywords refer to life support, bioregenerative systems, photobioreactors, food, plant, nutrition, urine, microorganisms, or microbiome. These indicators are transparent text classifications, not hidden expert scores.</w:t>
      </w:r>
    </w:p>
    <w:p>
      <w:pPr>
        <w:pStyle w:val="BodyText"/>
      </w:pPr>
      <w:r>
        <w:t xml:space="preserve">The sample is not a complete census of all life-support research. It is a reproducible metadata sample from the Acta corpus. The design therefore supports a bounded bibliometric claim about closure-relevant Acta records rather than a claim about the entire global literature.</w:t>
      </w:r>
    </w:p>
    <w:bookmarkEnd w:id="63"/>
    <w:bookmarkStart w:id="64" w:name="method"/>
    <w:p>
      <w:pPr>
        <w:pStyle w:val="Heading2"/>
      </w:pPr>
      <w:r>
        <w:t xml:space="preserve">4. Method</w:t>
      </w:r>
    </w:p>
    <w:p>
      <w:pPr>
        <w:pStyle w:val="FirstParagraph"/>
      </w:pPr>
      <w:r>
        <w:t xml:space="preserve">The estimator is ordinary least squares with HC1 robust standard errors. Citation count is regressed on paper age, the ISRU indicator, and the life-support indicator. The coefficient on age estimates the association between an additional year of opportunity for citation accumulation and recorded citations. The ISRU and life-support coefficients estimate average differences associated with the two sub-loop orientations, conditional on age.</w:t>
      </w:r>
    </w:p>
    <w:p>
      <w:pPr>
        <w:pStyle w:val="BodyText"/>
      </w:pPr>
      <w:r>
        <w:t xml:space="preserve">OLS is used because the repository’s deterministic paper pipeline reports coefficients and robust standard errors transparently. Citation counts are skewed, so the results are descriptive rather than a claim about an ideal count-data process. The second paper complements this specification with a log-log learning curve for citation accumulation.</w:t>
      </w:r>
    </w:p>
    <w:bookmarkEnd w:id="64"/>
    <w:bookmarkStart w:id="65" w:name="findings"/>
    <w:p>
      <w:pPr>
        <w:pStyle w:val="Heading2"/>
      </w:pPr>
      <w:r>
        <w:t xml:space="preserve">5. Findings</w:t>
      </w:r>
    </w:p>
    <w:p>
      <w:pPr>
        <w:pStyle w:val="FirstParagraph"/>
      </w:pPr>
      <w:r>
        <w:t xml:space="preserve">The model uses 40 observations. R-squared is 0.3031 and adjusted R-squared is 0.2451. The joint F statistic is 1.2641 with a p-value of 0.3013. The intercept is -19.0151 with a robust standard error of 14.0755 and a p-value of 0.1767.</w:t>
      </w:r>
    </w:p>
    <w:p>
      <w:pPr>
        <w:pStyle w:val="BodyText"/>
      </w:pPr>
      <w:r>
        <w:t xml:space="preserve">The age coefficient is 7.6293. Its robust standard error is 3.9996 and its p-value is 0.0565. The confidence interval runs from -0.2098 to 15.4683. This is the strongest directional result in the model. Older closure-relevant papers tend to have more citations, but the estimate narrowly misses conventional five percent significance.</w:t>
      </w:r>
    </w:p>
    <w:p>
      <w:pPr>
        <w:pStyle w:val="BodyText"/>
      </w:pPr>
      <w:r>
        <w:t xml:space="preserve">The ISRU coefficient is 22.8750. Its robust standard error is 14.0730 and its p-value is 0.1041. The confidence interval runs from -4.7076 to 50.4576. The life-support coefficient is -12.3731 with a robust standard error of 10.8055 and a p-value of 0.2522. The evidence therefore does not reject the joint null at standard thresholds. It suggests age-related citation accumulation and possible ISRU attention, but uncertainty remains high.</w:t>
      </w:r>
    </w:p>
    <w:bookmarkEnd w:id="65"/>
    <w:bookmarkStart w:id="66" w:name="discussion"/>
    <w:p>
      <w:pPr>
        <w:pStyle w:val="Heading2"/>
      </w:pPr>
      <w:r>
        <w:t xml:space="preserve">6. Discussion</w:t>
      </w:r>
    </w:p>
    <w:p>
      <w:pPr>
        <w:pStyle w:val="FirstParagraph"/>
      </w:pPr>
      <w:r>
        <w:t xml:space="preserve">The result is informative because it is not overstrong. It shows that the closure-relevant Acta literature has uneven uptake, but the indicators used here do not isolate a decisive sub-loop citation premium. The age result is expected and important: recent photobioreactor, food-system, and oxygen-extraction papers may be technically relevant before they have had time to accumulate citations</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9">
        <m:oMathPara>
          <m:oMathParaPr>
            <m:jc m:val="center"/>
          </m:oMathParaPr>
          <m:oMath>
            <m:r>
              <m:t>9</m:t>
            </m:r>
          </m:oMath>
        </m:oMathPara>
      </w:hyperlink>
      <w:r>
        <w:t xml:space="preserve">. Citation counts alone should therefore not be used as a maturity score.</w:t>
      </w:r>
    </w:p>
    <w:p>
      <w:pPr>
        <w:pStyle w:val="FirstParagraph"/>
      </w:pPr>
      <w:r>
        <w:t xml:space="preserve">For lunar carrying capacity, the implication is that modelers should distinguish evidence availability from technical centrality. A low-citation biological loop can still be binding if food or photobioreactor mass dominates closure. A high-citation ISRU paper can still be only one component of system closure. The dissertation uses this metadata paper as a warning against false precision. When sub-loop closure rates are missing or incomparable, the evidence base itself must be measured before a crew ceiling is asserted.</w:t>
      </w:r>
    </w:p>
    <w:p>
      <w:pPr>
        <w:pStyle w:val="BodyText"/>
      </w:pPr>
      <w:r>
        <w:t xml:space="preserve">The paper also identifies a practical data-management problem for lunar settlement research. Many closure-relevant articles contain technical details that are not reported in a common unit. A photobioreactor paper may report manufacturing feasibility, an oxygen-extraction paper may report process yield, and a urine-recovery paper may report water and nitrogen recovery. Those quantities are all relevant to carrying capacity, but they cannot be merged without additional assumptions. A metadata test therefore comes before a mass-balance test. It records which sub-loop literatures exist, which have accumulated citations, and where the evidence base is still young.</w:t>
      </w:r>
    </w:p>
    <w:p>
      <w:pPr>
        <w:pStyle w:val="BodyText"/>
      </w:pPr>
      <w:r>
        <w:t xml:space="preserve">This sequencing matters for model governance. If a planner begins with a target crew size, then searches for closure evidence to support it, the result can become circular. If the planner begins with source metadata and records the strength and age of each sub-loop literature, the model has a clearer audit trail. The estimator in this paper does not provide the crew ceiling. It provides evidence about the unevenness of the literature from which that crew ceiling would be derived.</w:t>
      </w:r>
    </w:p>
    <w:p>
      <w:pPr>
        <w:pStyle w:val="BodyText"/>
      </w:pPr>
      <w:r>
        <w:t xml:space="preserve">A final caution is that attention and closure value can move in opposite directions. Oxygen extraction may be highly visible because it supports propellant and life support, while a quieter biological recycling paper may still determine whether a crew can remain on the lunar surface without large resupply flows. The metadata result should therefore be used to prioritize careful extraction, not to substitute for extraction.</w:t>
      </w:r>
    </w:p>
    <w:bookmarkEnd w:id="66"/>
    <w:bookmarkStart w:id="84" w:name="references"/>
    <w:p>
      <w:pPr>
        <w:pStyle w:val="Heading2"/>
      </w:pPr>
      <w:r>
        <w:t xml:space="preserve">References</w:t>
      </w:r>
    </w:p>
    <w:p>
      <w:pPr>
        <w:pStyle w:val="FirstParagraph"/>
      </w:pPr>
      <w:bookmarkStart w:id="67" w:name="ref-1"/>
      <w:bookmarkEnd w:id="67"/>
      <w:r>
        <w:t xml:space="preserve">1. Acta Astronautica local metadata corpus, query export on lunar life support, ISRU, bioregenerative systems, photobioreactors, regolith, oxygen, food, habitat, and settlement, June 27, 2026.</w:t>
      </w:r>
    </w:p>
    <w:p>
      <w:pPr>
        <w:pStyle w:val="BodyText"/>
      </w:pPr>
      <w:bookmarkStart w:id="68" w:name="ref-2"/>
      <w:bookmarkEnd w:id="68"/>
      <w:r>
        <w:t xml:space="preserve">2. L. Salman et al.,</w:t>
      </w:r>
      <w:r>
        <w:t xml:space="preserve"> </w:t>
      </w:r>
      <w:r>
        <w:t xml:space="preserve">“In-situ manufacturing of photobioreactors on the Moon using local resources,”</w:t>
      </w:r>
      <w:r>
        <w:t xml:space="preserve"> </w:t>
      </w:r>
      <w:r>
        <w:t xml:space="preserve">Acta Astronautica, vol. 236, 2025. doi:</w:t>
      </w:r>
      <w:r>
        <w:t xml:space="preserve"> </w:t>
      </w:r>
      <w:hyperlink r:id="rId69">
        <w:r>
          <w:rPr>
            <w:rStyle w:val="Hyperlink"/>
          </w:rPr>
          <w:t xml:space="preserve">10.1016/j.actaastro.2025.07.033</w:t>
        </w:r>
      </w:hyperlink>
    </w:p>
    <w:p>
      <w:pPr>
        <w:pStyle w:val="BodyText"/>
      </w:pPr>
      <w:bookmarkStart w:id="70" w:name="ref-3"/>
      <w:bookmarkEnd w:id="70"/>
      <w:r>
        <w:t xml:space="preserve">3. J. Robinot et al.,</w:t>
      </w:r>
      <w:r>
        <w:t xml:space="preserve"> </w:t>
      </w:r>
      <w:r>
        <w:t xml:space="preserve">“Review of in-situ oxygen extraction from lunar regolith with focus on solar thermal and laser vacuum pyrolysis,”</w:t>
      </w:r>
      <w:r>
        <w:t xml:space="preserve"> </w:t>
      </w:r>
      <w:r>
        <w:t xml:space="preserve">Acta Astronautica, vol. 234, 2025. doi:</w:t>
      </w:r>
      <w:r>
        <w:t xml:space="preserve"> </w:t>
      </w:r>
      <w:hyperlink r:id="rId71">
        <w:r>
          <w:rPr>
            <w:rStyle w:val="Hyperlink"/>
          </w:rPr>
          <w:t xml:space="preserve">10.1016/j.actaastro.2025.05.008</w:t>
        </w:r>
      </w:hyperlink>
    </w:p>
    <w:p>
      <w:pPr>
        <w:pStyle w:val="BodyText"/>
      </w:pPr>
      <w:bookmarkStart w:id="72" w:name="ref-4"/>
      <w:bookmarkEnd w:id="72"/>
      <w:r>
        <w:t xml:space="preserve">4. C. P. Spedding, S. Lim, and W. J. Nuttall,</w:t>
      </w:r>
      <w:r>
        <w:t xml:space="preserve"> </w:t>
      </w:r>
      <w:r>
        <w:t xml:space="preserve">“ISRU technology deployment at a lunar outpost in 2040: A Delphi survey,”</w:t>
      </w:r>
      <w:r>
        <w:t xml:space="preserve"> </w:t>
      </w:r>
      <w:r>
        <w:t xml:space="preserve">Acta Astronautica, vol. 181, 2021. doi:</w:t>
      </w:r>
      <w:r>
        <w:t xml:space="preserve"> </w:t>
      </w:r>
      <w:hyperlink r:id="rId73">
        <w:r>
          <w:rPr>
            <w:rStyle w:val="Hyperlink"/>
          </w:rPr>
          <w:t xml:space="preserve">10.1016/j.actaastro.2021.01.009</w:t>
        </w:r>
      </w:hyperlink>
    </w:p>
    <w:p>
      <w:pPr>
        <w:pStyle w:val="BodyText"/>
      </w:pPr>
      <w:bookmarkStart w:id="74" w:name="ref-5"/>
      <w:bookmarkEnd w:id="74"/>
      <w:r>
        <w:t xml:space="preserve">5. D. V. Sukhinov, P. M. Gotovtsev, and Y. E. Sergeeva,</w:t>
      </w:r>
      <w:r>
        <w:t xml:space="preserve"> </w:t>
      </w:r>
      <w:r>
        <w:t xml:space="preserve">“Phototrophic microorganisms in bioregenerative life support systems for long-term crewed expeditions,”</w:t>
      </w:r>
      <w:r>
        <w:t xml:space="preserve"> </w:t>
      </w:r>
      <w:r>
        <w:t xml:space="preserve">Acta Astronautica, vol. 211, 2023. doi:</w:t>
      </w:r>
      <w:r>
        <w:t xml:space="preserve"> </w:t>
      </w:r>
      <w:hyperlink r:id="rId75">
        <w:r>
          <w:rPr>
            <w:rStyle w:val="Hyperlink"/>
          </w:rPr>
          <w:t xml:space="preserve">10.1016/j.actaastro.2023.07.006</w:t>
        </w:r>
      </w:hyperlink>
    </w:p>
    <w:p>
      <w:pPr>
        <w:pStyle w:val="BodyText"/>
      </w:pPr>
      <w:bookmarkStart w:id="76" w:name="ref-6"/>
      <w:bookmarkEnd w:id="76"/>
      <w:r>
        <w:t xml:space="preserve">6. S. Deng, B. Xie, and H. Liu,</w:t>
      </w:r>
      <w:r>
        <w:t xml:space="preserve"> </w:t>
      </w:r>
      <w:r>
        <w:t xml:space="preserve">“The recycle of water and nitrogen from urine in bioregenerative life support system,”</w:t>
      </w:r>
      <w:r>
        <w:t xml:space="preserve"> </w:t>
      </w:r>
      <w:r>
        <w:t xml:space="preserve">Acta Astronautica, vol. 123, 2016. doi:</w:t>
      </w:r>
      <w:r>
        <w:t xml:space="preserve"> </w:t>
      </w:r>
      <w:hyperlink r:id="rId77">
        <w:r>
          <w:rPr>
            <w:rStyle w:val="Hyperlink"/>
          </w:rPr>
          <w:t xml:space="preserve">10.1016/j.actaastro.2016.03.007</w:t>
        </w:r>
      </w:hyperlink>
    </w:p>
    <w:p>
      <w:pPr>
        <w:pStyle w:val="BodyText"/>
      </w:pPr>
      <w:bookmarkStart w:id="78" w:name="ref-7"/>
      <w:bookmarkEnd w:id="78"/>
      <w:r>
        <w:t xml:space="preserve">7. C. Lorenz, B. Hay Mele, and C. Arena,</w:t>
      </w:r>
      <w:r>
        <w:t xml:space="preserve"> </w:t>
      </w:r>
      <w:r>
        <w:t xml:space="preserve">“Where is the plant-space research going?”</w:t>
      </w:r>
      <w:r>
        <w:t xml:space="preserve"> </w:t>
      </w:r>
      <w:r>
        <w:t xml:space="preserve">Acta Astronautica, vol. 221, 2024. doi:</w:t>
      </w:r>
      <w:r>
        <w:t xml:space="preserve"> </w:t>
      </w:r>
      <w:hyperlink r:id="rId79">
        <w:r>
          <w:rPr>
            <w:rStyle w:val="Hyperlink"/>
          </w:rPr>
          <w:t xml:space="preserve">10.1016/j.actaastro.2024.05.022</w:t>
        </w:r>
      </w:hyperlink>
    </w:p>
    <w:p>
      <w:pPr>
        <w:pStyle w:val="BodyText"/>
      </w:pPr>
      <w:bookmarkStart w:id="80" w:name="ref-8"/>
      <w:bookmarkEnd w:id="80"/>
      <w:r>
        <w:t xml:space="preserve">8. K. Ikeya et al.,</w:t>
      </w:r>
      <w:r>
        <w:t xml:space="preserve"> </w:t>
      </w:r>
      <w:r>
        <w:t xml:space="preserve">“Hybrid lunar ISRU plant: A comparative analysis with carbothermal reduction and water extraction,”</w:t>
      </w:r>
      <w:r>
        <w:t xml:space="preserve"> </w:t>
      </w:r>
      <w:r>
        <w:t xml:space="preserve">Acta Astronautica, vol. 230, 2025. doi:</w:t>
      </w:r>
      <w:r>
        <w:t xml:space="preserve"> </w:t>
      </w:r>
      <w:hyperlink r:id="rId81">
        <w:r>
          <w:rPr>
            <w:rStyle w:val="Hyperlink"/>
          </w:rPr>
          <w:t xml:space="preserve">10.1016/j.actaastro.2025.02.004</w:t>
        </w:r>
      </w:hyperlink>
    </w:p>
    <w:p>
      <w:pPr>
        <w:pStyle w:val="BodyText"/>
      </w:pPr>
      <w:bookmarkStart w:id="82" w:name="ref-9"/>
      <w:bookmarkEnd w:id="82"/>
      <w:r>
        <w:t xml:space="preserve">9. T. Blomqvist and R. Fritsche,</w:t>
      </w:r>
      <w:r>
        <w:t xml:space="preserve"> </w:t>
      </w:r>
      <w:r>
        <w:t xml:space="preserve">“From production to food systems: A systems-level review of drivers, requirements, and integration for Lunar and Martian food systems,”</w:t>
      </w:r>
      <w:r>
        <w:t xml:space="preserve"> </w:t>
      </w:r>
      <w:r>
        <w:t xml:space="preserve">Acta Astronautica, vol. 244, 2026. doi:</w:t>
      </w:r>
      <w:r>
        <w:t xml:space="preserve"> </w:t>
      </w:r>
      <w:hyperlink r:id="rId83">
        <w:r>
          <w:rPr>
            <w:rStyle w:val="Hyperlink"/>
          </w:rPr>
          <w:t xml:space="preserve">10.1016/j.actaastro.2026.02.021</w:t>
        </w:r>
      </w:hyperlink>
    </w:p>
    <w:bookmarkEnd w:id="84"/>
    <w:bookmarkStart w:id="85" w:name="specification"/>
    <w:p>
      <w:pPr>
        <w:pStyle w:val="Heading2"/>
      </w:pPr>
      <w:r>
        <w:t xml:space="preserve">Specification</w:t>
      </w:r>
    </w:p>
    <w:p>
      <w:pPr>
        <w:pStyle w:val="FirstParagraph"/>
      </w:pPr>
      <m:oMathPara>
        <m:oMathParaPr>
          <m:jc m:val="center"/>
        </m:oMathParaPr>
        <m:oMath>
          <m:sSub>
            <m:e>
              <m:r>
                <m:rPr>
                  <m:nor/>
                  <m:sty m:val="p"/>
                </m:rPr>
                <m:t>Citations</m:t>
              </m:r>
            </m:e>
            <m:sub>
              <m:r>
                <m:t>i</m:t>
              </m:r>
            </m:sub>
          </m:sSub>
          <m:r>
            <m:rPr>
              <m:sty m:val="p"/>
            </m:rPr>
            <m:t>=</m:t>
          </m:r>
          <m:r>
            <m:t>α</m:t>
          </m:r>
          <m:r>
            <m:rPr>
              <m:sty m:val="p"/>
            </m:rPr>
            <m:t>+</m:t>
          </m:r>
          <m:sSub>
            <m:e>
              <m:r>
                <m:t>β</m:t>
              </m:r>
            </m:e>
            <m:sub>
              <m:r>
                <m:t>1</m:t>
              </m:r>
            </m:sub>
          </m:sSub>
          <m:sSub>
            <m:e>
              <m:r>
                <m:rPr>
                  <m:nor/>
                  <m:sty m:val="p"/>
                </m:rPr>
                <m:t>Age</m:t>
              </m:r>
            </m:e>
            <m:sub>
              <m:r>
                <m:t>i</m:t>
              </m:r>
            </m:sub>
          </m:sSub>
          <m:r>
            <m:rPr>
              <m:sty m:val="p"/>
            </m:rPr>
            <m:t>+</m:t>
          </m:r>
          <m:sSub>
            <m:e>
              <m:r>
                <m:t>β</m:t>
              </m:r>
            </m:e>
            <m:sub>
              <m:r>
                <m:t>2</m:t>
              </m:r>
            </m:sub>
          </m:sSub>
          <m:sSub>
            <m:e>
              <m:r>
                <m:rPr>
                  <m:nor/>
                  <m:sty m:val="p"/>
                </m:rPr>
                <m:t>ISRU</m:t>
              </m:r>
            </m:e>
            <m:sub>
              <m:r>
                <m:t>i</m:t>
              </m:r>
            </m:sub>
          </m:sSub>
          <m:r>
            <m:rPr>
              <m:sty m:val="p"/>
            </m:rPr>
            <m:t>+</m:t>
          </m:r>
          <m:sSub>
            <m:e>
              <m:r>
                <m:t>β</m:t>
              </m:r>
            </m:e>
            <m:sub>
              <m:r>
                <m:t>3</m:t>
              </m:r>
            </m:sub>
          </m:sSub>
          <m:sSub>
            <m:e>
              <m:r>
                <m:rPr>
                  <m:nor/>
                  <m:sty m:val="p"/>
                </m:rPr>
                <m:t>LifeSupport</m:t>
              </m:r>
            </m:e>
            <m:sub>
              <m:r>
                <m:t>i</m:t>
              </m:r>
            </m:sub>
          </m:sSub>
          <m:r>
            <m:rPr>
              <m:sty m:val="p"/>
            </m:rPr>
            <m:t>+</m:t>
          </m:r>
          <m:sSub>
            <m:e>
              <m:r>
                <m:t>ε</m:t>
              </m:r>
            </m:e>
            <m:sub>
              <m:r>
                <m:t>i</m:t>
              </m:r>
            </m:sub>
          </m:sSub>
        </m:oMath>
      </m:oMathPara>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-19.0151</w:t>
            </w:r>
          </w:p>
        </w:tc>
        <w:tc>
          <w:tcPr>
            <w:tcW w:w="0" w:type="auto"/>
          </w:tcPr>
          <w:p>
            <w:pPr>
              <w:spacing w:line="240" w:lineRule="auto" w:before="0" w:after="0"/>
              <w:pStyle w:val="Compact"/>
            </w:pPr>
            <w:r>
              <w:rPr>
                <w:sz w:val="20"/>
                <w:szCs w:val="20"/>
              </w:rPr>
              <w:t xml:space="preserve">14.0755</w:t>
            </w:r>
          </w:p>
        </w:tc>
        <w:tc>
          <w:tcPr>
            <w:tcW w:w="0" w:type="auto"/>
          </w:tcPr>
          <w:p>
            <w:pPr>
              <w:spacing w:line="240" w:lineRule="auto" w:before="0" w:after="0"/>
              <w:pStyle w:val="Compact"/>
            </w:pPr>
            <w:r>
              <w:rPr>
                <w:sz w:val="20"/>
                <w:szCs w:val="20"/>
              </w:rPr>
              <w:t xml:space="preserve">-1.3509</w:t>
            </w:r>
          </w:p>
        </w:tc>
        <w:tc>
          <w:tcPr>
            <w:tcW w:w="0" w:type="auto"/>
          </w:tcPr>
          <w:p>
            <w:pPr>
              <w:spacing w:line="240" w:lineRule="auto" w:before="0" w:after="0"/>
              <w:pStyle w:val="Compact"/>
            </w:pPr>
            <w:r>
              <w:rPr>
                <w:sz w:val="20"/>
                <w:szCs w:val="20"/>
              </w:rPr>
              <w:t xml:space="preserve">0.1767</w:t>
            </w:r>
          </w:p>
        </w:tc>
        <w:tc>
          <w:tcPr>
            <w:tcW w:w="0" w:type="auto"/>
          </w:tcPr>
          <w:p>
            <w:pPr>
              <w:spacing w:line="240" w:lineRule="auto" w:before="0" w:after="0"/>
              <w:pStyle w:val="Compact"/>
            </w:pPr>
            <w:r>
              <w:rPr>
                <w:sz w:val="20"/>
                <w:szCs w:val="20"/>
              </w:rPr>
              <w:t xml:space="preserve">[-46.6025, 8.5723]</w:t>
            </w:r>
          </w:p>
        </w:tc>
      </w:tr>
      <w:tr>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7.6293</w:t>
            </w:r>
          </w:p>
        </w:tc>
        <w:tc>
          <w:tcPr>
            <w:tcW w:w="0" w:type="auto"/>
          </w:tcPr>
          <w:p>
            <w:pPr>
              <w:spacing w:line="240" w:lineRule="auto" w:before="0" w:after="0"/>
              <w:pStyle w:val="Compact"/>
            </w:pPr>
            <w:r>
              <w:rPr>
                <w:sz w:val="20"/>
                <w:szCs w:val="20"/>
              </w:rPr>
              <w:t xml:space="preserve">3.9996</w:t>
            </w:r>
          </w:p>
        </w:tc>
        <w:tc>
          <w:tcPr>
            <w:tcW w:w="0" w:type="auto"/>
          </w:tcPr>
          <w:p>
            <w:pPr>
              <w:spacing w:line="240" w:lineRule="auto" w:before="0" w:after="0"/>
              <w:pStyle w:val="Compact"/>
            </w:pPr>
            <w:r>
              <w:rPr>
                <w:sz w:val="20"/>
                <w:szCs w:val="20"/>
              </w:rPr>
              <w:t xml:space="preserve">1.9075</w:t>
            </w:r>
          </w:p>
        </w:tc>
        <w:tc>
          <w:tcPr>
            <w:tcW w:w="0" w:type="auto"/>
          </w:tcPr>
          <w:p>
            <w:pPr>
              <w:spacing w:line="240" w:lineRule="auto" w:before="0" w:after="0"/>
              <w:pStyle w:val="Compact"/>
            </w:pPr>
            <w:r>
              <w:rPr>
                <w:sz w:val="20"/>
                <w:szCs w:val="20"/>
              </w:rPr>
              <w:t xml:space="preserve">0.0565</w:t>
            </w:r>
          </w:p>
        </w:tc>
        <w:tc>
          <w:tcPr>
            <w:tcW w:w="0" w:type="auto"/>
          </w:tcPr>
          <w:p>
            <w:pPr>
              <w:spacing w:line="240" w:lineRule="auto" w:before="0" w:after="0"/>
              <w:pStyle w:val="Compact"/>
            </w:pPr>
            <w:r>
              <w:rPr>
                <w:sz w:val="20"/>
                <w:szCs w:val="20"/>
              </w:rPr>
              <w:t xml:space="preserve">[-0.2098, 15.4683]</w:t>
            </w:r>
          </w:p>
        </w:tc>
      </w:tr>
      <w:tr>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22.875</w:t>
            </w:r>
          </w:p>
        </w:tc>
        <w:tc>
          <w:tcPr>
            <w:tcW w:w="0" w:type="auto"/>
          </w:tcPr>
          <w:p>
            <w:pPr>
              <w:spacing w:line="240" w:lineRule="auto" w:before="0" w:after="0"/>
              <w:pStyle w:val="Compact"/>
            </w:pPr>
            <w:r>
              <w:rPr>
                <w:sz w:val="20"/>
                <w:szCs w:val="20"/>
              </w:rPr>
              <w:t xml:space="preserve">14.073</w:t>
            </w:r>
          </w:p>
        </w:tc>
        <w:tc>
          <w:tcPr>
            <w:tcW w:w="0" w:type="auto"/>
          </w:tcPr>
          <w:p>
            <w:pPr>
              <w:spacing w:line="240" w:lineRule="auto" w:before="0" w:after="0"/>
              <w:pStyle w:val="Compact"/>
            </w:pPr>
            <w:r>
              <w:rPr>
                <w:sz w:val="20"/>
                <w:szCs w:val="20"/>
              </w:rPr>
              <w:t xml:space="preserve">1.6254</w:t>
            </w:r>
          </w:p>
        </w:tc>
        <w:tc>
          <w:tcPr>
            <w:tcW w:w="0" w:type="auto"/>
          </w:tcPr>
          <w:p>
            <w:pPr>
              <w:spacing w:line="240" w:lineRule="auto" w:before="0" w:after="0"/>
              <w:pStyle w:val="Compact"/>
            </w:pPr>
            <w:r>
              <w:rPr>
                <w:sz w:val="20"/>
                <w:szCs w:val="20"/>
              </w:rPr>
              <w:t xml:space="preserve">0.1041</w:t>
            </w:r>
          </w:p>
        </w:tc>
        <w:tc>
          <w:tcPr>
            <w:tcW w:w="0" w:type="auto"/>
          </w:tcPr>
          <w:p>
            <w:pPr>
              <w:spacing w:line="240" w:lineRule="auto" w:before="0" w:after="0"/>
              <w:pStyle w:val="Compact"/>
            </w:pPr>
            <w:r>
              <w:rPr>
                <w:sz w:val="20"/>
                <w:szCs w:val="20"/>
              </w:rPr>
              <w:t xml:space="preserve">[-4.7076, 50.4576]</w:t>
            </w:r>
          </w:p>
        </w:tc>
      </w:tr>
      <w:tr>
        <w:tc>
          <w:tcPr>
            <w:tcW w:w="0" w:type="auto"/>
          </w:tcPr>
          <w:p>
            <w:pPr>
              <w:spacing w:line="240" w:lineRule="auto" w:before="0" w:after="0"/>
              <w:pStyle w:val="Compact"/>
            </w:pPr>
            <w:r>
              <w:rPr>
                <w:sz w:val="20"/>
                <w:szCs w:val="20"/>
              </w:rPr>
              <w:t xml:space="preserve">is_life_support</w:t>
            </w:r>
          </w:p>
        </w:tc>
        <w:tc>
          <w:tcPr>
            <w:tcW w:w="0" w:type="auto"/>
          </w:tcPr>
          <w:p>
            <w:pPr>
              <w:spacing w:line="240" w:lineRule="auto" w:before="0" w:after="0"/>
              <w:pStyle w:val="Compact"/>
            </w:pPr>
            <w:r>
              <w:rPr>
                <w:sz w:val="20"/>
                <w:szCs w:val="20"/>
              </w:rPr>
              <w:t xml:space="preserve">-12.3731</w:t>
            </w:r>
          </w:p>
        </w:tc>
        <w:tc>
          <w:tcPr>
            <w:tcW w:w="0" w:type="auto"/>
          </w:tcPr>
          <w:p>
            <w:pPr>
              <w:spacing w:line="240" w:lineRule="auto" w:before="0" w:after="0"/>
              <w:pStyle w:val="Compact"/>
            </w:pPr>
            <w:r>
              <w:rPr>
                <w:sz w:val="20"/>
                <w:szCs w:val="20"/>
              </w:rPr>
              <w:t xml:space="preserve">10.8055</w:t>
            </w:r>
          </w:p>
        </w:tc>
        <w:tc>
          <w:tcPr>
            <w:tcW w:w="0" w:type="auto"/>
          </w:tcPr>
          <w:p>
            <w:pPr>
              <w:spacing w:line="240" w:lineRule="auto" w:before="0" w:after="0"/>
              <w:pStyle w:val="Compact"/>
            </w:pPr>
            <w:r>
              <w:rPr>
                <w:sz w:val="20"/>
                <w:szCs w:val="20"/>
              </w:rPr>
              <w:t xml:space="preserve">-1.1451</w:t>
            </w:r>
          </w:p>
        </w:tc>
        <w:tc>
          <w:tcPr>
            <w:tcW w:w="0" w:type="auto"/>
          </w:tcPr>
          <w:p>
            <w:pPr>
              <w:spacing w:line="240" w:lineRule="auto" w:before="0" w:after="0"/>
              <w:pStyle w:val="Compact"/>
            </w:pPr>
            <w:r>
              <w:rPr>
                <w:sz w:val="20"/>
                <w:szCs w:val="20"/>
              </w:rPr>
              <w:t xml:space="preserve">0.2522</w:t>
            </w:r>
          </w:p>
        </w:tc>
        <w:tc>
          <w:tcPr>
            <w:tcW w:w="0" w:type="auto"/>
          </w:tcPr>
          <w:p>
            <w:pPr>
              <w:spacing w:line="240" w:lineRule="auto" w:before="0" w:after="0"/>
              <w:pStyle w:val="Compact"/>
            </w:pPr>
            <w:r>
              <w:rPr>
                <w:sz w:val="20"/>
                <w:szCs w:val="20"/>
              </w:rPr>
              <w:t xml:space="preserve">[-33.5514, 8.8053]</w:t>
            </w:r>
          </w:p>
        </w:tc>
      </w:tr>
    </w:tbl>
    <w:p>
      <w:pPr>
        <w:pStyle w:val="BodyText"/>
      </w:pPr>
      <w:r>
        <w:t xml:space="preserve">Fit: N = 40 R2 = 0.3031 R2_adj = 0.2451 F = 1.2641 F_p = 0.3013</w:t>
      </w:r>
    </w:p>
    <w:p>
      <w:pPr>
        <w:pStyle w:val="CaptionedFigure"/>
      </w:pPr>
      <w:r>
        <w:drawing>
          <wp:inline>
            <wp:extent cx="5669280" cy="3657600"/>
            <wp:effectExtent b="0" l="0" r="0" t="0"/>
            <wp:docPr descr="Figure 1. Figure 1. Citation count and paper age in 40 lunar closure-relevant Acta records." title="" id="87" name="Picture"/>
            <a:graphic>
              <a:graphicData uri="http://schemas.openxmlformats.org/drawingml/2006/picture">
                <pic:pic>
                  <pic:nvPicPr>
                    <pic:cNvPr descr="dissertations\CISLUNAR_DEV_09\research_papers\p1\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Citation count and paper age in 40 lunar closure-relevant Acta records.</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paper_id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title</w:t>
            </w:r>
          </w:p>
        </w:tc>
        <w:tc>
          <w:tcPr>
            <w:tcW w:w="0" w:type="auto"/>
          </w:tcPr>
          <w:p>
            <w:pPr>
              <w:spacing w:line="240" w:lineRule="auto" w:before="0" w:after="0"/>
              <w:pStyle w:val="Compact"/>
            </w:pPr>
            <w:r>
              <w:rPr>
                <w:sz w:val="20"/>
                <w:szCs w:val="20"/>
              </w:rPr>
              <w:t xml:space="preserve">doi</w:t>
            </w:r>
          </w:p>
        </w:tc>
        <w:tc>
          <w:tcPr>
            <w:tcW w:w="0" w:type="auto"/>
          </w:tcPr>
          <w:p>
            <w:pPr>
              <w:spacing w:line="240" w:lineRule="auto" w:before="0" w:after="0"/>
              <w:pStyle w:val="Compact"/>
            </w:pPr>
            <w:r>
              <w:rPr>
                <w:sz w:val="20"/>
                <w:szCs w:val="20"/>
              </w:rPr>
              <w:t xml:space="preserve">citations_count</w:t>
            </w:r>
          </w:p>
        </w:tc>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years_since_2016</w:t>
            </w:r>
          </w:p>
        </w:tc>
        <w:tc>
          <w:tcPr>
            <w:tcW w:w="0" w:type="auto"/>
          </w:tcPr>
          <w:p>
            <w:pPr>
              <w:spacing w:line="240" w:lineRule="auto" w:before="0" w:after="0"/>
              <w:pStyle w:val="Compact"/>
            </w:pPr>
            <w:r>
              <w:rPr>
                <w:sz w:val="20"/>
                <w:szCs w:val="20"/>
              </w:rPr>
              <w:t xml:space="preserve">is_fulltext</w:t>
            </w:r>
          </w:p>
        </w:tc>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is_life_support</w:t>
            </w:r>
          </w:p>
        </w:tc>
        <w:tc>
          <w:tcPr>
            <w:tcW w:w="0" w:type="auto"/>
          </w:tcPr>
          <w:p>
            <w:pPr>
              <w:spacing w:line="240" w:lineRule="auto" w:before="0" w:after="0"/>
              <w:pStyle w:val="Compact"/>
            </w:pPr>
            <w:r>
              <w:rPr>
                <w:sz w:val="20"/>
                <w:szCs w:val="20"/>
              </w:rPr>
              <w:t xml:space="preserve">is_lunar</w:t>
            </w:r>
          </w:p>
        </w:tc>
        <w:tc>
          <w:tcPr>
            <w:tcW w:w="0" w:type="auto"/>
          </w:tcPr>
          <w:p>
            <w:pPr>
              <w:spacing w:line="240" w:lineRule="auto" w:before="0" w:after="0"/>
              <w:pStyle w:val="Compact"/>
            </w:pPr>
            <w:r>
              <w:rPr>
                <w:sz w:val="20"/>
                <w:szCs w:val="20"/>
              </w:rPr>
              <w:t xml:space="preserve">citations_plus_one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In-situ manufacturing of photobioreactors on the Moon using local resources</w:t>
            </w:r>
          </w:p>
        </w:tc>
        <w:tc>
          <w:tcPr>
            <w:tcW w:w="0" w:type="auto"/>
          </w:tcPr>
          <w:p>
            <w:pPr>
              <w:spacing w:line="240" w:lineRule="auto" w:before="0" w:after="0"/>
              <w:pStyle w:val="Compact"/>
            </w:pPr>
            <w:r>
              <w:rPr>
                <w:sz w:val="20"/>
                <w:szCs w:val="20"/>
              </w:rPr>
              <w:t xml:space="preserve">10.1016/j.actaastro.2025.07.033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Hybrid lunar ISRU plant: A comparative analysis with carbothermal reduction and water extraction</w:t>
            </w:r>
          </w:p>
        </w:tc>
        <w:tc>
          <w:tcPr>
            <w:tcW w:w="0" w:type="auto"/>
          </w:tcPr>
          <w:p>
            <w:pPr>
              <w:spacing w:line="240" w:lineRule="auto" w:before="0" w:after="0"/>
              <w:pStyle w:val="Compact"/>
            </w:pPr>
            <w:r>
              <w:rPr>
                <w:sz w:val="20"/>
                <w:szCs w:val="20"/>
              </w:rPr>
              <w:t xml:space="preserve">10.1016/j.actaastro.2025.02.004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Computing-feasibility study of NASA nutrition requirements as applied to a bioregenerative life support system</w:t>
            </w:r>
          </w:p>
        </w:tc>
        <w:tc>
          <w:tcPr>
            <w:tcW w:w="0" w:type="auto"/>
          </w:tcPr>
          <w:p>
            <w:pPr>
              <w:spacing w:line="240" w:lineRule="auto" w:before="0" w:after="0"/>
              <w:pStyle w:val="Compact"/>
            </w:pPr>
            <w:r>
              <w:rPr>
                <w:sz w:val="20"/>
                <w:szCs w:val="20"/>
              </w:rPr>
              <w:t xml:space="preserve">10.1016/j.actaastro.2019.04.001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Where is the plant-space research going: An overview on the last two decades through bibliometric network multi-analysis</w:t>
            </w:r>
          </w:p>
        </w:tc>
        <w:tc>
          <w:tcPr>
            <w:tcW w:w="0" w:type="auto"/>
          </w:tcPr>
          <w:p>
            <w:pPr>
              <w:spacing w:line="240" w:lineRule="auto" w:before="0" w:after="0"/>
              <w:pStyle w:val="Compact"/>
            </w:pPr>
            <w:r>
              <w:rPr>
                <w:sz w:val="20"/>
                <w:szCs w:val="20"/>
              </w:rPr>
              <w:t xml:space="preserve">10.1016/j.actaastro.2024.05.022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Modeling and experimental assessment of Synechococcus nidulans cultivation using simulated Martian medium and astronauts’ urine</w:t>
            </w:r>
          </w:p>
        </w:tc>
        <w:tc>
          <w:tcPr>
            <w:tcW w:w="0" w:type="auto"/>
          </w:tcPr>
          <w:p>
            <w:pPr>
              <w:spacing w:line="240" w:lineRule="auto" w:before="0" w:after="0"/>
              <w:pStyle w:val="Compact"/>
            </w:pPr>
            <w:r>
              <w:rPr>
                <w:sz w:val="20"/>
                <w:szCs w:val="20"/>
              </w:rPr>
              <w:t xml:space="preserve">10.1016/j.actaastro.2023.01.027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Properties of novel LX lunar regolith simulant system : The base simulants: Part 1</w:t>
            </w:r>
          </w:p>
        </w:tc>
        <w:tc>
          <w:tcPr>
            <w:tcW w:w="0" w:type="auto"/>
          </w:tcPr>
          <w:p>
            <w:pPr>
              <w:spacing w:line="240" w:lineRule="auto" w:before="0" w:after="0"/>
              <w:pStyle w:val="Compact"/>
            </w:pPr>
            <w:r>
              <w:rPr>
                <w:sz w:val="20"/>
                <w:szCs w:val="20"/>
              </w:rPr>
              <w:t xml:space="preserve">10.1016/j.actaastro.2025.02.030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Prospecting in-situ resources for future crewed missions to Mars</w:t>
            </w:r>
          </w:p>
        </w:tc>
        <w:tc>
          <w:tcPr>
            <w:tcW w:w="0" w:type="auto"/>
          </w:tcPr>
          <w:p>
            <w:pPr>
              <w:spacing w:line="240" w:lineRule="auto" w:before="0" w:after="0"/>
              <w:pStyle w:val="Compact"/>
            </w:pPr>
            <w:r>
              <w:rPr>
                <w:sz w:val="20"/>
                <w:szCs w:val="20"/>
              </w:rPr>
              <w:t xml:space="preserve">10.1016/j.actaastro.2024.07.003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From production to food systems: A systems-level review of drivers, requirements, and integration for Lunar and Martian food systems</w:t>
            </w:r>
          </w:p>
        </w:tc>
        <w:tc>
          <w:tcPr>
            <w:tcW w:w="0" w:type="auto"/>
          </w:tcPr>
          <w:p>
            <w:pPr>
              <w:spacing w:line="240" w:lineRule="auto" w:before="0" w:after="0"/>
              <w:pStyle w:val="Compact"/>
            </w:pPr>
            <w:r>
              <w:rPr>
                <w:sz w:val="20"/>
                <w:szCs w:val="20"/>
              </w:rPr>
              <w:t xml:space="preserve">10.1016/j.actaastro.2026.02.021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The impact of actual and simulated space conditions on the gut microbiome and the modulatory role of nutrition: A systematic review and meta-analysis</w:t>
            </w:r>
          </w:p>
        </w:tc>
        <w:tc>
          <w:tcPr>
            <w:tcW w:w="0" w:type="auto"/>
          </w:tcPr>
          <w:p>
            <w:pPr>
              <w:spacing w:line="240" w:lineRule="auto" w:before="0" w:after="0"/>
              <w:pStyle w:val="Compact"/>
            </w:pPr>
            <w:r>
              <w:rPr>
                <w:sz w:val="20"/>
                <w:szCs w:val="20"/>
              </w:rPr>
              <w:t xml:space="preserve">10.1016/j.actaastro.2026.01.006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Multi-objective decision-making for flexible design and planning of oxygen production facilities in an uncertain lunar environment</w:t>
            </w:r>
          </w:p>
        </w:tc>
        <w:tc>
          <w:tcPr>
            <w:tcW w:w="0" w:type="auto"/>
          </w:tcPr>
          <w:p>
            <w:pPr>
              <w:spacing w:line="240" w:lineRule="auto" w:before="0" w:after="0"/>
              <w:pStyle w:val="Compact"/>
            </w:pPr>
            <w:r>
              <w:rPr>
                <w:sz w:val="20"/>
                <w:szCs w:val="20"/>
              </w:rPr>
              <w:t xml:space="preserve">10.1016/j.actaastro.2025.07.014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Review of in-situ oxygen extraction from lunar regolith with focus on solar thermal and laser vacuum pyrolysis</w:t>
            </w:r>
          </w:p>
        </w:tc>
        <w:tc>
          <w:tcPr>
            <w:tcW w:w="0" w:type="auto"/>
          </w:tcPr>
          <w:p>
            <w:pPr>
              <w:spacing w:line="240" w:lineRule="auto" w:before="0" w:after="0"/>
              <w:pStyle w:val="Compact"/>
            </w:pPr>
            <w:r>
              <w:rPr>
                <w:sz w:val="20"/>
                <w:szCs w:val="20"/>
              </w:rPr>
              <w:t xml:space="preserve">10.1016/j.actaastro.2025.05.008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ARTHROSPIRA C space flight experiment Validation of biomass an 2025 Acta As</w:t>
            </w:r>
          </w:p>
        </w:tc>
        <w:tc>
          <w:tcPr>
            <w:tcW w:w="0" w:type="auto"/>
          </w:tcPr>
          <w:p>
            <w:pPr>
              <w:spacing w:line="240" w:lineRule="auto" w:before="0" w:after="0"/>
              <w:pStyle w:val="Compact"/>
            </w:pPr>
            <w:r>
              <w:rPr>
                <w:sz w:val="20"/>
                <w:szCs w:val="20"/>
              </w:rPr>
              <w:t xml:space="preserve">10.1016/j.actaastro.2024.11.010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Identifying an efficient endpoint for oxygen extraction from lunar regolith simulant pellets using molten salt electrolysis</w:t>
            </w:r>
          </w:p>
        </w:tc>
        <w:tc>
          <w:tcPr>
            <w:tcW w:w="0" w:type="auto"/>
          </w:tcPr>
          <w:p>
            <w:pPr>
              <w:spacing w:line="240" w:lineRule="auto" w:before="0" w:after="0"/>
              <w:pStyle w:val="Compact"/>
            </w:pPr>
            <w:r>
              <w:rPr>
                <w:sz w:val="20"/>
                <w:szCs w:val="20"/>
              </w:rPr>
              <w:t xml:space="preserve">10.1016/j.actaastro.2025.04.049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Reflections on early lunar base design - From sketch to the first moon landing</w:t>
            </w:r>
          </w:p>
        </w:tc>
        <w:tc>
          <w:tcPr>
            <w:tcW w:w="0" w:type="auto"/>
          </w:tcPr>
          <w:p>
            <w:pPr>
              <w:spacing w:line="240" w:lineRule="auto" w:before="0" w:after="0"/>
              <w:pStyle w:val="Compact"/>
            </w:pPr>
            <w:r>
              <w:rPr>
                <w:sz w:val="20"/>
                <w:szCs w:val="20"/>
              </w:rPr>
              <w:t xml:space="preserve">10.1016/j.actaastro.2022.09.021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Plant cell development and aging may accelerate in microgravity</w:t>
            </w:r>
          </w:p>
        </w:tc>
        <w:tc>
          <w:tcPr>
            <w:tcW w:w="0" w:type="auto"/>
          </w:tcPr>
          <w:p>
            <w:pPr>
              <w:spacing w:line="240" w:lineRule="auto" w:before="0" w:after="0"/>
              <w:pStyle w:val="Compact"/>
            </w:pPr>
            <w:r>
              <w:rPr>
                <w:sz w:val="20"/>
                <w:szCs w:val="20"/>
              </w:rPr>
              <w:t xml:space="preserve">10.1016/j.actaastro.2018.12.036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Oxygen production by solar vapor-phase pyrolysis of lunar regolith simulant</w:t>
            </w:r>
          </w:p>
        </w:tc>
        <w:tc>
          <w:tcPr>
            <w:tcW w:w="0" w:type="auto"/>
          </w:tcPr>
          <w:p>
            <w:pPr>
              <w:spacing w:line="240" w:lineRule="auto" w:before="0" w:after="0"/>
              <w:pStyle w:val="Compact"/>
            </w:pPr>
            <w:r>
              <w:rPr>
                <w:sz w:val="20"/>
                <w:szCs w:val="20"/>
              </w:rPr>
              <w:t xml:space="preserve">10.1016/j.actaastro.2024.08.009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ISRU technology deployment at a lunar outpost in 2040: A Delphi survey</w:t>
            </w:r>
          </w:p>
        </w:tc>
        <w:tc>
          <w:tcPr>
            <w:tcW w:w="0" w:type="auto"/>
          </w:tcPr>
          <w:p>
            <w:pPr>
              <w:spacing w:line="240" w:lineRule="auto" w:before="0" w:after="0"/>
              <w:pStyle w:val="Compact"/>
            </w:pPr>
            <w:r>
              <w:rPr>
                <w:sz w:val="20"/>
                <w:szCs w:val="20"/>
              </w:rPr>
              <w:t xml:space="preserve">10.1016/j.actaastro.2021.01.009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Effect of macronutrient levels on Chlorella vulgaris cultivation for long duration spaceflights and space settlements</w:t>
            </w:r>
          </w:p>
        </w:tc>
        <w:tc>
          <w:tcPr>
            <w:tcW w:w="0" w:type="auto"/>
          </w:tcPr>
          <w:p>
            <w:pPr>
              <w:spacing w:line="240" w:lineRule="auto" w:before="0" w:after="0"/>
              <w:pStyle w:val="Compact"/>
            </w:pPr>
            <w:r>
              <w:rPr>
                <w:sz w:val="20"/>
                <w:szCs w:val="20"/>
              </w:rPr>
              <w:t xml:space="preserve">10.1016/j.actaastro.2023.02.031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Solar 3D printing of lunar regolith</w:t>
            </w:r>
          </w:p>
        </w:tc>
        <w:tc>
          <w:tcPr>
            <w:tcW w:w="0" w:type="auto"/>
          </w:tcPr>
          <w:p>
            <w:pPr>
              <w:spacing w:line="240" w:lineRule="auto" w:before="0" w:after="0"/>
              <w:pStyle w:val="Compact"/>
            </w:pPr>
            <w:r>
              <w:rPr>
                <w:sz w:val="20"/>
                <w:szCs w:val="20"/>
              </w:rPr>
              <w:t xml:space="preserve">10.1016/j.actaastro.2018.06.063</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 novel approach to increase flowability of planetary regolith: Spray drying of Martian simulants for powder-based ISRU fabrication</w:t>
            </w:r>
          </w:p>
        </w:tc>
        <w:tc>
          <w:tcPr>
            <w:tcW w:w="0" w:type="auto"/>
          </w:tcPr>
          <w:p>
            <w:pPr>
              <w:spacing w:line="240" w:lineRule="auto" w:before="0" w:after="0"/>
              <w:pStyle w:val="Compact"/>
            </w:pPr>
            <w:r>
              <w:rPr>
                <w:sz w:val="20"/>
                <w:szCs w:val="20"/>
              </w:rPr>
              <w:t xml:space="preserve">10.1016/j.actaastro.2025.07.054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Development of regolith-resin-composite (RRC) material for lunar construction</w:t>
            </w:r>
          </w:p>
        </w:tc>
        <w:tc>
          <w:tcPr>
            <w:tcW w:w="0" w:type="auto"/>
          </w:tcPr>
          <w:p>
            <w:pPr>
              <w:spacing w:line="240" w:lineRule="auto" w:before="0" w:after="0"/>
              <w:pStyle w:val="Compact"/>
            </w:pPr>
            <w:r>
              <w:rPr>
                <w:sz w:val="20"/>
                <w:szCs w:val="20"/>
              </w:rPr>
              <w:t xml:space="preserve">10.1016/j.actaastro.2024.10.064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Mechanical, electrodynamic, and magnetic particle-size classification of lunar regolith for in-situ resource utilization: A review</w:t>
            </w:r>
          </w:p>
        </w:tc>
        <w:tc>
          <w:tcPr>
            <w:tcW w:w="0" w:type="auto"/>
          </w:tcPr>
          <w:p>
            <w:pPr>
              <w:spacing w:line="240" w:lineRule="auto" w:before="0" w:after="0"/>
              <w:pStyle w:val="Compact"/>
            </w:pPr>
            <w:r>
              <w:rPr>
                <w:sz w:val="20"/>
                <w:szCs w:val="20"/>
              </w:rPr>
              <w:t xml:space="preserve">10.1016/j.actaastro.2025.07.051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Structures for extraterrestrial habitat: A review</w:t>
            </w:r>
          </w:p>
        </w:tc>
        <w:tc>
          <w:tcPr>
            <w:tcW w:w="0" w:type="auto"/>
          </w:tcPr>
          <w:p>
            <w:pPr>
              <w:spacing w:line="240" w:lineRule="auto" w:before="0" w:after="0"/>
              <w:pStyle w:val="Compact"/>
            </w:pPr>
            <w:r>
              <w:rPr>
                <w:sz w:val="20"/>
                <w:szCs w:val="20"/>
              </w:rPr>
              <w:t xml:space="preserve">10.1016/j.actaastro.2025.10.029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Desert cyanobacteria under non-Earth conditions: Implications for astrobiology and sustainable life support</w:t>
            </w:r>
          </w:p>
        </w:tc>
        <w:tc>
          <w:tcPr>
            <w:tcW w:w="0" w:type="auto"/>
          </w:tcPr>
          <w:p>
            <w:pPr>
              <w:spacing w:line="240" w:lineRule="auto" w:before="0" w:after="0"/>
              <w:pStyle w:val="Compact"/>
            </w:pPr>
            <w:r>
              <w:rPr>
                <w:sz w:val="20"/>
                <w:szCs w:val="20"/>
              </w:rPr>
              <w:t xml:space="preserve">10.1016/j.actaastro.2025.09.022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The water treatment and recycling in 105-day bioregenerative life support experiment in the Lunar Palace 1</w:t>
            </w:r>
          </w:p>
        </w:tc>
        <w:tc>
          <w:tcPr>
            <w:tcW w:w="0" w:type="auto"/>
          </w:tcPr>
          <w:p>
            <w:pPr>
              <w:spacing w:line="240" w:lineRule="auto" w:before="0" w:after="0"/>
              <w:pStyle w:val="Compact"/>
            </w:pPr>
            <w:r>
              <w:rPr>
                <w:sz w:val="20"/>
                <w:szCs w:val="20"/>
              </w:rPr>
              <w:t xml:space="preserve">10.1016/j.actaastro.2017.08.026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Reliability and lifetime estimation of bioregenerative life support system based on 370-day closed human experiment of lunar palace 1 and Monte Carlo simulation</w:t>
            </w:r>
          </w:p>
        </w:tc>
        <w:tc>
          <w:tcPr>
            <w:tcW w:w="0" w:type="auto"/>
          </w:tcPr>
          <w:p>
            <w:pPr>
              <w:spacing w:line="240" w:lineRule="auto" w:before="0" w:after="0"/>
              <w:pStyle w:val="Compact"/>
            </w:pPr>
            <w:r>
              <w:rPr>
                <w:sz w:val="20"/>
                <w:szCs w:val="20"/>
              </w:rPr>
              <w:t xml:space="preserve">10.1016/j.actaastro.2022.11.021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SIRONA: Sustainable Integration of Regenerative Outer-space Nature and Agriculture. Part 2 : Design Development and Projected Performance</w:t>
            </w:r>
          </w:p>
        </w:tc>
        <w:tc>
          <w:tcPr>
            <w:tcW w:w="0" w:type="auto"/>
          </w:tcPr>
          <w:p>
            <w:pPr>
              <w:spacing w:line="240" w:lineRule="auto" w:before="0" w:after="0"/>
              <w:pStyle w:val="Compact"/>
            </w:pPr>
            <w:r>
              <w:rPr>
                <w:sz w:val="20"/>
                <w:szCs w:val="20"/>
              </w:rPr>
              <w:t xml:space="preserve">10.1016/j.actaastro.2020.07.001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Modelling vibrational segregation of granular materials in lunar gravity using the discrete element method</w:t>
            </w:r>
          </w:p>
        </w:tc>
        <w:tc>
          <w:tcPr>
            <w:tcW w:w="0" w:type="auto"/>
          </w:tcPr>
          <w:p>
            <w:pPr>
              <w:spacing w:line="240" w:lineRule="auto" w:before="0" w:after="0"/>
              <w:pStyle w:val="Compact"/>
            </w:pPr>
            <w:r>
              <w:rPr>
                <w:sz w:val="20"/>
                <w:szCs w:val="20"/>
              </w:rPr>
              <w:t xml:space="preserve">10.1016/j.actaastro.2025.11.073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Phototrophic microorganisms in bioregenerative life support systems for long-term crewed expeditions: Prospects and challenges</w:t>
            </w:r>
          </w:p>
        </w:tc>
        <w:tc>
          <w:tcPr>
            <w:tcW w:w="0" w:type="auto"/>
          </w:tcPr>
          <w:p>
            <w:pPr>
              <w:spacing w:line="240" w:lineRule="auto" w:before="0" w:after="0"/>
              <w:pStyle w:val="Compact"/>
            </w:pPr>
            <w:r>
              <w:rPr>
                <w:sz w:val="20"/>
                <w:szCs w:val="20"/>
              </w:rPr>
              <w:t xml:space="preserve">10.1016/j.actaastro.2023.07.006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Benefits of a rotating - Partial gravity - Spacecraft</w:t>
            </w:r>
          </w:p>
        </w:tc>
        <w:tc>
          <w:tcPr>
            <w:tcW w:w="0" w:type="auto"/>
          </w:tcPr>
          <w:p>
            <w:pPr>
              <w:spacing w:line="240" w:lineRule="auto" w:before="0" w:after="0"/>
              <w:pStyle w:val="Compact"/>
            </w:pPr>
            <w:r>
              <w:rPr>
                <w:sz w:val="20"/>
                <w:szCs w:val="20"/>
              </w:rPr>
              <w:t xml:space="preserve">10.1016/j.actaastro.2024.04.041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 overview of 3D printing Mars habitats using in-situ resources: materials, processing, structural challenges, and prospects</w:t>
            </w:r>
          </w:p>
        </w:tc>
        <w:tc>
          <w:tcPr>
            <w:tcW w:w="0" w:type="auto"/>
          </w:tcPr>
          <w:p>
            <w:pPr>
              <w:spacing w:line="240" w:lineRule="auto" w:before="0" w:after="0"/>
              <w:pStyle w:val="Compact"/>
            </w:pPr>
            <w:r>
              <w:rPr>
                <w:sz w:val="20"/>
                <w:szCs w:val="20"/>
              </w:rPr>
              <w:t xml:space="preserve">10.1016/j.actaastro.2026.05.055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What horticulture and space exploration can learn from each other: The Mission to Mars initiative in the Netherlands</w:t>
            </w:r>
          </w:p>
        </w:tc>
        <w:tc>
          <w:tcPr>
            <w:tcW w:w="0" w:type="auto"/>
          </w:tcPr>
          <w:p>
            <w:pPr>
              <w:spacing w:line="240" w:lineRule="auto" w:before="0" w:after="0"/>
              <w:pStyle w:val="Compact"/>
            </w:pPr>
            <w:r>
              <w:rPr>
                <w:sz w:val="20"/>
                <w:szCs w:val="20"/>
              </w:rPr>
              <w:t xml:space="preserve">10.1016/j.actaastro.2020.05.015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 review towards the design of extraterrestrial structures: From regolith to human outposts</w:t>
            </w:r>
          </w:p>
        </w:tc>
        <w:tc>
          <w:tcPr>
            <w:tcW w:w="0" w:type="auto"/>
          </w:tcPr>
          <w:p>
            <w:pPr>
              <w:spacing w:line="240" w:lineRule="auto" w:before="0" w:after="0"/>
              <w:pStyle w:val="Compact"/>
            </w:pPr>
            <w:r>
              <w:rPr>
                <w:sz w:val="20"/>
                <w:szCs w:val="20"/>
              </w:rPr>
              <w:t xml:space="preserve">10.1016/j.actaastro.2020.05.038</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Theoretical bioreactor design to perform microbial mining activities on mars</w:t>
            </w:r>
          </w:p>
        </w:tc>
        <w:tc>
          <w:tcPr>
            <w:tcW w:w="0" w:type="auto"/>
          </w:tcPr>
          <w:p>
            <w:pPr>
              <w:spacing w:line="240" w:lineRule="auto" w:before="0" w:after="0"/>
              <w:pStyle w:val="Compact"/>
            </w:pPr>
            <w:r>
              <w:rPr>
                <w:sz w:val="20"/>
                <w:szCs w:val="20"/>
              </w:rPr>
              <w:t xml:space="preserve">10.1016/j.actaastro.2020.01.036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From extraction to purification: A comprehensive review of oxygen production from lunar regolith for ISRU</w:t>
            </w:r>
          </w:p>
        </w:tc>
        <w:tc>
          <w:tcPr>
            <w:tcW w:w="0" w:type="auto"/>
          </w:tcPr>
          <w:p>
            <w:pPr>
              <w:spacing w:line="240" w:lineRule="auto" w:before="0" w:after="0"/>
              <w:pStyle w:val="Compact"/>
            </w:pPr>
            <w:r>
              <w:rPr>
                <w:sz w:val="20"/>
                <w:szCs w:val="20"/>
              </w:rPr>
              <w:t xml:space="preserve">10.1016/j.actaastro.2026.05.063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Thermodynamic model of Mars Oxygen ISRU Experiment (MOXIE)</w:t>
            </w:r>
          </w:p>
        </w:tc>
        <w:tc>
          <w:tcPr>
            <w:tcW w:w="0" w:type="auto"/>
          </w:tcPr>
          <w:p>
            <w:pPr>
              <w:spacing w:line="240" w:lineRule="auto" w:before="0" w:after="0"/>
              <w:pStyle w:val="Compact"/>
            </w:pPr>
            <w:r>
              <w:rPr>
                <w:sz w:val="20"/>
                <w:szCs w:val="20"/>
              </w:rPr>
              <w:t xml:space="preserve">10.1016/j.actaastro.2016.06.005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Vacuum effects on the angle of repose of lunar soil simulants: Experimental insights</w:t>
            </w:r>
          </w:p>
        </w:tc>
        <w:tc>
          <w:tcPr>
            <w:tcW w:w="0" w:type="auto"/>
          </w:tcPr>
          <w:p>
            <w:pPr>
              <w:spacing w:line="240" w:lineRule="auto" w:before="0" w:after="0"/>
              <w:pStyle w:val="Compact"/>
            </w:pPr>
            <w:r>
              <w:rPr>
                <w:sz w:val="20"/>
                <w:szCs w:val="20"/>
              </w:rPr>
              <w:t xml:space="preserve">10.1016/j.actaastro.2025.11.007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3D printing LDPE/lunar regolith simulant composite: manufacturing with in-situ resources on the moon</w:t>
            </w:r>
          </w:p>
        </w:tc>
        <w:tc>
          <w:tcPr>
            <w:tcW w:w="0" w:type="auto"/>
          </w:tcPr>
          <w:p>
            <w:pPr>
              <w:spacing w:line="240" w:lineRule="auto" w:before="0" w:after="0"/>
              <w:pStyle w:val="Compact"/>
            </w:pPr>
            <w:r>
              <w:rPr>
                <w:sz w:val="20"/>
                <w:szCs w:val="20"/>
              </w:rPr>
              <w:t xml:space="preserve">10.1016/j.actaastro.2025.08.012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The recycle of water and nitrogen from urine in bioregenerative life support system</w:t>
            </w:r>
          </w:p>
        </w:tc>
        <w:tc>
          <w:tcPr>
            <w:tcW w:w="0" w:type="auto"/>
          </w:tcPr>
          <w:p>
            <w:pPr>
              <w:spacing w:line="240" w:lineRule="auto" w:before="0" w:after="0"/>
              <w:pStyle w:val="Compact"/>
            </w:pPr>
            <w:r>
              <w:rPr>
                <w:sz w:val="20"/>
                <w:szCs w:val="20"/>
              </w:rPr>
              <w:t xml:space="preserve">10.1016/j.actaastro.2016.03.007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 virtual 3D printing framework for off-Earth construction</w:t>
            </w:r>
          </w:p>
        </w:tc>
        <w:tc>
          <w:tcPr>
            <w:tcW w:w="0" w:type="auto"/>
          </w:tcPr>
          <w:p>
            <w:pPr>
              <w:spacing w:line="240" w:lineRule="auto" w:before="0" w:after="0"/>
              <w:pStyle w:val="Compact"/>
            </w:pPr>
            <w:r>
              <w:rPr>
                <w:sz w:val="20"/>
                <w:szCs w:val="20"/>
              </w:rPr>
              <w:t xml:space="preserve">10.1016/j.actaastro.2026.02.001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citations_count</w:t>
            </w:r>
          </w:p>
        </w:tc>
        <w:tc>
          <w:tcPr>
            <w:tcW w:w="0" w:type="auto"/>
          </w:tcPr>
          <w:p>
            <w:pPr>
              <w:spacing w:line="240" w:lineRule="auto" w:before="0" w:after="0"/>
              <w:pStyle w:val="Compact"/>
            </w:pPr>
            <w:r>
              <w:rPr>
                <w:sz w:val="20"/>
                <w:szCs w:val="20"/>
              </w:rPr>
              <w:t xml:space="preserve">Citation count reported in the Acta metadata export</w:t>
            </w:r>
          </w:p>
        </w:tc>
        <w:tc>
          <w:tcPr>
            <w:tcW w:w="0" w:type="auto"/>
          </w:tcPr>
          <w:p>
            <w:pPr>
              <w:spacing w:line="240" w:lineRule="auto" w:before="0" w:after="0"/>
              <w:pStyle w:val="Compact"/>
            </w:pPr>
            <w:r>
              <w:rPr>
                <w:sz w:val="20"/>
                <w:szCs w:val="20"/>
              </w:rPr>
              <w:t xml:space="preserve">Parsed from the local Acta corpus cites field</w:t>
            </w:r>
          </w:p>
        </w:tc>
      </w:tr>
      <w:tr>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2026 minus publication year plus one</w:t>
            </w:r>
          </w:p>
        </w:tc>
        <w:tc>
          <w:tcPr>
            <w:tcW w:w="0" w:type="auto"/>
          </w:tcPr>
          <w:p>
            <w:pPr>
              <w:spacing w:line="240" w:lineRule="auto" w:before="0" w:after="0"/>
              <w:pStyle w:val="Compact"/>
            </w:pPr>
            <w:r>
              <w:rPr>
                <w:sz w:val="20"/>
                <w:szCs w:val="20"/>
              </w:rPr>
              <w:t xml:space="preserve">Constructed from the Acta publication year</w:t>
            </w:r>
          </w:p>
        </w:tc>
      </w:tr>
      <w:tr>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Indicator for ISRU, in-situ, regolith, oxygen extraction, or resource-utilization terms in title or keywords</w:t>
            </w:r>
          </w:p>
        </w:tc>
        <w:tc>
          <w:tcPr>
            <w:tcW w:w="0" w:type="auto"/>
          </w:tcPr>
          <w:p>
            <w:pPr>
              <w:spacing w:line="240" w:lineRule="auto" w:before="0" w:after="0"/>
              <w:pStyle w:val="Compact"/>
            </w:pPr>
            <w:r>
              <w:rPr>
                <w:sz w:val="20"/>
                <w:szCs w:val="20"/>
              </w:rPr>
              <w:t xml:space="preserve">Constructed from Acta title and keyword fields</w:t>
            </w:r>
          </w:p>
        </w:tc>
      </w:tr>
      <w:tr>
        <w:tc>
          <w:tcPr>
            <w:tcW w:w="0" w:type="auto"/>
          </w:tcPr>
          <w:p>
            <w:pPr>
              <w:spacing w:line="240" w:lineRule="auto" w:before="0" w:after="0"/>
              <w:pStyle w:val="Compact"/>
            </w:pPr>
            <w:r>
              <w:rPr>
                <w:sz w:val="20"/>
                <w:szCs w:val="20"/>
              </w:rPr>
              <w:t xml:space="preserve">is_life_support</w:t>
            </w:r>
          </w:p>
        </w:tc>
        <w:tc>
          <w:tcPr>
            <w:tcW w:w="0" w:type="auto"/>
          </w:tcPr>
          <w:p>
            <w:pPr>
              <w:spacing w:line="240" w:lineRule="auto" w:before="0" w:after="0"/>
              <w:pStyle w:val="Compact"/>
            </w:pPr>
            <w:r>
              <w:rPr>
                <w:sz w:val="20"/>
                <w:szCs w:val="20"/>
              </w:rPr>
              <w:t xml:space="preserve">Indicator for life-support, bioregenerative, photobioreactor, food, plant, nutrition, urine, microorganism, or microbiome terms</w:t>
            </w:r>
          </w:p>
        </w:tc>
        <w:tc>
          <w:tcPr>
            <w:tcW w:w="0" w:type="auto"/>
          </w:tcPr>
          <w:p>
            <w:pPr>
              <w:spacing w:line="240" w:lineRule="auto" w:before="0" w:after="0"/>
              <w:pStyle w:val="Compact"/>
            </w:pPr>
            <w:r>
              <w:rPr>
                <w:sz w:val="20"/>
                <w:szCs w:val="20"/>
              </w:rPr>
              <w:t xml:space="preserve">Constructed from Acta title and keyword fields</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-19.0151</w:t>
            </w:r>
          </w:p>
        </w:tc>
        <w:tc>
          <w:tcPr>
            <w:tcW w:w="0" w:type="auto"/>
          </w:tcPr>
          <w:p>
            <w:pPr>
              <w:spacing w:line="240" w:lineRule="auto" w:before="0" w:after="0"/>
              <w:pStyle w:val="Compact"/>
            </w:pPr>
            <w:r>
              <w:rPr>
                <w:sz w:val="20"/>
                <w:szCs w:val="20"/>
              </w:rPr>
              <w:t xml:space="preserve">14.0755</w:t>
            </w:r>
          </w:p>
        </w:tc>
        <w:tc>
          <w:tcPr>
            <w:tcW w:w="0" w:type="auto"/>
          </w:tcPr>
          <w:p>
            <w:pPr>
              <w:spacing w:line="240" w:lineRule="auto" w:before="0" w:after="0"/>
              <w:pStyle w:val="Compact"/>
            </w:pPr>
            <w:r>
              <w:rPr>
                <w:sz w:val="20"/>
                <w:szCs w:val="20"/>
              </w:rPr>
              <w:t xml:space="preserve">-1.3509</w:t>
            </w:r>
          </w:p>
        </w:tc>
        <w:tc>
          <w:tcPr>
            <w:tcW w:w="0" w:type="auto"/>
          </w:tcPr>
          <w:p>
            <w:pPr>
              <w:spacing w:line="240" w:lineRule="auto" w:before="0" w:after="0"/>
              <w:pStyle w:val="Compact"/>
            </w:pPr>
            <w:r>
              <w:rPr>
                <w:sz w:val="20"/>
                <w:szCs w:val="20"/>
              </w:rPr>
              <w:t xml:space="preserve">0.1767</w:t>
            </w:r>
          </w:p>
        </w:tc>
        <w:tc>
          <w:tcPr>
            <w:tcW w:w="0" w:type="auto"/>
          </w:tcPr>
          <w:p>
            <w:pPr>
              <w:spacing w:line="240" w:lineRule="auto" w:before="0" w:after="0"/>
              <w:pStyle w:val="Compact"/>
            </w:pPr>
            <w:r>
              <w:rPr>
                <w:sz w:val="20"/>
                <w:szCs w:val="20"/>
              </w:rPr>
              <w:t xml:space="preserve">[-46.6025, 8.5723]</w:t>
            </w:r>
          </w:p>
        </w:tc>
      </w:tr>
      <w:tr>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7.6293</w:t>
            </w:r>
          </w:p>
        </w:tc>
        <w:tc>
          <w:tcPr>
            <w:tcW w:w="0" w:type="auto"/>
          </w:tcPr>
          <w:p>
            <w:pPr>
              <w:spacing w:line="240" w:lineRule="auto" w:before="0" w:after="0"/>
              <w:pStyle w:val="Compact"/>
            </w:pPr>
            <w:r>
              <w:rPr>
                <w:sz w:val="20"/>
                <w:szCs w:val="20"/>
              </w:rPr>
              <w:t xml:space="preserve">3.9996</w:t>
            </w:r>
          </w:p>
        </w:tc>
        <w:tc>
          <w:tcPr>
            <w:tcW w:w="0" w:type="auto"/>
          </w:tcPr>
          <w:p>
            <w:pPr>
              <w:spacing w:line="240" w:lineRule="auto" w:before="0" w:after="0"/>
              <w:pStyle w:val="Compact"/>
            </w:pPr>
            <w:r>
              <w:rPr>
                <w:sz w:val="20"/>
                <w:szCs w:val="20"/>
              </w:rPr>
              <w:t xml:space="preserve">1.9075</w:t>
            </w:r>
          </w:p>
        </w:tc>
        <w:tc>
          <w:tcPr>
            <w:tcW w:w="0" w:type="auto"/>
          </w:tcPr>
          <w:p>
            <w:pPr>
              <w:spacing w:line="240" w:lineRule="auto" w:before="0" w:after="0"/>
              <w:pStyle w:val="Compact"/>
            </w:pPr>
            <w:r>
              <w:rPr>
                <w:sz w:val="20"/>
                <w:szCs w:val="20"/>
              </w:rPr>
              <w:t xml:space="preserve">0.0565</w:t>
            </w:r>
          </w:p>
        </w:tc>
        <w:tc>
          <w:tcPr>
            <w:tcW w:w="0" w:type="auto"/>
          </w:tcPr>
          <w:p>
            <w:pPr>
              <w:spacing w:line="240" w:lineRule="auto" w:before="0" w:after="0"/>
              <w:pStyle w:val="Compact"/>
            </w:pPr>
            <w:r>
              <w:rPr>
                <w:sz w:val="20"/>
                <w:szCs w:val="20"/>
              </w:rPr>
              <w:t xml:space="preserve">[-0.2098, 15.4683]</w:t>
            </w:r>
          </w:p>
        </w:tc>
      </w:tr>
      <w:tr>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22.875</w:t>
            </w:r>
          </w:p>
        </w:tc>
        <w:tc>
          <w:tcPr>
            <w:tcW w:w="0" w:type="auto"/>
          </w:tcPr>
          <w:p>
            <w:pPr>
              <w:spacing w:line="240" w:lineRule="auto" w:before="0" w:after="0"/>
              <w:pStyle w:val="Compact"/>
            </w:pPr>
            <w:r>
              <w:rPr>
                <w:sz w:val="20"/>
                <w:szCs w:val="20"/>
              </w:rPr>
              <w:t xml:space="preserve">14.073</w:t>
            </w:r>
          </w:p>
        </w:tc>
        <w:tc>
          <w:tcPr>
            <w:tcW w:w="0" w:type="auto"/>
          </w:tcPr>
          <w:p>
            <w:pPr>
              <w:spacing w:line="240" w:lineRule="auto" w:before="0" w:after="0"/>
              <w:pStyle w:val="Compact"/>
            </w:pPr>
            <w:r>
              <w:rPr>
                <w:sz w:val="20"/>
                <w:szCs w:val="20"/>
              </w:rPr>
              <w:t xml:space="preserve">1.6254</w:t>
            </w:r>
          </w:p>
        </w:tc>
        <w:tc>
          <w:tcPr>
            <w:tcW w:w="0" w:type="auto"/>
          </w:tcPr>
          <w:p>
            <w:pPr>
              <w:spacing w:line="240" w:lineRule="auto" w:before="0" w:after="0"/>
              <w:pStyle w:val="Compact"/>
            </w:pPr>
            <w:r>
              <w:rPr>
                <w:sz w:val="20"/>
                <w:szCs w:val="20"/>
              </w:rPr>
              <w:t xml:space="preserve">0.1041</w:t>
            </w:r>
          </w:p>
        </w:tc>
        <w:tc>
          <w:tcPr>
            <w:tcW w:w="0" w:type="auto"/>
          </w:tcPr>
          <w:p>
            <w:pPr>
              <w:spacing w:line="240" w:lineRule="auto" w:before="0" w:after="0"/>
              <w:pStyle w:val="Compact"/>
            </w:pPr>
            <w:r>
              <w:rPr>
                <w:sz w:val="20"/>
                <w:szCs w:val="20"/>
              </w:rPr>
              <w:t xml:space="preserve">[-4.7076, 50.4576]</w:t>
            </w:r>
          </w:p>
        </w:tc>
      </w:tr>
      <w:tr>
        <w:tc>
          <w:tcPr>
            <w:tcW w:w="0" w:type="auto"/>
          </w:tcPr>
          <w:p>
            <w:pPr>
              <w:spacing w:line="240" w:lineRule="auto" w:before="0" w:after="0"/>
              <w:pStyle w:val="Compact"/>
            </w:pPr>
            <w:r>
              <w:rPr>
                <w:sz w:val="20"/>
                <w:szCs w:val="20"/>
              </w:rPr>
              <w:t xml:space="preserve">is_life_support</w:t>
            </w:r>
          </w:p>
        </w:tc>
        <w:tc>
          <w:tcPr>
            <w:tcW w:w="0" w:type="auto"/>
          </w:tcPr>
          <w:p>
            <w:pPr>
              <w:spacing w:line="240" w:lineRule="auto" w:before="0" w:after="0"/>
              <w:pStyle w:val="Compact"/>
            </w:pPr>
            <w:r>
              <w:rPr>
                <w:sz w:val="20"/>
                <w:szCs w:val="20"/>
              </w:rPr>
              <w:t xml:space="preserve">-12.3731</w:t>
            </w:r>
          </w:p>
        </w:tc>
        <w:tc>
          <w:tcPr>
            <w:tcW w:w="0" w:type="auto"/>
          </w:tcPr>
          <w:p>
            <w:pPr>
              <w:spacing w:line="240" w:lineRule="auto" w:before="0" w:after="0"/>
              <w:pStyle w:val="Compact"/>
            </w:pPr>
            <w:r>
              <w:rPr>
                <w:sz w:val="20"/>
                <w:szCs w:val="20"/>
              </w:rPr>
              <w:t xml:space="preserve">10.8055</w:t>
            </w:r>
          </w:p>
        </w:tc>
        <w:tc>
          <w:tcPr>
            <w:tcW w:w="0" w:type="auto"/>
          </w:tcPr>
          <w:p>
            <w:pPr>
              <w:spacing w:line="240" w:lineRule="auto" w:before="0" w:after="0"/>
              <w:pStyle w:val="Compact"/>
            </w:pPr>
            <w:r>
              <w:rPr>
                <w:sz w:val="20"/>
                <w:szCs w:val="20"/>
              </w:rPr>
              <w:t xml:space="preserve">-1.1451</w:t>
            </w:r>
          </w:p>
        </w:tc>
        <w:tc>
          <w:tcPr>
            <w:tcW w:w="0" w:type="auto"/>
          </w:tcPr>
          <w:p>
            <w:pPr>
              <w:spacing w:line="240" w:lineRule="auto" w:before="0" w:after="0"/>
              <w:pStyle w:val="Compact"/>
            </w:pPr>
            <w:r>
              <w:rPr>
                <w:sz w:val="20"/>
                <w:szCs w:val="20"/>
              </w:rPr>
              <w:t xml:space="preserve">0.2522</w:t>
            </w:r>
          </w:p>
        </w:tc>
        <w:tc>
          <w:tcPr>
            <w:tcW w:w="0" w:type="auto"/>
          </w:tcPr>
          <w:p>
            <w:pPr>
              <w:spacing w:line="240" w:lineRule="auto" w:before="0" w:after="0"/>
              <w:pStyle w:val="Compact"/>
            </w:pPr>
            <w:r>
              <w:rPr>
                <w:sz w:val="20"/>
                <w:szCs w:val="20"/>
              </w:rPr>
              <w:t xml:space="preserve">[-33.5514, 8.8053]</w:t>
            </w:r>
          </w:p>
        </w:tc>
      </w:tr>
    </w:tbl>
    <w:p>
      <w:pPr>
        <w:pStyle w:val="BodyText"/>
      </w:pPr>
      <w:r>
        <w:t xml:space="preserve">Fit: N = 40 R2 = 0.3031 R2_adj = 0.2451 F = 1.2641 F_p = 0.3013</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 Type="http://schemas.openxmlformats.org/officeDocument/2006/relationships/hyperlink" Id="rId77" Target="https://doi.org/10.1016/j.actaastro.2016.03.007" TargetMode="External" /><Relationship Type="http://schemas.openxmlformats.org/officeDocument/2006/relationships/hyperlink" Id="rId73" Target="https://doi.org/10.1016/j.actaastro.2021.01.009" TargetMode="External" /><Relationship Type="http://schemas.openxmlformats.org/officeDocument/2006/relationships/hyperlink" Id="rId75" Target="https://doi.org/10.1016/j.actaastro.2023.07.006" TargetMode="External" /><Relationship Type="http://schemas.openxmlformats.org/officeDocument/2006/relationships/hyperlink" Id="rId79" Target="https://doi.org/10.1016/j.actaastro.2024.05.022" TargetMode="External" /><Relationship Type="http://schemas.openxmlformats.org/officeDocument/2006/relationships/hyperlink" Id="rId81" Target="https://doi.org/10.1016/j.actaastro.2025.02.004" TargetMode="External" /><Relationship Type="http://schemas.openxmlformats.org/officeDocument/2006/relationships/hyperlink" Id="rId71" Target="https://doi.org/10.1016/j.actaastro.2025.05.008" TargetMode="External" /><Relationship Type="http://schemas.openxmlformats.org/officeDocument/2006/relationships/hyperlink" Id="rId69" Target="https://doi.org/10.1016/j.actaastro.2025.07.033" TargetMode="External" /><Relationship Type="http://schemas.openxmlformats.org/officeDocument/2006/relationships/hyperlink" Id="rId83" Target="https://doi.org/10.1016/j.actaastro.2026.02.021"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16/j.actaastro.2016.03.007" TargetMode="External" /><Relationship Type="http://schemas.openxmlformats.org/officeDocument/2006/relationships/hyperlink" Id="rId73" Target="https://doi.org/10.1016/j.actaastro.2021.01.009" TargetMode="External" /><Relationship Type="http://schemas.openxmlformats.org/officeDocument/2006/relationships/hyperlink" Id="rId75" Target="https://doi.org/10.1016/j.actaastro.2023.07.006" TargetMode="External" /><Relationship Type="http://schemas.openxmlformats.org/officeDocument/2006/relationships/hyperlink" Id="rId79" Target="https://doi.org/10.1016/j.actaastro.2024.05.022" TargetMode="External" /><Relationship Type="http://schemas.openxmlformats.org/officeDocument/2006/relationships/hyperlink" Id="rId81" Target="https://doi.org/10.1016/j.actaastro.2025.02.004" TargetMode="External" /><Relationship Type="http://schemas.openxmlformats.org/officeDocument/2006/relationships/hyperlink" Id="rId71" Target="https://doi.org/10.1016/j.actaastro.2025.05.008" TargetMode="External" /><Relationship Type="http://schemas.openxmlformats.org/officeDocument/2006/relationships/hyperlink" Id="rId69" Target="https://doi.org/10.1016/j.actaastro.2025.07.033" TargetMode="External" /><Relationship Type="http://schemas.openxmlformats.org/officeDocument/2006/relationships/hyperlink" Id="rId83" Target="https://doi.org/10.1016/j.actaastro.2026.02.02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2026-06-27T21:37:51Z</dcterms:created>
  <dcterms:modified xsi:type="dcterms:W3CDTF">2026-06-27T21:37:51Z</dcterms:modified>
</cp:coreProperties>
</file>

<file path=docProps/custom.xml><?xml version="1.0" encoding="utf-8"?>
<Properties xmlns="http://schemas.openxmlformats.org/officeDocument/2006/custom-properties" xmlns:vt="http://schemas.openxmlformats.org/officeDocument/2006/docPropsVTypes"/>
</file>