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CARRYING CAPACITY OF A LUNAR SETTLEMENT: AN EMPIRICAL CLOSURE-RATE MODEL FOR LIFE SUPPORT</w:t>
      </w:r>
    </w:p>
    <w:p>
      <w:pPr>
        <w:jc w:val="center"/>
      </w:pPr>
    </w:p>
    <w:p>
      <w:pPr>
        <w:jc w:val="center"/>
      </w:pPr>
      <w:r>
        <w:rPr>
          <w:rFonts w:ascii="Times New Roman" w:hAnsi="Times New Roman"/>
          <w:sz w:val="24"/>
        </w:rPr>
        <w:t>by</w:t>
      </w:r>
    </w:p>
    <w:p>
      <w:pPr>
        <w:jc w:val="center"/>
      </w:pPr>
      <w:r>
        <w:rPr>
          <w:rFonts w:ascii="Times New Roman" w:hAnsi="Times New Roman"/>
          <w:b/>
          <w:sz w:val="28"/>
        </w:rPr>
        <w:t>Lena Nair</w:t>
      </w:r>
    </w:p>
    <w:p>
      <w:pPr>
        <w:jc w:val="center"/>
      </w:pPr>
      <w:r>
        <w:rPr>
          <w:rFonts w:ascii="Times New Roman" w:hAnsi="Times New Roman"/>
          <w:sz w:val="24"/>
        </w:rPr>
        <w:t>1B-LUN-142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3" w:name="chapter-1.-introduction"/>
    <w:p>
      <w:pPr>
        <w:pStyle w:val="Heading1"/>
        <w:spacing w:line="480" w:lineRule="auto"/>
      </w:pPr>
      <w:r>
        <w:t xml:space="preserve">Chapter 1. Introduction</w:t>
      </w:r>
    </w:p>
    <w:p>
      <w:pPr>
        <w:pStyle w:val="FirstParagraph"/>
        <w:spacing w:line="480" w:lineRule="auto"/>
      </w:pPr>
      <w:r>
        <w:t xml:space="preserve">Aspiration alone cannot size a lunar settlement. How many people the Moon can host depends on three quantities working against each other: consumable mass recovered on site, consumable mass substituted by local resources, and consumable mass that still has to arrive by rocket. Frame those three together and you have what the prospectus calls a closure-rate problem. This dissertation finishes that framing, but it insists on an earlier step. Before anyone converts sub-loop numbers into a crew ceiling, the closure literature itself has to be measured. Forty Acta metadata records anchor that measurement, and the two empirical papers use them to test citation uptake and age-dependent attention across lunar closure-relevant research</w:t>
      </w:r>
      <w:r>
        <w:t xml:space="preserve"> </w:t>
      </w:r>
      <w:hyperlink w:anchor="ref-11">
        <w:r>
          <w:rPr>
            <w:rStyle w:val="Hyperlink"/>
          </w:rPr>
          <w:t xml:space="preserve">[11]</w:t>
        </w:r>
      </w:hyperlink>
      <w:r>
        <w:t xml:space="preserve">. What follows is not a fabricated closure-rate table. It is the methodological step that has to come before one. Evidence maturity must be audited first; only then can a mass-balance model turn sub-loop values into a defensible crew ceiling. That claim runs through the chapters that follow, developing across literature, theory, data, methods, results, and governance.</w:t>
      </w:r>
    </w:p>
    <w:bookmarkStart w:id="61" w:name="empirical-foundation"/>
    <w:p>
      <w:pPr>
        <w:pStyle w:val="Heading2"/>
        <w:spacing w:line="480" w:lineRule="auto"/>
      </w:pPr>
      <w:r>
        <w:t xml:space="preserve">Empirical Foundation</w:t>
      </w:r>
    </w:p>
    <w:p>
      <w:pPr>
        <w:pStyle w:val="FirstParagraph"/>
        <w:spacing w:line="480" w:lineRule="auto"/>
      </w:pPr>
      <w:r>
        <w:t xml:space="preserve">Carrying capacity on the Moon rests on closure across life-support and resource-utilization sub-loops, and yet the public literature reports no single integrated closure-rate panel. Inventing the missing values would defeat the purpose. So the first paper treats the closure literature itself as its empirical object and asks a narrower question: which parts of that literature have accumulated attention in Acta Astronautica metadata? A paper is the unit of analysis. Its recorded citation count in the local Acta export is the outcome</w:t>
      </w:r>
      <w:r>
        <w:t xml:space="preserve"> </w:t>
      </w:r>
      <w:hyperlink w:anchor="ref-11">
        <w:r>
          <w:rPr>
            <w:rStyle w:val="Hyperlink"/>
          </w:rPr>
          <w:t xml:space="preserve">[11]</w:t>
        </w:r>
      </w:hyperlink>
      <w:r>
        <w:t xml:space="preserve">. Modest as it is, the design earns its keep. Any carrying-capacity model leans on evidence drawn from BLSS, urine water and nitrogen recovery, photobioreactors, lunar oxygen extraction, regolith processing, and food-system integration</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Suppose citation uptake pools in a few of those sub-loop literatures and thins out in the rest. A system-level closure model built on that base would then inherit an uneven foundation without anyone noticing. To probe for that unevenness, the paper estimates whether paper age, ISRU orientation, and life-support orientation track with citation counts across a forty-paper Acta sample.</w:t>
      </w:r>
    </w:p>
    <w:p>
      <w:pPr>
        <w:pStyle w:val="BodyText"/>
        <w:spacing w:line="480" w:lineRule="auto"/>
        <w:ind w:firstLine="720"/>
      </w:pPr>
      <w:r>
        <w:t xml:space="preserve">Read the OLS results as directional, not decisive. Paper age carries a positive coefficient of 7.6293, a robust standard error of 3.9996, and a p-value of 0.0565. The ISRU indicator lands at 22.8750 with a robust standard error of 14.0730 and a p-value of 0.1041. The life-support indicator comes in negative at -12.3731, with a robust standard error of 10.8055 and a p-value of 0.2522. Model R-squared is 0.3031.</w:t>
      </w:r>
    </w:p>
    <w:bookmarkEnd w:id="61"/>
    <w:bookmarkStart w:id="62" w:name="citation-age-companion"/>
    <w:p>
      <w:pPr>
        <w:pStyle w:val="Heading2"/>
        <w:spacing w:line="480" w:lineRule="auto"/>
      </w:pPr>
      <w:r>
        <w:t xml:space="preserve">Citation-Age Companion</w:t>
      </w:r>
    </w:p>
    <w:p>
      <w:pPr>
        <w:pStyle w:val="FirstParagraph"/>
        <w:spacing w:line="480" w:lineRule="auto"/>
      </w:pPr>
      <w:r>
        <w:t xml:space="preserve">A lunar carrying-capacity model needs current technical evidence, but current and mature are not the same thing. A recent paper can introduce an essential mechanism years before the field has had time to cite it or test it. The second paper estimates citation accumulation in the same 40-record Acta sample that anchors Paper 1. Its dependent variable is citation count plus one; its predictor is paper age plus one. That plus-one transformation is what lets recent papers with zero citations survive a log-log fit</w:t>
      </w:r>
      <w:r>
        <w:t xml:space="preserve"> </w:t>
      </w:r>
      <w:hyperlink w:anchor="ref-11">
        <w:r>
          <w:rPr>
            <w:rStyle w:val="Hyperlink"/>
          </w:rPr>
          <w:t xml:space="preserve">[11]</w:t>
        </w:r>
      </w:hyperlink>
      <w:r>
        <w:t xml:space="preserve">.</w:t>
      </w:r>
    </w:p>
    <w:p>
      <w:pPr>
        <w:pStyle w:val="BodyText"/>
        <w:spacing w:line="480" w:lineRule="auto"/>
        <w:ind w:firstLine="720"/>
      </w:pPr>
      <w:r>
        <w:t xml:space="preserve">Does closure-relevant knowledge uptake actually accumulate with time in the metadata? Yes, and strongly. The learning-curve estimator returns an elasticity of 1.4931, a robust standard error of 0.1766, and a p-value of 2.8303e-17. R-squared is 0.6223, and the doubling multiplier is 2.8149. Within this closure-relevant sample, older papers carry substantially more citations-plus-one than newer ones.</w:t>
      </w:r>
    </w:p>
    <w:p>
      <w:pPr>
        <w:pStyle w:val="BodyText"/>
        <w:spacing w:line="480" w:lineRule="auto"/>
        <w:ind w:firstLine="720"/>
      </w:pPr>
      <w:r>
        <w:t xml:space="preserve">That result carries a warning for anyone building a capacity model. Recent lunar photobioreactor, oxygen, food-system, and hybrid ISRU studies may sit at the center of the closure question even while their citation counts stay low</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Citation accumulation is a time-dependent attention process, nothing more. Treat it as a direct proxy for sub-loop closure quality and the model misleads.</w:t>
      </w:r>
    </w:p>
    <w:bookmarkEnd w:id="62"/>
    <w:bookmarkStart w:id="63" w:name="closure-as-carrying-capacity"/>
    <w:p>
      <w:pPr>
        <w:pStyle w:val="Heading2"/>
        <w:spacing w:line="480" w:lineRule="auto"/>
      </w:pPr>
      <w:r>
        <w:t xml:space="preserve">Closure as Carrying Capacity</w:t>
      </w:r>
    </w:p>
    <w:p>
      <w:pPr>
        <w:pStyle w:val="FirstParagraph"/>
        <w:spacing w:line="480" w:lineRule="auto"/>
      </w:pPr>
      <w:r>
        <w:t xml:space="preserve">Before it is an architectural ambition, a lunar crew ceiling is a mass-balance problem. Water, oxygen, nitrogen, edible biomass, and atmosphere each have to be recovered, substituted, or resupplied. Volume and power do not feed a crew on their own, which is why the prospectus names closure as the binding variable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In this opening chapter, that recognition sets the problem, states the contribution, and lays out the roadmap. It also fixes a stance the rest of the dissertation holds to: the literature is an evidence system, not a catalogue of promising technologies. Tie that stance back to the original carrying-capacity question and its usefulness becomes plain. Metadata will never stand in for measured closure rates. What it can do is show where the evidence base runs strong, where it runs recent, and where it runs thin. A closure model that hides such unevenness starts to mislead its own readers. Keeping three things apart, technical relevance, citation maturity, and measurement comparability, is how this chapter guards against that.</w:t>
      </w:r>
    </w:p>
    <w:p>
      <w:pPr>
        <w:pStyle w:val="BodyText"/>
        <w:spacing w:line="480" w:lineRule="auto"/>
        <w:ind w:firstLine="720"/>
      </w:pPr>
      <w:r>
        <w:t xml:space="preserve">A defensible n-star estimate has to reveal which sub-loop carries the uncertainty. Bury that and a crew-size target can look rigorously technical while resting on weak evidence. Policy inherits the same discipline. A lunar outpost architecture should say plainly which parts of its crew-capacity claim rest on experiments, which on reviews, which on planning priors, and which on assumptions no one has yet tested.</w:t>
      </w:r>
    </w:p>
    <w:p>
      <w:pPr>
        <w:pStyle w:val="BodyText"/>
        <w:spacing w:line="480" w:lineRule="auto"/>
        <w:ind w:firstLine="720"/>
      </w:pPr>
      <w:r>
        <w:t xml:space="preserve">The chapter also flags a data requirement for the future. Each closure observation should eventually carry its unit, duration, analog environment, crew equivalent, uncertainty, and DOI. Metadata opens the work; it does not close it.</w:t>
      </w:r>
    </w:p>
    <w:bookmarkEnd w:id="63"/>
    <w:bookmarkStart w:id="64" w:name="sub-loop-heterogeneity"/>
    <w:p>
      <w:pPr>
        <w:pStyle w:val="Heading2"/>
        <w:spacing w:line="480" w:lineRule="auto"/>
      </w:pPr>
      <w:r>
        <w:t xml:space="preserve">Sub-loop Heterogeneity</w:t>
      </w:r>
    </w:p>
    <w:p>
      <w:pPr>
        <w:pStyle w:val="FirstParagraph"/>
        <w:spacing w:line="480" w:lineRule="auto"/>
      </w:pPr>
      <w:r>
        <w:t xml:space="preserve">Lumping BLSS, urine recycling, regolith oxygen extraction, photobioreactors, food systems, and ISRU manufacturing into one category hides how different they are. Each produces its own variables, runs on its own time scale, and carries its own uncertainty profile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That heterogeneity is exactly why the argument treats the literature as an evidence system rather than a list of candidate technologies.</w:t>
      </w:r>
    </w:p>
    <w:p>
      <w:pPr>
        <w:pStyle w:val="BodyText"/>
        <w:spacing w:line="480" w:lineRule="auto"/>
        <w:ind w:firstLine="720"/>
      </w:pPr>
      <w:r>
        <w:t xml:space="preserve">Heterogeneity is also the reason the papers reach for bibliometric metadata before anything else. Comparable physical closure data simply are not reported consistently from one sub-loop to the next. Where papers report unlike quantities, this dissertation refuses to manufacture comparable closure rates, and it treats evidence mapping as the prerequisite to any synthesis. The policy consequence follows directly: a lunar outpost architecture should separate what its experiments show from what its reviews assert, what its planning priors assume, and what remains untested.</w:t>
      </w:r>
    </w:p>
    <w:p>
      <w:pPr>
        <w:pStyle w:val="BodyText"/>
        <w:spacing w:line="480" w:lineRule="auto"/>
        <w:ind w:firstLine="720"/>
      </w:pPr>
      <w:r>
        <w:t xml:space="preserve">Here too the future-data requirement holds. Unit, duration, analog environment, crew equivalent, uncertainty, and DOI belong on every closure observation once physical values are extracted.</w:t>
      </w:r>
    </w:p>
    <w:bookmarkEnd w:id="64"/>
    <w:bookmarkStart w:id="65" w:name="in-situ-hardware-manufacture"/>
    <w:p>
      <w:pPr>
        <w:pStyle w:val="Heading2"/>
        <w:spacing w:line="480" w:lineRule="auto"/>
      </w:pPr>
      <w:r>
        <w:t xml:space="preserve">In-situ Hardware Manufacture</w:t>
      </w:r>
    </w:p>
    <w:p>
      <w:pPr>
        <w:pStyle w:val="FirstParagraph"/>
        <w:spacing w:line="480" w:lineRule="auto"/>
      </w:pPr>
      <w:r>
        <w:t xml:space="preserve">Manufacturing a photobioreactor on the Moon rewrites the closure equation, because the closure equipment stops being entirely imported and becomes partly local</w:t>
      </w:r>
      <w:r>
        <w:t xml:space="preserve"> </w:t>
      </w:r>
      <w:hyperlink w:anchor="ref-1">
        <w:r>
          <w:rPr>
            <w:rStyle w:val="Hyperlink"/>
          </w:rPr>
          <w:t xml:space="preserve">[1]</w:t>
        </w:r>
      </w:hyperlink>
      <w:r>
        <w:t xml:space="preserve">,</w:t>
      </w:r>
      <w:r>
        <w:t xml:space="preserve"> </w:t>
      </w:r>
      <w:hyperlink w:anchor="ref-12">
        <w:r>
          <w:rPr>
            <w:rStyle w:val="Hyperlink"/>
          </w:rPr>
          <w:t xml:space="preserve">[12]</w:t>
        </w:r>
      </w:hyperlink>
      <w:r>
        <w:t xml:space="preserve">. That single shift links two literatures usually kept apart, BLSS and ISRU. A biological loop is never only biochemistry; it is also hardware that has to be built, maintained, and eventually replaced.</w:t>
      </w:r>
    </w:p>
    <w:p>
      <w:pPr>
        <w:pStyle w:val="BodyText"/>
        <w:spacing w:line="480" w:lineRule="auto"/>
        <w:ind w:firstLine="720"/>
      </w:pPr>
      <w:r>
        <w:t xml:space="preserve">Where the hardware comes from changes the crew ceiling. An architecture that assumes every life-support unit arrives from Earth behaves differently from one that allows local manufacture, repair, and replacement. The distinction is not academic. A lunar outpost architecture should state which parts of its crew-capacity claim rest on experiments, which on reviews, which on planning priors, and which on untested assumptions, and the manufacturing question sharpens each of those categories. As with every sub-loop, the eventual closure record should carry unit, duration, analog environment, crew equivalent, uncertainty, and DOI.</w:t>
      </w:r>
    </w:p>
    <w:bookmarkEnd w:id="65"/>
    <w:bookmarkStart w:id="66" w:name="oxygen-and-regolith-processing"/>
    <w:p>
      <w:pPr>
        <w:pStyle w:val="Heading2"/>
        <w:spacing w:line="480" w:lineRule="auto"/>
      </w:pPr>
      <w:r>
        <w:t xml:space="preserve">Oxygen and Regolith Processing</w:t>
      </w:r>
    </w:p>
    <w:p>
      <w:pPr>
        <w:pStyle w:val="FirstParagraph"/>
        <w:spacing w:line="480" w:lineRule="auto"/>
      </w:pPr>
      <w:r>
        <w:t xml:space="preserve">Regolith oxygen extraction, particle classification, and hybrid ISRU plants tie crew consumables to local material flows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 This is one of the major substitution pathways, and it is easy to overstate. Oxygen supports both life support and propulsion, yet extraction yield on its own closes none of the water, nitrogen, food, or trace-contaminant loops.</w:t>
      </w:r>
    </w:p>
    <w:p>
      <w:pPr>
        <w:pStyle w:val="BodyText"/>
        <w:spacing w:line="480" w:lineRule="auto"/>
        <w:ind w:firstLine="720"/>
      </w:pPr>
      <w:r>
        <w:t xml:space="preserve">For that reason, governance and architecture decisions should stop treating oxygen ISRU as shorthand for life-support closure. The two are not synonyms, and conflating them inflates the apparent crew ceiling. A lunar outpost architecture should keep the categories honest: experiments here, reviews there, planning priors and untested assumptions each flagged for what they are. Every extracted value, oxygen included, should carry unit, duration, analog environment, crew equivalent, uncertainty, and DOI.</w:t>
      </w:r>
    </w:p>
    <w:bookmarkEnd w:id="66"/>
    <w:bookmarkStart w:id="67" w:name="biological-and-food-loops"/>
    <w:p>
      <w:pPr>
        <w:pStyle w:val="Heading2"/>
        <w:spacing w:line="480" w:lineRule="auto"/>
      </w:pPr>
      <w:r>
        <w:t xml:space="preserve">Biological and Food Loops</w:t>
      </w:r>
    </w:p>
    <w:p>
      <w:pPr>
        <w:pStyle w:val="FirstParagraph"/>
        <w:spacing w:line="480" w:lineRule="auto"/>
      </w:pPr>
      <w:r>
        <w:t xml:space="preserve">Phototrophic microorganisms, crop systems, food-system integration, urine recycling, and microbiome evidence root closure in biology rather than hardware alone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This is where bioregenerative carrying capacity actually lives. It is also where the uncertainty concentrates, because analog transfer, partial gravity, dust, mission duration, and crew health all bear on whether a biological loop holds.</w:t>
      </w:r>
    </w:p>
    <w:p>
      <w:pPr>
        <w:pStyle w:val="BodyText"/>
        <w:spacing w:line="480" w:lineRule="auto"/>
        <w:ind w:firstLine="720"/>
      </w:pPr>
      <w:r>
        <w:t xml:space="preserve">A serious settlement model has to separate calories, nutrients, water recovery, nitrogen recovery, oxygen production, and the psychological value of real food, rather than folding all of them under one BLSS label. Collapse those distinctions and the closure claim loses its meaning. Policy needs the same granularity: a lunar outpost architecture should mark which parts of the biological claim rest on experiments, which on reviews, which on planning priors, and which on assumptions still awaiting a test. Unit, duration, analog environment, crew equivalent, uncertainty, and DOI belong on each of these observations too.</w:t>
      </w:r>
    </w:p>
    <w:bookmarkEnd w:id="67"/>
    <w:bookmarkStart w:id="68" w:name="evidence-age-and-citation-uptake"/>
    <w:p>
      <w:pPr>
        <w:pStyle w:val="Heading2"/>
        <w:spacing w:line="480" w:lineRule="auto"/>
      </w:pPr>
      <w:r>
        <w:t xml:space="preserve">Evidence Age and Citation Uptake</w:t>
      </w:r>
    </w:p>
    <w:p>
      <w:pPr>
        <w:pStyle w:val="FirstParagraph"/>
        <w:spacing w:line="480" w:lineRule="auto"/>
      </w:pPr>
      <w:r>
        <w:t xml:space="preserve">Both empirical papers converge on one finding: citation uptake is strongly age-dependent, and that age-related attention can distort how mature newer sub-loop work appears. The effect is concrete in the numbers: a learning-curve elasticity of 1.4931, with a doubling multiplier of 2.8149. Recognizing it keeps the dissertation from the easy error of ranking papers by citation count alone.</w:t>
      </w:r>
    </w:p>
    <w:p>
      <w:pPr>
        <w:pStyle w:val="BodyText"/>
        <w:spacing w:line="480" w:lineRule="auto"/>
        <w:ind w:firstLine="720"/>
      </w:pPr>
      <w:r>
        <w:t xml:space="preserve">Recent work can sit at the technical center of the closure question long before it has had time to gather attention. A closure model that ranks by citations reproduces that bias. So evidence governance has to track publication year, citation count, DOI, sub-loop, and physical variable as separate fields, not as a single fused score. The architecture that consumes such a model should, in turn, mark which parts of its crew-capacity claim rest on experiments, reviews, planning priors, or untested assumptions, and each closure observation should carry unit, duration, analog environment, crew equivalent, uncertainty, and DOI.</w:t>
      </w:r>
    </w:p>
    <w:bookmarkEnd w:id="68"/>
    <w:bookmarkStart w:id="69" w:name="metadata-as-audit-trail"/>
    <w:p>
      <w:pPr>
        <w:pStyle w:val="Heading2"/>
        <w:spacing w:line="480" w:lineRule="auto"/>
      </w:pPr>
      <w:r>
        <w:t xml:space="preserve">Metadata as Audit Trail</w:t>
      </w:r>
    </w:p>
    <w:p>
      <w:pPr>
        <w:pStyle w:val="FirstParagraph"/>
        <w:spacing w:line="480" w:lineRule="auto"/>
      </w:pPr>
      <w:r>
        <w:t xml:space="preserve">DOI-bearing rows, publication years, corpus citation counts, and transparent title-keyword classifications make up the Acta metadata dataset</w:t>
      </w:r>
      <w:r>
        <w:t xml:space="preserve"> </w:t>
      </w:r>
      <w:hyperlink w:anchor="ref-11">
        <w:r>
          <w:rPr>
            <w:rStyle w:val="Hyperlink"/>
          </w:rPr>
          <w:t xml:space="preserve">[11]</w:t>
        </w:r>
      </w:hyperlink>
      <w:r>
        <w:t xml:space="preserve">. Their point is auditability. Anyone can see which papers were counted and how each row was classified, which is the first requirement of an evidence base that hopes to support a crew-capacity claim.</w:t>
      </w:r>
    </w:p>
    <w:p>
      <w:pPr>
        <w:pStyle w:val="BodyText"/>
        <w:spacing w:line="480" w:lineRule="auto"/>
        <w:ind w:firstLine="720"/>
      </w:pPr>
      <w:r>
        <w:t xml:space="preserve">That same discipline extends naturally once physical closure values enter the picture. Every extracted water, oxygen, nitrogen, or biomass value should arrive with its DOI, unit, duration, analog context, and uncertainty attached. Under that rule, a lunar outpost architecture can state honestly which parts of its claim rest on experiments, which on reviews, which on planning priors, and which on untested assumptions. Metadata is where the audit trail begins, not where it ends.</w:t>
      </w:r>
    </w:p>
    <w:bookmarkEnd w:id="69"/>
    <w:bookmarkStart w:id="70" w:name="limits-and-next-data"/>
    <w:p>
      <w:pPr>
        <w:pStyle w:val="Heading2"/>
        <w:spacing w:line="480" w:lineRule="auto"/>
      </w:pPr>
      <w:r>
        <w:t xml:space="preserve">Limits and Next Data</w:t>
      </w:r>
    </w:p>
    <w:p>
      <w:pPr>
        <w:pStyle w:val="FirstParagraph"/>
        <w:spacing w:line="480" w:lineRule="auto"/>
      </w:pPr>
      <w:r>
        <w:t xml:space="preserve">This dissertation makes no claim that metadata equals physical performance. It reaches for metadata precisely because comparable closure-rate tables do not exist across the full sub-loop literature. That is a boundary on inference, and stating it plainly matters. The results diagnose evidence maturity and uptake; they do not deliver a final lunar crew capacity.</w:t>
      </w:r>
    </w:p>
    <w:p>
      <w:pPr>
        <w:pStyle w:val="BodyText"/>
        <w:spacing w:line="480" w:lineRule="auto"/>
        <w:ind w:firstLine="720"/>
      </w:pPr>
      <w:r>
        <w:t xml:space="preserve">What comes next is a hand-extracted closure panel, built with sub-loop variables and their uncertainties, followed by a mass-balance inversion for n-star. Until that panel exists, the policy discipline stands: a lunar outpost architecture should separate experiments from reviews, planning priors from untested assumptions. And every closure observation in the eventual panel should carry unit, duration, analog environment, crew equivalent, uncertainty, and DOI.</w:t>
      </w:r>
    </w:p>
    <w:bookmarkEnd w:id="70"/>
    <w:bookmarkStart w:id="71" w:name="Xbccdc4e716acf5c3632bf24c6f94d2b1173cc6e"/>
    <w:p>
      <w:pPr>
        <w:pStyle w:val="Heading2"/>
        <w:spacing w:line="480" w:lineRule="auto"/>
      </w:pPr>
      <w:r>
        <w:t xml:space="preserve">Evidence Integration Addendum: Integrating evidence before capacity claims</w:t>
      </w:r>
    </w:p>
    <w:p>
      <w:pPr>
        <w:pStyle w:val="FirstParagraph"/>
        <w:spacing w:line="480" w:lineRule="auto"/>
      </w:pPr>
      <w:r>
        <w:t xml:space="preserve">This addendum sharpens the opening framing by making one commitment explicit: evidence has to be integrated before capacity is claimed. No single impressive subsystem can set a lunar carrying capacity, because settlement size is fixed by the tightest coupled limit, not the flashiest component. The real question is whether evidence about photobioreactors, water recovery, regolith oxygen, and settlement logistics can be translated into a claim about safe resident population. That translation demands source traceability, and it demands a record of what each cited source actually supports. A source may back a measured coefficient, a mechanism, a staging assumption, or a governance interpretation, and mixing those roles without saying so corrupts the argument</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The first consequence is that closure rate has to be managed, not chanted like a slogan. A high closure claim means something only when it accounts for inputs, outputs, stores, maintenance, failure behavior, and the standing cost of keeping the loop stable. On the Moon, photobioreactors, water recovery, regolith oxygen, and settlement logistics all draw on shared power, crew time, dust management, spares, and transport. Drop any one of those support functions from the accounting and the capacity gain looks larger than it is. So the chapter treats closure rate as a conditional claim, a bridge from technology evidence to settlement operations, rather than a decorative efficiency figure.</w:t>
      </w:r>
    </w:p>
    <w:p>
      <w:pPr>
        <w:pStyle w:val="BodyText"/>
        <w:spacing w:line="480" w:lineRule="auto"/>
        <w:ind w:firstLine="720"/>
      </w:pPr>
      <w:r>
        <w:t xml:space="preserve">The second consequence reframes source traceability as a safety practice, not clerical housekeeping. When a decision maker asks why a model permits a larger crew, the answer has to point at data rows, cited studies, and visible conversions. An answer that amounts to</w:t>
      </w:r>
      <w:r>
        <w:t xml:space="preserve"> </w:t>
      </w:r>
      <w:r>
        <w:t xml:space="preserve">“the technology looks promising”</w:t>
      </w:r>
      <w:r>
        <w:t xml:space="preserve"> </w:t>
      </w:r>
      <w:r>
        <w:t xml:space="preserve">has already slipped from analysis into advocacy. Traceability keeps the opening argument tethered to what is known, and it hands future reviewers a way to revise the model when a stronger test, a flight demonstration, or a longer surface operation shifts the parameter base</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third consequence is that uncertainty travels forward rather than disappearing. Lunar settlements fuse biology, machinery, materials, logistics, and institutions, and each of those carries its own uncertainty structure. A photobioreactor pathway may wobble on biological stability and environmental translation. A regolith processing pathway may wobble on feedstock variation, power demand, and maintenance. A cislunar logistics pathway may wobble on market timing and launch availability. A useful model keeps all of that visible, then reports how each source of doubt moves the binding constraint.</w:t>
      </w:r>
    </w:p>
    <w:p>
      <w:pPr>
        <w:pStyle w:val="BodyText"/>
        <w:spacing w:line="480" w:lineRule="auto"/>
        <w:ind w:firstLine="720"/>
      </w:pPr>
      <w:r>
        <w:t xml:space="preserve">This lens changes how the chapter reads its own empirical papers. Those papers never claim that citation counts measure engineering readiness. They show how an evidence base gathers attention over time, and why prominence in the literature cannot stand in for operational data. That point is the whole reason to integrate evidence before capacity. If older sources carry more citations, and if topical flags fail to isolate readiness cleanly, then the review has to look past visibility toward measurement completeness, asking which source reports which variable, under what conditions, over what duration, and with what dependence on imported support</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A fourth consequence is phase sensitivity. Phase governs everything here. Early outposts, pilot settlements, and mature settlements will never share one capacity rule. Early on, imported reserves can paper over weak closure, and the analytical task is simply to find the loop worth improving first. In a pilot phase, partial local production lifts the safe crew ceiling only when reserve policy stays conservative. In a mature phase, local production, repair capacity, and institutional redundancy move to the center. Reported honestly, closure rate is therefore a per-phase conditional claim, not a timeless property of the settlement.</w:t>
      </w:r>
    </w:p>
    <w:p>
      <w:pPr>
        <w:pStyle w:val="BodyText"/>
        <w:spacing w:line="480" w:lineRule="auto"/>
        <w:ind w:firstLine="720"/>
      </w:pPr>
      <w:r>
        <w:t xml:space="preserve">With that framing, the chapter hands planners a way to compare investments directly. If water and nitrogen recovery bind, then better biological or chemical recycling evidence moves the capacity range. If oxygen import binds, then regolith oxygen production, storage, and maintenance data carry the most weight. If food binds, then crop and photobioreactor duration, nutrition, harvest reliability, and crew acceptance decide the ceiling. If spare parts bind, then surface fabrication and qualification matter most. Tying each measurement gap to a specific capacity consequence is stronger than any generic call for more research</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same logic guards against double counting. One resource can appear in several subsystems, and one support function can serve several closure loops at once. A greenhouse, a photobioreactor, and a waste processor may all draw on water, power, monitoring, and crew or robotic attention. A regolith oxygen plant and a fabrication system may share excavation, energy, and maintenance infrastructure. Add up their maximum benefits independently and the settlement looks more capable than it is. The overlap hides. Real accounting has to surface it. A disciplined model aggregates only compatible contributions and shows shared dependencies before it raises the population ceiling.</w:t>
      </w:r>
    </w:p>
    <w:p>
      <w:pPr>
        <w:pStyle w:val="BodyText"/>
        <w:spacing w:line="480" w:lineRule="auto"/>
        <w:ind w:firstLine="720"/>
      </w:pPr>
      <w:r>
        <w:t xml:space="preserve">Say less, but say it exactly. For policy and governance, the working standard is conditional clarity. The model should say that a capacity increase follows if the relevant loop performs at the stated level, if the supporting infrastructure is in place, if reserve rules hold, and if the evidence is strong enough for the mission phase in question. That is a less dramatic sentence than a declaration of lunar self-sufficiency. It is also far more useful, because it lets sponsors, partners, and reviewers see exactly where the risk sits and what new evidence would change the answer.</w:t>
      </w:r>
    </w:p>
    <w:p>
      <w:pPr>
        <w:pStyle w:val="BodyText"/>
        <w:spacing w:line="480" w:lineRule="auto"/>
        <w:ind w:firstLine="720"/>
      </w:pPr>
      <w:r>
        <w:t xml:space="preserve">So the addendum feeds the dissertation’s central thesis. Lunar settlement capacity is fixed neither by lunar resources alone nor by Earth launch capacity alone. It emerges from measured closure, local resource services, maintenance capability, reserve policy, and evidence that can be updated. This chapter contributes by showing how integrating evidence before capacity claims connects to closure rate as a conditional claim. Seen that way, source traceability is more than a research method. It is the operating discipline that keeps ambitious cislunar development claims aligned with evidence, safety, and strategic judgment</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w:t>
      </w:r>
    </w:p>
    <w:bookmarkEnd w:id="71"/>
    <w:bookmarkStart w:id="72" w:name="chapter-synthesis"/>
    <w:p>
      <w:pPr>
        <w:pStyle w:val="Heading2"/>
        <w:spacing w:line="480" w:lineRule="auto"/>
      </w:pPr>
      <w:r>
        <w:t xml:space="preserve">Chapter Synthesis</w:t>
      </w:r>
    </w:p>
    <w:p>
      <w:pPr>
        <w:pStyle w:val="FirstParagraph"/>
        <w:spacing w:line="480" w:lineRule="auto"/>
      </w:pPr>
      <w:r>
        <w:t xml:space="preserve">From this premise the roadmap unfolds. Later chapters review the split literature, state the mechanism, define the data, explain the methods, interpret the results, and draw out the governance implications for lunar settlement planning.</w:t>
      </w:r>
    </w:p>
    <w:bookmarkEnd w:id="72"/>
    <w:bookmarkEnd w:id="73"/>
    <w:bookmarkStart w:id="86" w:name="chapter-2.-literature-review"/>
    <w:p>
      <w:pPr>
        <w:pStyle w:val="Heading1"/>
        <w:spacing w:line="480" w:lineRule="auto"/>
      </w:pPr>
      <w:r>
        <w:t xml:space="preserve">Chapter 2. Literature Review</w:t>
      </w:r>
    </w:p>
    <w:p>
      <w:pPr>
        <w:pStyle w:val="FirstParagraph"/>
        <w:spacing w:line="480" w:lineRule="auto"/>
      </w:pPr>
      <w:r>
        <w:t xml:space="preserve">Lunar carrying capacity has a rich literature and a fragmented one. BLSS papers study biological regeneration. ISRU papers study local oxygen and material extraction. Architecture papers describe habitats and logistics, while planning papers set out what a future outpost is expected to do. What none of them supplies is the joined object this dissertation needs: an empirical evidence base that says which sub-loop measurements are comparable and how mature each source has become</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Reading those literatures through closure is what this chapter does. It asks not only which technologies exist, but how their evidence is organized, how it is cited, and whether it is ready to be synthesized.</w:t>
      </w:r>
    </w:p>
    <w:bookmarkStart w:id="74" w:name="empirical-foundation-1"/>
    <w:p>
      <w:pPr>
        <w:pStyle w:val="Heading2"/>
        <w:spacing w:line="480" w:lineRule="auto"/>
      </w:pPr>
      <w:r>
        <w:t xml:space="preserve">Empirical Foundation</w:t>
      </w:r>
    </w:p>
    <w:p>
      <w:pPr>
        <w:pStyle w:val="FirstParagraph"/>
        <w:spacing w:line="480" w:lineRule="auto"/>
      </w:pPr>
      <w:r>
        <w:t xml:space="preserve">Closure-rate modeling stands on sub-loop evidence. A water recovery paper, a photobioreactor manufacturing paper, and an oxygen-extraction paper each speak to a different term in the carrying-capacity equation. Across the Acta literature, those sub-loops turn out to be scientifically active but unevenly integrated. Photobioreactor manufacturing from local lunar resources addresses the hardware that biological closure requires</w:t>
      </w:r>
      <w:r>
        <w:t xml:space="preserve"> </w:t>
      </w:r>
      <w:hyperlink w:anchor="ref-12">
        <w:r>
          <w:rPr>
            <w:rStyle w:val="Hyperlink"/>
          </w:rPr>
          <w:t xml:space="preserve">[12]</w:t>
        </w:r>
      </w:hyperlink>
      <w:r>
        <w:t xml:space="preserve">. Oxygen extraction from regolith addresses a major consumable and propellant stream</w:t>
      </w:r>
      <w:r>
        <w:t xml:space="preserve"> </w:t>
      </w:r>
      <w:hyperlink w:anchor="ref-13">
        <w:r>
          <w:rPr>
            <w:rStyle w:val="Hyperlink"/>
          </w:rPr>
          <w:t xml:space="preserve">[13]</w:t>
        </w:r>
      </w:hyperlink>
      <w:r>
        <w:t xml:space="preserve">. BLSS microorganism and urine-recycling studies address the biological and chemical cycling underneath both</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Citation uptake measures attention and reuse, not truth. Older papers have simply had more time to gather citations. ISRU papers may draw attention because local-resource extraction sits at the center of settlement architecture, and life-support papers may draw it when they connect directly to sustained crew operations. Against that backdrop the null hypothesis is straightforward: paper age, ISRU orientation, and life-support orientation bear no association with citation count. The alternative is that at least one of those terms does, which would mark uneven uptake across the closure sub-loop literatures.</w:t>
      </w:r>
    </w:p>
    <w:p>
      <w:pPr>
        <w:pStyle w:val="BodyText"/>
        <w:spacing w:line="480" w:lineRule="auto"/>
        <w:ind w:firstLine="720"/>
      </w:pPr>
      <w:r>
        <w:t xml:space="preserve">Why should any of this touch carrying capacity? Because an integrated closure-rate model is only ever as strong as its empirical sub-loops. A high-citation sub-loop has accumulated more scrutiny; a low-citation one may be technically important and still immature as an evidence base. The two conditions are easy to confuse and costly to conflate.</w:t>
      </w:r>
    </w:p>
    <w:bookmarkEnd w:id="74"/>
    <w:bookmarkStart w:id="75" w:name="citation-accumulation-literature"/>
    <w:p>
      <w:pPr>
        <w:pStyle w:val="Heading2"/>
        <w:spacing w:line="480" w:lineRule="auto"/>
      </w:pPr>
      <w:r>
        <w:t xml:space="preserve">Citation Accumulation Literature</w:t>
      </w:r>
    </w:p>
    <w:p>
      <w:pPr>
        <w:pStyle w:val="FirstParagraph"/>
        <w:spacing w:line="480" w:lineRule="auto"/>
      </w:pPr>
      <w:r>
        <w:t xml:space="preserve">People reach for citation counts as an informal proxy for maturity. In a fast-moving lunar settlement literature, that habit misleads. A 2016 urine recovery paper has had years to accumulate citations that a 2025 photobioreactor manufacturing paper has not, even when the newer paper speaks more directly to lunar in-situ closure</w:t>
      </w:r>
      <w:r>
        <w:t xml:space="preserve"> </w:t>
      </w:r>
      <w:hyperlink w:anchor="ref-12">
        <w:r>
          <w:rPr>
            <w:rStyle w:val="Hyperlink"/>
          </w:rPr>
          <w:t xml:space="preserve">[12]</w:t>
        </w:r>
      </w:hyperlink>
      <w:r>
        <w:t xml:space="preserve">,</w:t>
      </w:r>
      <w:r>
        <w:t xml:space="preserve"> </w:t>
      </w:r>
      <w:hyperlink w:anchor="ref-16">
        <w:r>
          <w:rPr>
            <w:rStyle w:val="Hyperlink"/>
          </w:rPr>
          <w:t xml:space="preserve">[16]</w:t>
        </w:r>
      </w:hyperlink>
      <w:r>
        <w:t xml:space="preserve">. A 2026 food-system review may be central to integrated carrying capacity and still too new to show a high count</w:t>
      </w:r>
      <w:r>
        <w:t xml:space="preserve"> </w:t>
      </w:r>
      <w:hyperlink w:anchor="ref-19">
        <w:r>
          <w:rPr>
            <w:rStyle w:val="Hyperlink"/>
          </w:rPr>
          <w:t xml:space="preserve">[19]</w:t>
        </w:r>
      </w:hyperlink>
      <w:r>
        <w:t xml:space="preserve">.</w:t>
      </w:r>
    </w:p>
    <w:p>
      <w:pPr>
        <w:pStyle w:val="BodyText"/>
        <w:spacing w:line="480" w:lineRule="auto"/>
        <w:ind w:firstLine="720"/>
      </w:pPr>
      <w:r>
        <w:t xml:space="preserve">Theory predicts positive citation accumulation with age. Stated formally, the null hypothesis holds that the elasticity of citations-plus-one with respect to paper-age-plus-one is zero; the alternative holds that it is positive. The test makes no claim that older papers are better. It claims only that attention accumulates with time, which is enough to force a distinction modelers often skip: maturity is not recency, and closure evidence has to be selected with both in view.</w:t>
      </w:r>
    </w:p>
    <w:p>
      <w:pPr>
        <w:pStyle w:val="BodyText"/>
        <w:spacing w:line="480" w:lineRule="auto"/>
        <w:ind w:firstLine="720"/>
      </w:pPr>
      <w:r>
        <w:t xml:space="preserve">That distinction runs to the core of the dissertation. Calibrate a crew ceiling from high-citation papers alone and it underweights recent ISRU and BLSS integration work. Calibrate it from novelty alone and it overstates untested technologies. A log-log citation accumulation model supplies a quantitative correction to both errors at once.</w:t>
      </w:r>
    </w:p>
    <w:bookmarkEnd w:id="75"/>
    <w:bookmarkStart w:id="76" w:name="closure-as-carrying-capacity-1"/>
    <w:p>
      <w:pPr>
        <w:pStyle w:val="Heading2"/>
        <w:spacing w:line="480" w:lineRule="auto"/>
      </w:pPr>
      <w:r>
        <w:t xml:space="preserve">Closure as Carrying Capacity</w:t>
      </w:r>
    </w:p>
    <w:p>
      <w:pPr>
        <w:pStyle w:val="FirstParagraph"/>
        <w:spacing w:line="480" w:lineRule="auto"/>
      </w:pPr>
      <w:r>
        <w:t xml:space="preserve">Before it is an architectural ambition, a lunar crew ceiling is a mass-balance problem. Water, oxygen, nitrogen, edible biomass, and atmosphere each have to be recovered, substituted, or resupplied, because volume and power do not feed a crew on their own. That is why the prospectus names closure as the binding variable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In this review chapter, that recognition joins the BLSS, ISRU, food-system, architecture, and evidence-governance literatures into a single frame, one that treats the literature as an evidence system rather than a list of promising technologies.</w:t>
      </w:r>
    </w:p>
    <w:p>
      <w:pPr>
        <w:pStyle w:val="BodyText"/>
        <w:spacing w:line="480" w:lineRule="auto"/>
        <w:ind w:firstLine="720"/>
      </w:pPr>
      <w:r>
        <w:t xml:space="preserve">Tie that frame back to the original question and the payoff is clear. Metadata cannot replace measured closure rates, yet it can show where the evidence base runs strong, where it runs recent, and where it runs thin. Hide that unevenness and a closure model starts to mislead. Keeping technical relevance, citation maturity, and measurement comparability apart is how the review stays honest.</w:t>
      </w:r>
    </w:p>
    <w:p>
      <w:pPr>
        <w:pStyle w:val="BodyText"/>
        <w:spacing w:line="480" w:lineRule="auto"/>
        <w:ind w:firstLine="720"/>
      </w:pPr>
      <w:r>
        <w:t xml:space="preserve">A defensible n-star estimate has to reveal which sub-loop carries the uncertainty; otherwise a crew-size target can look technical while resting on weak evidence. The policy consequence is identical in shape. A lunar outpost architecture should say plainly which parts of its crew-capacity claim rest on experiments, which on reviews, which on planning priors, and which on assumptions no one has yet tested. Each eventual closure observation should carry unit, duration, analog environment, crew equivalent, uncertainty, and DOI.</w:t>
      </w:r>
    </w:p>
    <w:bookmarkEnd w:id="76"/>
    <w:bookmarkStart w:id="77" w:name="sub-loop-heterogeneity-1"/>
    <w:p>
      <w:pPr>
        <w:pStyle w:val="Heading2"/>
        <w:spacing w:line="480" w:lineRule="auto"/>
      </w:pPr>
      <w:r>
        <w:t xml:space="preserve">Sub-loop Heterogeneity</w:t>
      </w:r>
    </w:p>
    <w:p>
      <w:pPr>
        <w:pStyle w:val="FirstParagraph"/>
        <w:spacing w:line="480" w:lineRule="auto"/>
      </w:pPr>
      <w:r>
        <w:t xml:space="preserve">Treating BLSS, urine recycling, regolith oxygen extraction, photobioreactors, food systems, and ISRU manufacturing as one technology obscures how differently they behave. Each produces its own variables, on its own time scale, with its own uncertainty profile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Reading them as an evidence system, rather than a shopping list, is the only way to keep those differences visible.</w:t>
      </w:r>
    </w:p>
    <w:p>
      <w:pPr>
        <w:pStyle w:val="BodyText"/>
        <w:spacing w:line="480" w:lineRule="auto"/>
        <w:ind w:firstLine="720"/>
      </w:pPr>
      <w:r>
        <w:t xml:space="preserve">That heterogeneity is exactly why the empirical papers start from bibliometric metadata. Physical closure data are not reported consistently from one sub-loop to the next, so this dissertation refuses to invent comparable closure rates where the papers report unlike quantities, and it treats evidence mapping as the prerequisite to synthesis. Policy inherits the discipline directly: a lunar outpost architecture should separate what experiments show from what reviews assert, planning priors from untested assumptions. Unit, duration, analog environment, crew equivalent, uncertainty, and DOI belong on each closure observation once physical values are extracted.</w:t>
      </w:r>
    </w:p>
    <w:bookmarkEnd w:id="77"/>
    <w:bookmarkStart w:id="78" w:name="in-situ-hardware-manufacture-1"/>
    <w:p>
      <w:pPr>
        <w:pStyle w:val="Heading2"/>
        <w:spacing w:line="480" w:lineRule="auto"/>
      </w:pPr>
      <w:r>
        <w:t xml:space="preserve">In-situ Hardware Manufacture</w:t>
      </w:r>
    </w:p>
    <w:p>
      <w:pPr>
        <w:pStyle w:val="FirstParagraph"/>
        <w:spacing w:line="480" w:lineRule="auto"/>
      </w:pPr>
      <w:r>
        <w:t xml:space="preserve">Manufacturing a photobioreactor on the Moon changes the closure model, because the closure equipment itself becomes partly local instead of entirely imported</w:t>
      </w:r>
      <w:r>
        <w:t xml:space="preserve"> </w:t>
      </w:r>
      <w:hyperlink w:anchor="ref-1">
        <w:r>
          <w:rPr>
            <w:rStyle w:val="Hyperlink"/>
          </w:rPr>
          <w:t xml:space="preserve">[1]</w:t>
        </w:r>
      </w:hyperlink>
      <w:r>
        <w:t xml:space="preserve">,</w:t>
      </w:r>
      <w:r>
        <w:t xml:space="preserve"> </w:t>
      </w:r>
      <w:hyperlink w:anchor="ref-12">
        <w:r>
          <w:rPr>
            <w:rStyle w:val="Hyperlink"/>
          </w:rPr>
          <w:t xml:space="preserve">[12]</w:t>
        </w:r>
      </w:hyperlink>
      <w:r>
        <w:t xml:space="preserve">. That shift links two literatures usually held apart, BLSS and ISRU. A biological loop is never only a biochemical process; it is also a hardware and maintenance problem that has to be planned for.</w:t>
      </w:r>
    </w:p>
    <w:p>
      <w:pPr>
        <w:pStyle w:val="BodyText"/>
        <w:spacing w:line="480" w:lineRule="auto"/>
        <w:ind w:firstLine="720"/>
      </w:pPr>
      <w:r>
        <w:t xml:space="preserve">Where the hardware originates alters the crew ceiling. An architecture that assumes imported life-support hardware behaves differently from one that permits local manufacture, repair, and replacement. So a lunar outpost architecture should mark which parts of its crew-capacity claim rest on experiments, which on reviews, which on planning priors, and which on untested assumptions, and the manufacturing question sharpens each category. Every eventual closure observation should still carry unit, duration, analog environment, crew equivalent, uncertainty, and DOI.</w:t>
      </w:r>
    </w:p>
    <w:bookmarkEnd w:id="78"/>
    <w:bookmarkStart w:id="79" w:name="oxygen-and-regolith-processing-1"/>
    <w:p>
      <w:pPr>
        <w:pStyle w:val="Heading2"/>
        <w:spacing w:line="480" w:lineRule="auto"/>
      </w:pPr>
      <w:r>
        <w:t xml:space="preserve">Oxygen and Regolith Processing</w:t>
      </w:r>
    </w:p>
    <w:p>
      <w:pPr>
        <w:pStyle w:val="FirstParagraph"/>
        <w:spacing w:line="480" w:lineRule="auto"/>
      </w:pPr>
      <w:r>
        <w:t xml:space="preserve">Regolith oxygen extraction, particle classification, and hybrid ISRU plants connect crew consumables to local material flows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 This is a major substitution pathway, and one that invites overstatement. Oxygen serves both life support and propulsion, yet extraction yield on its own closes neither the water, the nitrogen, the food, nor the trace-contaminant loops.</w:t>
      </w:r>
    </w:p>
    <w:p>
      <w:pPr>
        <w:pStyle w:val="BodyText"/>
        <w:spacing w:line="480" w:lineRule="auto"/>
        <w:ind w:firstLine="720"/>
      </w:pPr>
      <w:r>
        <w:t xml:space="preserve">Governance and architecture decisions should therefore stop treating oxygen ISRU as a synonym for life-support closure, since conflating them inflates the apparent crew ceiling. A lunar outpost architecture should keep the categories separate, experiments here, reviews there, planning priors and untested assumptions each flagged for what they are, and each extracted value should carry unit, duration, analog environment, crew equivalent, uncertainty, and DOI.</w:t>
      </w:r>
    </w:p>
    <w:bookmarkEnd w:id="79"/>
    <w:bookmarkStart w:id="80" w:name="biological-and-food-loops-1"/>
    <w:p>
      <w:pPr>
        <w:pStyle w:val="Heading2"/>
        <w:spacing w:line="480" w:lineRule="auto"/>
      </w:pPr>
      <w:r>
        <w:t xml:space="preserve">Biological and Food Loops</w:t>
      </w:r>
    </w:p>
    <w:p>
      <w:pPr>
        <w:pStyle w:val="FirstParagraph"/>
        <w:spacing w:line="480" w:lineRule="auto"/>
      </w:pPr>
      <w:r>
        <w:t xml:space="preserve">Phototrophic microorganisms, crop systems, food-system integration, urine recycling, and microbiome evidence root closure in biology rather than hardware alone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This is where bioregenerative carrying capacity actually lives, and also where its uncertainty concentrates, because analog transfer, partial gravity, dust, mission duration, and crew health all bear on whether a biological loop holds.</w:t>
      </w:r>
    </w:p>
    <w:p>
      <w:pPr>
        <w:pStyle w:val="BodyText"/>
        <w:spacing w:line="480" w:lineRule="auto"/>
        <w:ind w:firstLine="720"/>
      </w:pPr>
      <w:r>
        <w:t xml:space="preserve">A serious settlement model separates calories, nutrients, water recovery, nitrogen recovery, oxygen production, and the psychological value of real food rather than folding them under one BLSS label. Collapse those distinctions and the closure claim loses its meaning. A lunar outpost architecture needs the same granularity, marking which parts of the biological claim rest on experiments, reviews, planning priors, or untested assumptions, with unit, duration, analog environment, crew equivalent, uncertainty, and DOI on each observation.</w:t>
      </w:r>
    </w:p>
    <w:bookmarkEnd w:id="80"/>
    <w:bookmarkStart w:id="81" w:name="delphi-and-planning-priors"/>
    <w:p>
      <w:pPr>
        <w:pStyle w:val="Heading2"/>
        <w:spacing w:line="480" w:lineRule="auto"/>
      </w:pPr>
      <w:r>
        <w:t xml:space="preserve">Delphi and Planning Priors</w:t>
      </w:r>
    </w:p>
    <w:p>
      <w:pPr>
        <w:pStyle w:val="FirstParagraph"/>
        <w:spacing w:line="480" w:lineRule="auto"/>
      </w:pPr>
      <w:r>
        <w:t xml:space="preserve">The ISRU Delphi survey offers expert expectations for a 2040 lunar outpost, but expert priors are not measured closure rates</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Distinguishing the two is what keeps planning concepts in their proper place. They supply reference cases and assumptions; they do not supply observed system closure.</w:t>
      </w:r>
    </w:p>
    <w:p>
      <w:pPr>
        <w:pStyle w:val="BodyText"/>
        <w:spacing w:line="480" w:lineRule="auto"/>
        <w:ind w:firstLine="720"/>
      </w:pPr>
      <w:r>
        <w:t xml:space="preserve">For that reason the dissertation uses Delphi evidence as context around crew-size claims while keeping the empirical metadata and estimator results firmly separate. Blur the boundary and a closure model starts to mislead. A lunar outpost architecture should therefore say which parts of its crew-capacity claim rest on experiments, which on reviews, which on planning priors such as these, and which on untested assumptions, with unit, duration, analog environment, crew equivalent, uncertainty, and DOI recorded on each closure observation.</w:t>
      </w:r>
    </w:p>
    <w:bookmarkEnd w:id="81"/>
    <w:bookmarkStart w:id="82" w:name="cislunar-system-context"/>
    <w:p>
      <w:pPr>
        <w:pStyle w:val="Heading2"/>
        <w:spacing w:line="480" w:lineRule="auto"/>
      </w:pPr>
      <w:r>
        <w:t xml:space="preserve">Cislunar System Context</w:t>
      </w:r>
    </w:p>
    <w:p>
      <w:pPr>
        <w:pStyle w:val="FirstParagraph"/>
        <w:spacing w:line="480" w:lineRule="auto"/>
      </w:pPr>
      <w:r>
        <w:t xml:space="preserve">Carrying capacity does not sit in isolation; it interacts with cislunar logistics, resource industries, and infrastructure scenarios</w:t>
      </w:r>
      <w:r>
        <w:t xml:space="preserve"> </w:t>
      </w:r>
      <w:hyperlink w:anchor="ref-10">
        <w:r>
          <w:rPr>
            <w:rStyle w:val="Hyperlink"/>
          </w:rPr>
          <w:t xml:space="preserve">[10]</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 A settlement is not a sealed habitat but a node in a supply chain, and reading it that way joins closure to the wider lunar economy.</w:t>
      </w:r>
    </w:p>
    <w:p>
      <w:pPr>
        <w:pStyle w:val="BodyText"/>
        <w:spacing w:line="480" w:lineRule="auto"/>
        <w:ind w:firstLine="720"/>
      </w:pPr>
      <w:r>
        <w:t xml:space="preserve">Lower resupply mass ripples outward. It changes launch demand, surface logistics, pad design, and maintenance requirements, which is why a closure-rate model is a governance tool as much as an engineering one: it sets how much external infrastructure a settlement actually needs. Conceal the uncertainty in that model and the whole supply chain inherits the error. A lunar outpost architecture should therefore separate experiments from reviews, planning priors from untested assumptions, and carry unit, duration, analog environment, crew equivalent, uncertainty, and DOI on each observation.</w:t>
      </w:r>
    </w:p>
    <w:bookmarkEnd w:id="82"/>
    <w:bookmarkStart w:id="83" w:name="metadata-as-audit-trail-1"/>
    <w:p>
      <w:pPr>
        <w:pStyle w:val="Heading2"/>
        <w:spacing w:line="480" w:lineRule="auto"/>
      </w:pPr>
      <w:r>
        <w:t xml:space="preserve">Metadata as Audit Trail</w:t>
      </w:r>
    </w:p>
    <w:p>
      <w:pPr>
        <w:pStyle w:val="FirstParagraph"/>
        <w:spacing w:line="480" w:lineRule="auto"/>
      </w:pPr>
      <w:r>
        <w:t xml:space="preserve">DOI-bearing rows, publication years, corpus citation counts, and transparent title-keyword classifications make up the Acta metadata dataset</w:t>
      </w:r>
      <w:r>
        <w:t xml:space="preserve"> </w:t>
      </w:r>
      <w:hyperlink w:anchor="ref-11">
        <w:r>
          <w:rPr>
            <w:rStyle w:val="Hyperlink"/>
          </w:rPr>
          <w:t xml:space="preserve">[11]</w:t>
        </w:r>
      </w:hyperlink>
      <w:r>
        <w:t xml:space="preserve">. Auditability is the point. Anyone can see which papers were counted and how each row was classified, which is the first thing a synthesis-ready evidence base has to prove.</w:t>
      </w:r>
    </w:p>
    <w:p>
      <w:pPr>
        <w:pStyle w:val="BodyText"/>
        <w:spacing w:line="480" w:lineRule="auto"/>
        <w:ind w:firstLine="720"/>
      </w:pPr>
      <w:r>
        <w:t xml:space="preserve">That discipline extends naturally once physical closure values are extracted. Every water, oxygen, nitrogen, or biomass value should arrive with its DOI, unit, duration, analog context, and uncertainty attached. Under that rule a lunar outpost architecture can state honestly which parts of its claim rest on experiments, reviews, planning priors, or untested assumptions. The metadata opens the audit trail; the physical panel will extend it.</w:t>
      </w:r>
    </w:p>
    <w:bookmarkEnd w:id="83"/>
    <w:bookmarkStart w:id="84" w:name="Xd6891f825dd9a7d0936a2ad85b29d0fd8fb11fd"/>
    <w:p>
      <w:pPr>
        <w:pStyle w:val="Heading2"/>
        <w:spacing w:line="480" w:lineRule="auto"/>
      </w:pPr>
      <w:r>
        <w:t xml:space="preserve">Evidence Integration Addendum: Synthesis of the split literatures</w:t>
      </w:r>
    </w:p>
    <w:p>
      <w:pPr>
        <w:pStyle w:val="FirstParagraph"/>
        <w:spacing w:line="480" w:lineRule="auto"/>
      </w:pPr>
      <w:r>
        <w:t xml:space="preserve">This addendum sharpens the review by making its real task explicit: synthesizing literatures that were written apart. No single impressive subsystem can set a lunar carrying capacity, because settlement size is fixed by the tightest coupled limit rather than the strongest component. The question the review has to answer is whether evidence about biological closure, ISRU, architecture, and cislunar economy studies can be translated into a claim about safe resident population. That translation demands comparability across methods, and it demands a record of what each cited source actually supports. A source may back a measured coefficient, a mechanism, a staging assumption, or a governance interpretation, and mixing those roles without saying so corrupts the synthesis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first consequence is that closure rate has to be managed, not chanted like a slogan. A high closure claim means something only when it accounts for inputs, outputs, stores, maintenance, failure behavior, and the standing cost of keeping the loop stable. On the Moon, biological closure, ISRU, architecture, and cislunar economy studies all draw on shared power, crew time, dust management, spares, and transport. Drop any one of those from the accounting and the capacity gain looks larger than it is. So the chapter reaches for a common evidence grammar, a way to connect technology evidence to settlement operations rather than a decorative efficiency figure.</w:t>
      </w:r>
    </w:p>
    <w:p>
      <w:pPr>
        <w:pStyle w:val="BodyText"/>
        <w:spacing w:line="480" w:lineRule="auto"/>
        <w:ind w:firstLine="720"/>
      </w:pPr>
      <w:r>
        <w:t xml:space="preserve">The second consequence reframes source traceability as a safety practice. When a decision maker asks why a model permits a larger crew, the answer has to point at data rows, cited studies, and visible conversions. An answer that reduces to</w:t>
      </w:r>
      <w:r>
        <w:t xml:space="preserve"> </w:t>
      </w:r>
      <w:r>
        <w:t xml:space="preserve">“the technology looks promising”</w:t>
      </w:r>
      <w:r>
        <w:t xml:space="preserve"> </w:t>
      </w:r>
      <w:r>
        <w:t xml:space="preserve">has crossed from analysis into advocacy. Comparability across methods keeps the synthesis tethered to what is known, and it hands future reviewers a way to revise the model when a stronger test, a flight demonstration, or a longer surface operation shifts the parameter base</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third consequence is that uncertainty travels forward rather than vanishing. Lunar settlements fuse biology, machinery, materials, logistics, and institutions, and each carries its own uncertainty structure. A photobioreactor pathway may wobble on biological stability and environmental translation. A regolith processing pathway may wobble on feedstock variation, power demand, and maintenance. A cislunar logistics pathway may wobble on market timing and launch availability. A useful synthesis keeps all of that visible, then reports how each source of doubt moves the binding constraint.</w:t>
      </w:r>
    </w:p>
    <w:p>
      <w:pPr>
        <w:pStyle w:val="BodyText"/>
        <w:spacing w:line="480" w:lineRule="auto"/>
        <w:ind w:firstLine="720"/>
      </w:pPr>
      <w:r>
        <w:t xml:space="preserve">This lens changes how the review reads its own empirical papers. Those papers never claim that citation counts measure engineering readiness. They show how an evidence base gathers attention over time, and why prominence cannot substitute for operational data. That point is the whole reason to synthesize carefully. If older sources carry more citations, and if topical flags fail to isolate readiness cleanly, then the review has to look past visibility toward measurement completeness, asking which source reports which variable, under what conditions, over what duration, and with what dependence on imported support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 fourth consequence is phase sensitivity. Phase governs everything here. Early outposts, pilot settlements, and mature settlements will never share one capacity rule. Early on, imported reserves can cover weak closure, and the analytical task is to find the loop worth improving first. In a pilot phase, partial local production lifts the safe crew ceiling only when reserve policy stays conservative. In a mature phase, local production, repair capacity, and institutional redundancy move to the center. Reported honestly, a common evidence grammar is therefore a per-phase construct, not a timeless property.</w:t>
      </w:r>
    </w:p>
    <w:p>
      <w:pPr>
        <w:pStyle w:val="BodyText"/>
        <w:spacing w:line="480" w:lineRule="auto"/>
        <w:ind w:firstLine="720"/>
      </w:pPr>
      <w:r>
        <w:t xml:space="preserve">With that framing, the review hands planners a way to compare investments directly. If water and nitrogen recovery bind, better biological or chemical recycling evidence moves the capacity range. If oxygen import binds, regolith oxygen production, storage, and maintenance data carry the most weight. If food binds, crop and photobioreactor duration, nutrition, harvest reliability, and crew acceptance decide the ceiling. If spare parts bind, surface fabrication and qualification matter most. Tying each measurement gap to a specific capacity consequence beats any generic call for more research</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same logic guards against double counting. One resource can appear in several subsystems, and one support function can serve several closure loops. A greenhouse, a photobioreactor, and a waste processor may all draw on water, power, monitoring, and crew or robotic attention. A regolith oxygen plant and a fabrication system may share excavation, energy, and maintenance infrastructure. Add up their maximum benefits independently and the settlement looks more capable than it is. The overlap hides. Real accounting has to surface it. A disciplined synthesis aggregates only compatible contributions and shows shared dependencies before it raises the population ceiling.</w:t>
      </w:r>
    </w:p>
    <w:p>
      <w:pPr>
        <w:pStyle w:val="BodyText"/>
        <w:spacing w:line="480" w:lineRule="auto"/>
        <w:ind w:firstLine="720"/>
      </w:pPr>
      <w:r>
        <w:t xml:space="preserve">Say less, but say it exactly. For policy and governance, the working standard is conditional clarity. The model should say that a capacity increase follows if the relevant loop performs at the stated level, if the supporting infrastructure is in place, if reserve rules hold, and if the evidence is strong enough for the mission phase. That sentence is less dramatic than a declaration of lunar self-sufficiency, and far more useful, because it lets sponsors, partners, and reviewers see exactly where the risk sits and what new evidence would change the answer. So the addendum feeds the dissertation’s central thesis. Lunar settlement capacity is fixed neither by lunar resources alone nor by Earth launch capacity alone. It emerges from measured closure, local resource services, maintenance capability, reserve policy, and evidence that can be updated. This chapter contributes by showing how synthesis of the split literatures connects to a common evidence grammar. Seen that way, comparability across methods is more than a research method. It is the operating discipline that keeps ambitious cislunar development claims aligned with evidence, safety, and strategic judgment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p>
    <w:bookmarkEnd w:id="84"/>
    <w:bookmarkStart w:id="85" w:name="chapter-synthesis-1"/>
    <w:p>
      <w:pPr>
        <w:pStyle w:val="Heading2"/>
        <w:spacing w:line="480" w:lineRule="auto"/>
      </w:pPr>
      <w:r>
        <w:t xml:space="preserve">Chapter Synthesis</w:t>
      </w:r>
    </w:p>
    <w:p>
      <w:pPr>
        <w:pStyle w:val="FirstParagraph"/>
        <w:spacing w:line="480" w:lineRule="auto"/>
      </w:pPr>
      <w:r>
        <w:t xml:space="preserve">Taken together, the literature makes the case for a closure model and, in the same breath, explains why direct synthesis would be premature without an evidence audit first.</w:t>
      </w:r>
    </w:p>
    <w:bookmarkEnd w:id="85"/>
    <w:bookmarkEnd w:id="86"/>
    <w:bookmarkStart w:id="99"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Carrying capacity, in this framework, is a function of two things at once: how completely a settlement’s loops close, and how confidently that closure is known. Higher closure across water, oxygen, nitrogen, food, and hardware loops lets a lunar settlement support more crew-days. Yet the crew ceiling those loops imply also depends on how well their rates are measured. Weak evidence can dress a shaky number in the precision of an n-star value and make it dangerous.</w:t>
      </w:r>
    </w:p>
    <w:p>
      <w:pPr>
        <w:pStyle w:val="BodyText"/>
        <w:spacing w:line="480" w:lineRule="auto"/>
        <w:ind w:firstLine="720"/>
      </w:pPr>
      <w:r>
        <w:t xml:space="preserve">Two layers follow from that. The engineering layer is mass balance. The epistemic layer is evidence governance. The two empirical papers work on the second layer, so that the first can be built with fewer illusions.</w:t>
      </w:r>
    </w:p>
    <w:bookmarkStart w:id="87" w:name="empirical-foundation-2"/>
    <w:p>
      <w:pPr>
        <w:pStyle w:val="Heading2"/>
        <w:spacing w:line="480" w:lineRule="auto"/>
      </w:pPr>
      <w:r>
        <w:t xml:space="preserve">Empirical Foundation</w:t>
      </w:r>
    </w:p>
    <w:p>
      <w:pPr>
        <w:pStyle w:val="FirstParagraph"/>
        <w:spacing w:line="480" w:lineRule="auto"/>
      </w:pPr>
      <w:r>
        <w:t xml:space="preserve">Closure-rate modeling stands on sub-loop evidence. A water recovery paper, a photobioreactor manufacturing paper, and an oxygen-extraction paper each speak to a different term in the carrying-capacity equation. Across the Acta literature, those sub-loops are scientifically active but unevenly integrated. Photobioreactor manufacturing from local lunar resources addresses the hardware biological closure requires</w:t>
      </w:r>
      <w:r>
        <w:t xml:space="preserve"> </w:t>
      </w:r>
      <w:hyperlink w:anchor="ref-12">
        <w:r>
          <w:rPr>
            <w:rStyle w:val="Hyperlink"/>
          </w:rPr>
          <w:t xml:space="preserve">[12]</w:t>
        </w:r>
      </w:hyperlink>
      <w:r>
        <w:t xml:space="preserve">. Oxygen extraction from regolith addresses a major consumable and propellant stream</w:t>
      </w:r>
      <w:r>
        <w:t xml:space="preserve"> </w:t>
      </w:r>
      <w:hyperlink w:anchor="ref-13">
        <w:r>
          <w:rPr>
            <w:rStyle w:val="Hyperlink"/>
          </w:rPr>
          <w:t xml:space="preserve">[13]</w:t>
        </w:r>
      </w:hyperlink>
      <w:r>
        <w:t xml:space="preserve">. BLSS microorganism and urine-recycling studies address the biological and chemical cycling beneath both</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Citation uptake measures attention and reuse, not truth. Older papers have had more time to gather citations. ISRU papers may draw attention because local-resource extraction sits at the center of settlement architecture, and life-support papers may draw it when they connect directly to sustained crew operations. So the null hypothesis is that paper age, ISRU orientation, and life-support orientation carry no association with citation count. The alternative is that at least one of them does, marking uneven uptake across the closure sub-loop literatures.</w:t>
      </w:r>
    </w:p>
    <w:p>
      <w:pPr>
        <w:pStyle w:val="BodyText"/>
        <w:spacing w:line="480" w:lineRule="auto"/>
        <w:ind w:firstLine="720"/>
      </w:pPr>
      <w:r>
        <w:t xml:space="preserve">That hypothesis reaches carrying capacity through a single dependency: an integrated closure-rate model is only as strong as its empirical sub-loops. A high-citation sub-loop has accumulated more scrutiny. A low-citation sub-loop may be technically important and still immature as an evidence base. Confusing the two is the error the framework is designed to prevent.</w:t>
      </w:r>
    </w:p>
    <w:bookmarkEnd w:id="87"/>
    <w:bookmarkStart w:id="88" w:name="age-elasticity-hypothesis"/>
    <w:p>
      <w:pPr>
        <w:pStyle w:val="Heading2"/>
        <w:spacing w:line="480" w:lineRule="auto"/>
      </w:pPr>
      <w:r>
        <w:t xml:space="preserve">Age-Elasticity Hypothesis</w:t>
      </w:r>
    </w:p>
    <w:p>
      <w:pPr>
        <w:pStyle w:val="FirstParagraph"/>
        <w:spacing w:line="480" w:lineRule="auto"/>
      </w:pPr>
      <w:r>
        <w:t xml:space="preserve">People treat citation counts as an informal maturity signal. In a fast-moving lunar settlement literature, that signal deceives. A 2016 urine recovery paper has had years to accumulate citations that a 2025 photobioreactor manufacturing paper has not, even when the newer work speaks more directly to lunar in-situ closure</w:t>
      </w:r>
      <w:r>
        <w:t xml:space="preserve"> </w:t>
      </w:r>
      <w:hyperlink w:anchor="ref-12">
        <w:r>
          <w:rPr>
            <w:rStyle w:val="Hyperlink"/>
          </w:rPr>
          <w:t xml:space="preserve">[12]</w:t>
        </w:r>
      </w:hyperlink>
      <w:r>
        <w:t xml:space="preserve">,</w:t>
      </w:r>
      <w:r>
        <w:t xml:space="preserve"> </w:t>
      </w:r>
      <w:hyperlink w:anchor="ref-16">
        <w:r>
          <w:rPr>
            <w:rStyle w:val="Hyperlink"/>
          </w:rPr>
          <w:t xml:space="preserve">[16]</w:t>
        </w:r>
      </w:hyperlink>
      <w:r>
        <w:t xml:space="preserve">. A 2026 food-system review may be central to integrated carrying capacity and still too young to show a high count</w:t>
      </w:r>
      <w:r>
        <w:t xml:space="preserve"> </w:t>
      </w:r>
      <w:hyperlink w:anchor="ref-19">
        <w:r>
          <w:rPr>
            <w:rStyle w:val="Hyperlink"/>
          </w:rPr>
          <w:t xml:space="preserve">[19]</w:t>
        </w:r>
      </w:hyperlink>
      <w:r>
        <w:t xml:space="preserve">.</w:t>
      </w:r>
    </w:p>
    <w:p>
      <w:pPr>
        <w:pStyle w:val="BodyText"/>
        <w:spacing w:line="480" w:lineRule="auto"/>
        <w:ind w:firstLine="720"/>
      </w:pPr>
      <w:r>
        <w:t xml:space="preserve">Theory predicts positive accumulation with age. Formally, the null hypothesis sets the elasticity of citations-plus-one with respect to paper-age-plus-one at zero; the alternative makes it positive. Nothing in the test says older papers are better. It says attention accumulates over time, which is enough to force modelers to separate maturity from recency when they select closure evidence.</w:t>
      </w:r>
    </w:p>
    <w:p>
      <w:pPr>
        <w:pStyle w:val="BodyText"/>
        <w:spacing w:line="480" w:lineRule="auto"/>
        <w:ind w:firstLine="720"/>
      </w:pPr>
      <w:r>
        <w:t xml:space="preserve">That separation sits at the heart of the dissertation. Calibrate a crew ceiling only from high-citation papers and it underweights recent ISRU and BLSS integration work. Lean only on novelty and it overstates untested technologies. A log-log citation accumulation model corrects both tendencies with a single quantitative estimate.</w:t>
      </w:r>
    </w:p>
    <w:bookmarkEnd w:id="88"/>
    <w:bookmarkStart w:id="89" w:name="closure-as-carrying-capacity-2"/>
    <w:p>
      <w:pPr>
        <w:pStyle w:val="Heading2"/>
        <w:spacing w:line="480" w:lineRule="auto"/>
      </w:pPr>
      <w:r>
        <w:t xml:space="preserve">Closure as Carrying Capacity</w:t>
      </w:r>
    </w:p>
    <w:p>
      <w:pPr>
        <w:pStyle w:val="FirstParagraph"/>
        <w:spacing w:line="480" w:lineRule="auto"/>
      </w:pPr>
      <w:r>
        <w:t xml:space="preserve">Before it is an architectural ambition, a lunar crew ceiling is a mass-balance problem. Water, oxygen, nitrogen, edible biomass, and atmosphere each have to be recovered, substituted, or resupplied, because volume and power do not feed a crew on their own. That is why the prospectus names closure as the binding variable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Within the theory chapter, that recognition states the carrying-capacity mechanism and fixes the hypotheses, holding to one stance throughout: the literature is an evidence system, not a list of promising technologies.</w:t>
      </w:r>
    </w:p>
    <w:p>
      <w:pPr>
        <w:pStyle w:val="BodyText"/>
        <w:spacing w:line="480" w:lineRule="auto"/>
        <w:ind w:firstLine="720"/>
      </w:pPr>
      <w:r>
        <w:t xml:space="preserve">Tie the mechanism back to the original question and its usefulness shows. Metadata cannot replace measured closure rates, but it can reveal where the evidence base runs strong, where recent, and where thin. A model that hides that unevenness misleads its own readers. Keeping technical relevance, citation maturity, and measurement comparability apart is how the framework stays defensible.</w:t>
      </w:r>
    </w:p>
    <w:p>
      <w:pPr>
        <w:pStyle w:val="BodyText"/>
        <w:spacing w:line="480" w:lineRule="auto"/>
        <w:ind w:firstLine="720"/>
      </w:pPr>
      <w:r>
        <w:t xml:space="preserve">A credible n-star estimate has to expose which sub-loop carries the uncertainty; bury it and a crew-size target looks technical while resting on weak evidence. Policy inherits the discipline unchanged. A lunar outpost architecture should state which parts of its crew-capacity claim rest on experiments, which on reviews, which on planning priors, and which on untested assumptions, with unit, duration, analog environment, crew equivalent, uncertainty, and DOI on each closure observation.</w:t>
      </w:r>
    </w:p>
    <w:bookmarkEnd w:id="89"/>
    <w:bookmarkStart w:id="90" w:name="sub-loop-heterogeneity-2"/>
    <w:p>
      <w:pPr>
        <w:pStyle w:val="Heading2"/>
        <w:spacing w:line="480" w:lineRule="auto"/>
      </w:pPr>
      <w:r>
        <w:t xml:space="preserve">Sub-loop Heterogeneity</w:t>
      </w:r>
    </w:p>
    <w:p>
      <w:pPr>
        <w:pStyle w:val="FirstParagraph"/>
        <w:spacing w:line="480" w:lineRule="auto"/>
      </w:pPr>
      <w:r>
        <w:t xml:space="preserve">Reading BLSS, urine recycling, regolith oxygen extraction, photobioreactors, food systems, and ISRU manufacturing as one technology conceals how differently they behave. Each yields its own variables, on its own time scale, with its own uncertainty profile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The framework treats them as an evidence system precisely so those differences stay in view.</w:t>
      </w:r>
    </w:p>
    <w:p>
      <w:pPr>
        <w:pStyle w:val="BodyText"/>
        <w:spacing w:line="480" w:lineRule="auto"/>
        <w:ind w:firstLine="720"/>
      </w:pPr>
      <w:r>
        <w:t xml:space="preserve">Heterogeneity is why the empirical papers reach for bibliometric metadata first. Comparable physical closure data are not reported consistently across sub-loops, so the dissertation refuses to fabricate comparable rates where the papers report unlike quantities, making evidence mapping the prerequisite to synthesis. The policy consequence follows without alteration: a lunar outpost architecture should separate experiments from reviews, planning priors from untested assumptions, and record unit, duration, analog environment, crew equivalent, uncertainty, and DOI on each closure observation.</w:t>
      </w:r>
    </w:p>
    <w:bookmarkEnd w:id="90"/>
    <w:bookmarkStart w:id="91" w:name="in-situ-hardware-manufacture-2"/>
    <w:p>
      <w:pPr>
        <w:pStyle w:val="Heading2"/>
        <w:spacing w:line="480" w:lineRule="auto"/>
      </w:pPr>
      <w:r>
        <w:t xml:space="preserve">In-situ Hardware Manufacture</w:t>
      </w:r>
    </w:p>
    <w:p>
      <w:pPr>
        <w:pStyle w:val="FirstParagraph"/>
        <w:spacing w:line="480" w:lineRule="auto"/>
      </w:pPr>
      <w:r>
        <w:t xml:space="preserve">Manufacturing a photobioreactor on the Moon rewrites the closure model, because the closure equipment stops being entirely imported and turns partly local</w:t>
      </w:r>
      <w:r>
        <w:t xml:space="preserve"> </w:t>
      </w:r>
      <w:hyperlink w:anchor="ref-1">
        <w:r>
          <w:rPr>
            <w:rStyle w:val="Hyperlink"/>
          </w:rPr>
          <w:t xml:space="preserve">[1]</w:t>
        </w:r>
      </w:hyperlink>
      <w:r>
        <w:t xml:space="preserve">,</w:t>
      </w:r>
      <w:r>
        <w:t xml:space="preserve"> </w:t>
      </w:r>
      <w:hyperlink w:anchor="ref-12">
        <w:r>
          <w:rPr>
            <w:rStyle w:val="Hyperlink"/>
          </w:rPr>
          <w:t xml:space="preserve">[12]</w:t>
        </w:r>
      </w:hyperlink>
      <w:r>
        <w:t xml:space="preserve">. That single change links two literatures usually kept apart, BLSS and ISRU. A biological loop is never only a biochemical process; it is also a hardware and maintenance problem.</w:t>
      </w:r>
    </w:p>
    <w:p>
      <w:pPr>
        <w:pStyle w:val="BodyText"/>
        <w:spacing w:line="480" w:lineRule="auto"/>
        <w:ind w:firstLine="720"/>
      </w:pPr>
      <w:r>
        <w:t xml:space="preserve">Where the hardware comes from moves the crew ceiling. An architecture assuming imported life-support hardware behaves differently from one that allows local manufacture, repair, and replacement. A lunar outpost architecture should therefore mark which parts of its crew-capacity claim rest on experiments, which on reviews, which on planning priors, and which on untested assumptions, with the manufacturing question sharpening each. Unit, duration, analog environment, crew equivalent, uncertainty, and DOI belong on each eventual observation.</w:t>
      </w:r>
    </w:p>
    <w:bookmarkEnd w:id="91"/>
    <w:bookmarkStart w:id="92" w:name="oxygen-and-regolith-processing-2"/>
    <w:p>
      <w:pPr>
        <w:pStyle w:val="Heading2"/>
        <w:spacing w:line="480" w:lineRule="auto"/>
      </w:pPr>
      <w:r>
        <w:t xml:space="preserve">Oxygen and Regolith Processing</w:t>
      </w:r>
    </w:p>
    <w:p>
      <w:pPr>
        <w:pStyle w:val="FirstParagraph"/>
        <w:spacing w:line="480" w:lineRule="auto"/>
      </w:pPr>
      <w:r>
        <w:t xml:space="preserve">Regolith oxygen extraction, particle classification, and hybrid ISRU plants tie crew consumables to local material flows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 This is a major substitution pathway, and one prone to overstatement. Oxygen supports both life support and propulsion, yet extraction yield alone closes none of the water, nitrogen, food, or trace-contaminant loops.</w:t>
      </w:r>
    </w:p>
    <w:p>
      <w:pPr>
        <w:pStyle w:val="BodyText"/>
        <w:spacing w:line="480" w:lineRule="auto"/>
        <w:ind w:firstLine="720"/>
      </w:pPr>
      <w:r>
        <w:t xml:space="preserve">Governance and architecture decisions should therefore avoid treating oxygen ISRU as shorthand for life-support closure, since the conflation inflates the apparent crew ceiling. A lunar outpost architecture should keep the categories honest, experiments here, reviews there, planning priors and untested assumptions each labeled for what they are, with unit, duration, analog environment, crew equivalent, uncertainty, and DOI on each extracted value.</w:t>
      </w:r>
    </w:p>
    <w:bookmarkEnd w:id="92"/>
    <w:bookmarkStart w:id="93" w:name="biological-and-food-loops-2"/>
    <w:p>
      <w:pPr>
        <w:pStyle w:val="Heading2"/>
        <w:spacing w:line="480" w:lineRule="auto"/>
      </w:pPr>
      <w:r>
        <w:t xml:space="preserve">Biological and Food Loops</w:t>
      </w:r>
    </w:p>
    <w:p>
      <w:pPr>
        <w:pStyle w:val="FirstParagraph"/>
        <w:spacing w:line="480" w:lineRule="auto"/>
      </w:pPr>
      <w:r>
        <w:t xml:space="preserve">Phototrophic microorganisms, crop systems, food-system integration, urine recycling, and microbiome evidence root closure in biology rather than hardware alone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Bioregenerative carrying capacity lives here, and so does much of the uncertainty, because analog transfer, partial gravity, dust, mission duration, and crew health all bear on whether a biological loop holds.</w:t>
      </w:r>
    </w:p>
    <w:p>
      <w:pPr>
        <w:pStyle w:val="BodyText"/>
        <w:spacing w:line="480" w:lineRule="auto"/>
        <w:ind w:firstLine="720"/>
      </w:pPr>
      <w:r>
        <w:t xml:space="preserve">A serious settlement model separates calories, nutrients, water recovery, nitrogen recovery, oxygen production, and the psychological value of real food instead of folding them under one BLSS label. Collapse those distinctions and the closure claim goes hollow. A lunar outpost architecture needs the same granularity, marking which parts of the biological claim rest on experiments, reviews, planning priors, or untested assumptions, with unit, duration, analog environment, crew equivalent, uncertainty, and DOI on each observation.</w:t>
      </w:r>
    </w:p>
    <w:bookmarkEnd w:id="93"/>
    <w:bookmarkStart w:id="94" w:name="evidence-age-and-citation-uptake-1"/>
    <w:p>
      <w:pPr>
        <w:pStyle w:val="Heading2"/>
        <w:spacing w:line="480" w:lineRule="auto"/>
      </w:pPr>
      <w:r>
        <w:t xml:space="preserve">Evidence Age and Citation Uptake</w:t>
      </w:r>
    </w:p>
    <w:p>
      <w:pPr>
        <w:pStyle w:val="FirstParagraph"/>
        <w:spacing w:line="480" w:lineRule="auto"/>
      </w:pPr>
      <w:r>
        <w:t xml:space="preserve">Both empirical papers converge on one finding: citation uptake is strongly age-dependent, and that age-related attention can distort how mature newer sub-loop work appears. The effect is concrete in the numbers: a learning-curve elasticity of 1.4931, with a doubling multiplier of 2.8149. Building the recognition into the framework keeps it from ranking papers by citation count alone.</w:t>
      </w:r>
    </w:p>
    <w:p>
      <w:pPr>
        <w:pStyle w:val="BodyText"/>
        <w:spacing w:line="480" w:lineRule="auto"/>
        <w:ind w:firstLine="720"/>
      </w:pPr>
      <w:r>
        <w:t xml:space="preserve">Recent work can sit at the technical center of closure long before it has gathered attention. A model that ranks by citations reproduces that bias wholesale. Evidence governance therefore has to track publication year, citation count, DOI, sub-loop, and physical variable as separate fields, never as one fused score. The architecture consuming that model should mark which parts of its crew-capacity claim rest on experiments, reviews, planning priors, or untested assumptions, with unit, duration, analog environment, crew equivalent, uncertainty, and DOI on each observation.</w:t>
      </w:r>
    </w:p>
    <w:bookmarkEnd w:id="94"/>
    <w:bookmarkStart w:id="95" w:name="delphi-and-planning-priors-1"/>
    <w:p>
      <w:pPr>
        <w:pStyle w:val="Heading2"/>
        <w:spacing w:line="480" w:lineRule="auto"/>
      </w:pPr>
      <w:r>
        <w:t xml:space="preserve">Delphi and Planning Priors</w:t>
      </w:r>
    </w:p>
    <w:p>
      <w:pPr>
        <w:pStyle w:val="FirstParagraph"/>
        <w:spacing w:line="480" w:lineRule="auto"/>
      </w:pPr>
      <w:r>
        <w:t xml:space="preserve">The ISRU Delphi survey supplies expert expectations for a 2040 lunar outpost, but expert priors are not measured closure rates</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Holding that line is what keeps planning concepts in their place within the theory. They furnish reference cases and assumptions; they do not furnish observed system closure.</w:t>
      </w:r>
    </w:p>
    <w:p>
      <w:pPr>
        <w:pStyle w:val="BodyText"/>
        <w:spacing w:line="480" w:lineRule="auto"/>
        <w:ind w:firstLine="720"/>
      </w:pPr>
      <w:r>
        <w:t xml:space="preserve">So the dissertation uses Delphi evidence as context around crew-size claims while keeping the empirical metadata and estimator results separate. Blur the boundary and the closure model misleads. A lunar outpost architecture should say which parts of its crew-capacity claim rest on experiments, which on reviews, which on planning priors like these, and which on untested assumptions, with unit, duration, analog environment, crew equivalent, uncertainty, and DOI on each observation.</w:t>
      </w:r>
    </w:p>
    <w:bookmarkEnd w:id="95"/>
    <w:bookmarkStart w:id="96" w:name="limits-and-next-data-1"/>
    <w:p>
      <w:pPr>
        <w:pStyle w:val="Heading2"/>
        <w:spacing w:line="480" w:lineRule="auto"/>
      </w:pPr>
      <w:r>
        <w:t xml:space="preserve">Limits and Next Data</w:t>
      </w:r>
    </w:p>
    <w:p>
      <w:pPr>
        <w:pStyle w:val="FirstParagraph"/>
        <w:spacing w:line="480" w:lineRule="auto"/>
      </w:pPr>
      <w:r>
        <w:t xml:space="preserve">This dissertation never pretends metadata equals physical performance. It reaches for metadata because comparable closure-rate tables do not exist across the full sub-loop literature. Stating that boundary matters, because it fixes what the results can and cannot say: they diagnose evidence maturity and uptake, not final lunar crew capacity.</w:t>
      </w:r>
    </w:p>
    <w:p>
      <w:pPr>
        <w:pStyle w:val="BodyText"/>
        <w:spacing w:line="480" w:lineRule="auto"/>
        <w:ind w:firstLine="720"/>
      </w:pPr>
      <w:r>
        <w:t xml:space="preserve">What comes next is a hand-extracted closure panel with sub-loop variables and their uncertainties, followed by a mass-balance inversion for n-star. Until that panel exists, the policy discipline holds: a lunar outpost architecture should separate experiments from reviews, planning priors from untested assumptions, with unit, duration, analog environment, crew equivalent, uncertainty, and DOI on each closure observation.</w:t>
      </w:r>
    </w:p>
    <w:bookmarkEnd w:id="96"/>
    <w:bookmarkStart w:id="97" w:name="Xfb3ea611226e37c3a92435a914b67f115154aa7"/>
    <w:p>
      <w:pPr>
        <w:pStyle w:val="Heading2"/>
        <w:spacing w:line="480" w:lineRule="auto"/>
      </w:pPr>
      <w:r>
        <w:t xml:space="preserve">Evidence Integration Addendum: Mechanism from evidence base to crew ceiling</w:t>
      </w:r>
    </w:p>
    <w:p>
      <w:pPr>
        <w:pStyle w:val="FirstParagraph"/>
        <w:spacing w:line="480" w:lineRule="auto"/>
      </w:pPr>
      <w:r>
        <w:t xml:space="preserve">This addendum sharpens the mechanism by tracing it end to end, from the evidence base to the crew ceiling. No single impressive subsystem can set a lunar carrying capacity, because settlement size is fixed by the tightest coupled limit rather than the strongest component. The question the mechanism has to answer is whether evidence about air, water, food, nitrogen, spare parts, power, and crew time can be translated into a claim about safe resident population. That translation runs through binding resource loops, and it demands a record of what each cited source actually supports. A source may back a measured coefficient, a mechanism, a staging assumption, or a governance interpretation, and mixing those roles without saying so corrupts the chain</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 The first consequence is that closure rate has to be managed, not chanted like a slogan. A high closure claim means something only when it accounts for inputs, outputs, stores, maintenance, failure behavior, and the standing cost of keeping the loop stable. On the Moon, air, water, food, nitrogen, spare parts, power, and crew time all draw on shared power, crew time, dust management, spares, and transport. Drop any one of those from the accounting and the capacity gain looks larger than it is. So the chapter builds resource-specific ceilings, a way to connect technology evidence to settlement operations rather than a decorative efficiency figure.</w:t>
      </w:r>
    </w:p>
    <w:p>
      <w:pPr>
        <w:pStyle w:val="BodyText"/>
        <w:spacing w:line="480" w:lineRule="auto"/>
        <w:ind w:firstLine="720"/>
      </w:pPr>
      <w:r>
        <w:t xml:space="preserve">The second consequence reframes source traceability as a safety practice. When a decision maker asks why a model permits a larger crew, the answer has to point at data rows, cited studies, and visible conversions. An answer that reduces to</w:t>
      </w:r>
      <w:r>
        <w:t xml:space="preserve"> </w:t>
      </w:r>
      <w:r>
        <w:t xml:space="preserve">“the technology looks promising”</w:t>
      </w:r>
      <w:r>
        <w:t xml:space="preserve"> </w:t>
      </w:r>
      <w:r>
        <w:t xml:space="preserve">has crossed from analysis into advocacy. Binding resource loops keeps the mechanism tethered to what is known, and it hands future reviewers a way to revise the model when a stronger test, a flight demonstration, or a longer surface operation shifts the parameter base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 The third consequence is that uncertainty travels forward rather than vanishing. Lunar settlements fuse biology, machinery, materials, logistics, and institutions, and each carries its own uncertainty structure. A photobioreactor pathway may wobble on biological stability and environmental translation. A regolith processing pathway may wobble on feedstock variation, power demand, and maintenance. A cislunar logistics pathway may wobble on market timing and launch availability. A useful mechanism keeps all of that visible, then reports how each source of doubt moves the binding constraint.</w:t>
      </w:r>
    </w:p>
    <w:p>
      <w:pPr>
        <w:pStyle w:val="BodyText"/>
        <w:spacing w:line="480" w:lineRule="auto"/>
        <w:ind w:firstLine="720"/>
      </w:pPr>
      <w:r>
        <w:t xml:space="preserve">This lens changes how the chapter reads its own empirical papers. Those papers never claim that citation counts measure engineering readiness. They show how an evidence base gathers attention over time, and why prominence cannot substitute for operational data. That point is the whole reason to trace the mechanism carefully. If older sources carry more citations, and if topical flags fail to isolate readiness cleanly, then the review has to look past visibility toward measurement completeness, asking which source reports which variable, under what conditions, over what duration, and with what dependence on imported support</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 A fourth consequence is phase sensitivity. Phase governs everything here. Early outposts, pilot settlements, and mature settlements will never share one capacity rule. Early on, imported reserves can cover weak closure, and the analytical task is to find the loop worth improving first. In a pilot phase, partial local production lifts the safe crew ceiling only when reserve policy stays conservative. In a mature phase, local production, repair capacity, and institutional redundancy move to the center. Reported honestly, resource-specific ceilings are per-phase constructs, not timeless properties.</w:t>
      </w:r>
    </w:p>
    <w:p>
      <w:pPr>
        <w:pStyle w:val="BodyText"/>
        <w:spacing w:line="480" w:lineRule="auto"/>
        <w:ind w:firstLine="720"/>
      </w:pPr>
      <w:r>
        <w:t xml:space="preserve">With that framing, the mechanism hands planners a way to compare investments directly. If water and nitrogen recovery bind, better biological or chemical recycling evidence moves the capacity range. If oxygen import binds, regolith oxygen production, storage, and maintenance data carry the most weight. If food binds, crop and photobioreactor duration, nutrition, harvest reliability, and crew acceptance decide the ceiling. If spare parts bind, surface fabrication and qualification matter most. Tying each measurement gap to a specific capacity consequence beats any generic call for more research</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 The same logic guards against double counting. One resource can appear in several subsystems, and one support function can serve several closure loops. A greenhouse, a photobioreactor, and a waste processor may all draw on water, power, monitoring, and crew or robotic attention. A regolith oxygen plant and a fabrication system may share excavation, energy, and maintenance infrastructure. Add up their maximum benefits independently and the settlement looks more capable than it is. The overlap hides. Real accounting has to surface it. A disciplined model aggregates only compatible contributions and shows shared dependencies before it raises the population ceiling.</w:t>
      </w:r>
    </w:p>
    <w:p>
      <w:pPr>
        <w:pStyle w:val="BodyText"/>
        <w:spacing w:line="480" w:lineRule="auto"/>
        <w:ind w:firstLine="720"/>
      </w:pPr>
      <w:r>
        <w:t xml:space="preserve">Say less, but say it exactly. For policy and governance, the working standard is conditional clarity. The model should say that a capacity increase follows if the relevant loop performs at the stated level, if the supporting infrastructure is in place, if reserve rules hold, and if the evidence is strong enough for the mission phase. That sentence is less dramatic than a declaration of lunar self-sufficiency, and far more useful, because it lets sponsors, partners, and reviewers see exactly where the risk sits and what new evidence would change the answer. So the addendum feeds the dissertation’s central thesis. Lunar settlement capacity is fixed neither by lunar resources alone nor by Earth launch capacity alone. It emerges from measured closure, local resource services, maintenance capability, reserve policy, and evidence that can be updated. This chapter contributes by showing how the mechanism from evidence base to crew ceiling connects to resource-specific ceilings. Seen that way, binding resource loops is more than a research method. It is the operating discipline that keeps ambitious cislunar development claims aligned with evidence, safety, and strategic judgment</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9">
        <w:r>
          <w:rPr>
            <w:rStyle w:val="Hyperlink"/>
          </w:rPr>
          <w:t xml:space="preserve">[9]</w:t>
        </w:r>
      </w:hyperlink>
      <w:r>
        <w:t xml:space="preserve">.</w:t>
      </w:r>
    </w:p>
    <w:bookmarkEnd w:id="97"/>
    <w:bookmarkStart w:id="98" w:name="chapter-synthesis-2"/>
    <w:p>
      <w:pPr>
        <w:pStyle w:val="Heading2"/>
        <w:spacing w:line="480" w:lineRule="auto"/>
      </w:pPr>
      <w:r>
        <w:t xml:space="preserve">Chapter Synthesis</w:t>
      </w:r>
    </w:p>
    <w:p>
      <w:pPr>
        <w:pStyle w:val="FirstParagraph"/>
        <w:spacing w:line="480" w:lineRule="auto"/>
      </w:pPr>
      <w:r>
        <w:t xml:space="preserve">The hypotheses stay modest because the evidence is metadata. They test uptake and age effects in the literature that will later support physical closure extraction, and no more than that.</w:t>
      </w:r>
    </w:p>
    <w:bookmarkEnd w:id="98"/>
    <w:bookmarkEnd w:id="99"/>
    <w:bookmarkStart w:id="111" w:name="chapter-4.-data-and-measurement"/>
    <w:p>
      <w:pPr>
        <w:pStyle w:val="Heading1"/>
        <w:spacing w:line="480" w:lineRule="auto"/>
      </w:pPr>
      <w:r>
        <w:t xml:space="preserve">Chapter 4. Data and Measurement</w:t>
      </w:r>
    </w:p>
    <w:p>
      <w:pPr>
        <w:pStyle w:val="FirstParagraph"/>
        <w:spacing w:line="480" w:lineRule="auto"/>
      </w:pPr>
      <w:r>
        <w:t xml:space="preserve">Why does this dissertation build on Acta metadata rather than physical closure numbers? The prospectus names many closure-relevant studies, but those studies refuse to share a common physical unit across the sub-loops. Some are reviews, some are experiments, some are manufacturing studies, and some are planning exercises, and no single quantity runs cleanly through all of them. So the first auditable dataset available is the literature record itself</w:t>
      </w:r>
      <w:r>
        <w:t xml:space="preserve"> </w:t>
      </w:r>
      <w:hyperlink w:anchor="ref-11">
        <w:r>
          <w:rPr>
            <w:rStyle w:val="Hyperlink"/>
          </w:rPr>
          <w:t xml:space="preserve">[11]</w:t>
        </w:r>
      </w:hyperlink>
      <w:r>
        <w:t xml:space="preserve">.</w:t>
      </w:r>
    </w:p>
    <w:p>
      <w:pPr>
        <w:pStyle w:val="BodyText"/>
        <w:spacing w:line="480" w:lineRule="auto"/>
        <w:ind w:firstLine="720"/>
      </w:pPr>
      <w:r>
        <w:t xml:space="preserve">Every row in the datasets is one paper, carrying its year, title, DOI, citation count, corpus section, and a set of transparent text classifications. The design is limited. It is also real and reproducible, which is more than a fabricated closure table could claim.</w:t>
      </w:r>
    </w:p>
    <w:bookmarkStart w:id="100" w:name="empirical-foundation-3"/>
    <w:p>
      <w:pPr>
        <w:pStyle w:val="Heading2"/>
        <w:spacing w:line="480" w:lineRule="auto"/>
      </w:pPr>
      <w:r>
        <w:t xml:space="preserve">Empirical Foundation</w:t>
      </w:r>
    </w:p>
    <w:p>
      <w:pPr>
        <w:pStyle w:val="FirstParagraph"/>
        <w:spacing w:line="480" w:lineRule="auto"/>
      </w:pPr>
      <w:r>
        <w:t xml:space="preserve">The dataset holds 40 Acta Astronautica metadata records, exported from the local Acta corpus on June 27, 2026</w:t>
      </w:r>
      <w:r>
        <w:t xml:space="preserve"> </w:t>
      </w:r>
      <w:hyperlink w:anchor="ref-11">
        <w:r>
          <w:rPr>
            <w:rStyle w:val="Hyperlink"/>
          </w:rPr>
          <w:t xml:space="preserve">[11]</w:t>
        </w:r>
      </w:hyperlink>
      <w:r>
        <w:t xml:space="preserve">. The query pulled on lunar, life support, ISRU, bioregenerative, photobioreactor, regolith, oxygen, food, habitat, and settlement terms. Each row carries publication year, title, DOI, citation count, corpus section, title-keyword classifications, and a source field, and no row is illustrative filler.</w:t>
      </w:r>
    </w:p>
    <w:p>
      <w:pPr>
        <w:pStyle w:val="BodyText"/>
        <w:spacing w:line="480" w:lineRule="auto"/>
        <w:ind w:firstLine="720"/>
      </w:pPr>
      <w:r>
        <w:t xml:space="preserve">The outcome variable is</w:t>
      </w:r>
      <w:r>
        <w:t xml:space="preserve"> </w:t>
      </w:r>
      <w:r>
        <w:rPr>
          <w:rStyle w:val="VerbatimChar"/>
        </w:rPr>
        <w:t xml:space="preserve">citations_count</w:t>
      </w:r>
      <w:r>
        <w:t xml:space="preserve">, parsed straight from the Acta metadata</w:t>
      </w:r>
      <w:r>
        <w:t xml:space="preserve"> </w:t>
      </w:r>
      <w:r>
        <w:rPr>
          <w:rStyle w:val="VerbatimChar"/>
        </w:rPr>
        <w:t xml:space="preserve">cites</w:t>
      </w:r>
      <w:r>
        <w:t xml:space="preserve"> </w:t>
      </w:r>
      <w:r>
        <w:t xml:space="preserve">field.</w:t>
      </w:r>
      <w:r>
        <w:t xml:space="preserve"> </w:t>
      </w:r>
      <w:r>
        <w:rPr>
          <w:rStyle w:val="VerbatimChar"/>
        </w:rPr>
        <w:t xml:space="preserve">paper_age_plus_one</w:t>
      </w:r>
      <w:r>
        <w:t xml:space="preserve"> </w:t>
      </w:r>
      <w:r>
        <w:t xml:space="preserve">equals 2026 minus publication year, plus one.</w:t>
      </w:r>
      <w:r>
        <w:t xml:space="preserve"> </w:t>
      </w:r>
      <w:r>
        <w:rPr>
          <w:rStyle w:val="VerbatimChar"/>
        </w:rPr>
        <w:t xml:space="preserve">is_isru</w:t>
      </w:r>
      <w:r>
        <w:t xml:space="preserve"> </w:t>
      </w:r>
      <w:r>
        <w:t xml:space="preserve">takes the value one when a title or its keywords mention ISRU, in-situ production, regolith, oxygen extraction, resource utilization, or carbothermal processing.</w:t>
      </w:r>
      <w:r>
        <w:t xml:space="preserve"> </w:t>
      </w:r>
      <w:r>
        <w:rPr>
          <w:rStyle w:val="VerbatimChar"/>
        </w:rPr>
        <w:t xml:space="preserve">is_life_support</w:t>
      </w:r>
      <w:r>
        <w:t xml:space="preserve"> </w:t>
      </w:r>
      <w:r>
        <w:t xml:space="preserve">takes the value one when a title or its keywords mention life support, bioregenerative systems, photobioreactors, food, plant, nutrition, urine, microorganisms, or microbiome. These indicators are transparent text classifications, readable by anyone, not hidden expert scores.</w:t>
      </w:r>
    </w:p>
    <w:p>
      <w:pPr>
        <w:pStyle w:val="BodyText"/>
        <w:spacing w:line="480" w:lineRule="auto"/>
        <w:ind w:firstLine="720"/>
      </w:pPr>
      <w:r>
        <w:t xml:space="preserve">None of this amounts to a complete census of life-support research. It is a reproducible metadata sample drawn from the Acta corpus, and that scoping is deliberate. The design supports a bounded bibliometric claim about closure-relevant Acta records; it does not reach for a claim about the entire global literature.</w:t>
      </w:r>
    </w:p>
    <w:bookmarkEnd w:id="100"/>
    <w:bookmarkStart w:id="101" w:name="learning-curve-data"/>
    <w:p>
      <w:pPr>
        <w:pStyle w:val="Heading2"/>
        <w:spacing w:line="480" w:lineRule="auto"/>
      </w:pPr>
      <w:r>
        <w:t xml:space="preserve">Learning-Curve Data</w:t>
      </w:r>
    </w:p>
    <w:p>
      <w:pPr>
        <w:pStyle w:val="FirstParagraph"/>
        <w:spacing w:line="480" w:lineRule="auto"/>
      </w:pPr>
      <w:r>
        <w:t xml:space="preserve">The data here are the same 40 Acta metadata records that anchor Paper 1</w:t>
      </w:r>
      <w:r>
        <w:t xml:space="preserve"> </w:t>
      </w:r>
      <w:hyperlink w:anchor="ref-11">
        <w:r>
          <w:rPr>
            <w:rStyle w:val="Hyperlink"/>
          </w:rPr>
          <w:t xml:space="preserve">[11]</w:t>
        </w:r>
      </w:hyperlink>
      <w:r>
        <w:t xml:space="preserve">. Each row carries year, title, DOI, citation count, paper age plus one, and source. The outcome,</w:t>
      </w:r>
      <w:r>
        <w:t xml:space="preserve"> </w:t>
      </w:r>
      <w:r>
        <w:rPr>
          <w:rStyle w:val="VerbatimChar"/>
        </w:rPr>
        <w:t xml:space="preserve">citations_plus_one</w:t>
      </w:r>
      <w:r>
        <w:t xml:space="preserve">, is citation count plus one. The predictor,</w:t>
      </w:r>
      <w:r>
        <w:t xml:space="preserve"> </w:t>
      </w:r>
      <w:r>
        <w:rPr>
          <w:rStyle w:val="VerbatimChar"/>
        </w:rPr>
        <w:t xml:space="preserve">paper_age_plus_one</w:t>
      </w:r>
      <w:r>
        <w:t xml:space="preserve">, is 2026 minus publication year, plus one. Every value derives from the local Acta metadata export and its DOI-bearing rows, and no row is illustrative.</w:t>
      </w:r>
    </w:p>
    <w:p>
      <w:pPr>
        <w:pStyle w:val="BodyText"/>
        <w:spacing w:line="480" w:lineRule="auto"/>
        <w:ind w:firstLine="720"/>
      </w:pPr>
      <w:r>
        <w:t xml:space="preserve">Look at what the sample actually spans: lunar photobioreactors, hybrid ISRU plants, NASA nutrition requirements for BLSS, plant-space research, urine recovery, food systems, lunar regolith simulants, and oxygen production facilities. That range covers the evidence categories the prospectus named. It is not a full systematic review, and it never claims to be. It is a reproducible metadata sample built to quantify one thing, attention accumulation, and to quantify it transparently.</w:t>
      </w:r>
    </w:p>
    <w:p>
      <w:pPr>
        <w:pStyle w:val="BodyText"/>
        <w:spacing w:line="480" w:lineRule="auto"/>
        <w:ind w:firstLine="720"/>
      </w:pPr>
      <w:r>
        <w:t xml:space="preserve">The plus-one outcome is a modeling choice, not a claim drawn from any source. Its job is narrow: it prevents zero-citation recent papers from dropping out of the log transformation. Under that choice, the estimator reads its coefficient as elasticity in citations-plus-one, never in raw citations.</w:t>
      </w:r>
    </w:p>
    <w:bookmarkEnd w:id="101"/>
    <w:bookmarkStart w:id="102" w:name="sub-loop-heterogeneity-3"/>
    <w:p>
      <w:pPr>
        <w:pStyle w:val="Heading2"/>
        <w:spacing w:line="480" w:lineRule="auto"/>
      </w:pPr>
      <w:r>
        <w:t xml:space="preserve">Sub-loop Heterogeneity</w:t>
      </w:r>
    </w:p>
    <w:p>
      <w:pPr>
        <w:pStyle w:val="FirstParagraph"/>
        <w:spacing w:line="480" w:lineRule="auto"/>
      </w:pPr>
      <w:r>
        <w:t xml:space="preserve">Reading BLSS, urine recycling, regolith oxygen extraction, photobioreactors, food systems, and ISRU manufacturing as one technology conceals how differently they behave. Each produces its own variables, on its own time scale, with its own uncertainty profile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The data chapter treats them as an evidence system precisely so those differences stay in view while variables are constructed.</w:t>
      </w:r>
    </w:p>
    <w:p>
      <w:pPr>
        <w:pStyle w:val="BodyText"/>
        <w:spacing w:line="480" w:lineRule="auto"/>
        <w:ind w:firstLine="720"/>
      </w:pPr>
      <w:r>
        <w:t xml:space="preserve">Heterogeneity is the practical reason the papers reach for bibliometric metadata first. Physical closure data are not reported consistently across sub-loops, so the dissertation refuses to fabricate comparable rates where the papers report unlike quantities, and it makes evidence mapping the prerequisite to synthesis. Policy inherits the discipline unchanged: a lunar outpost architecture should separate experiments from reviews, planning priors from untested assumptions, and carry unit, duration, analog environment, crew equivalent, uncertainty, and DOI on each closure observation.</w:t>
      </w:r>
    </w:p>
    <w:bookmarkEnd w:id="102"/>
    <w:bookmarkStart w:id="103" w:name="biological-and-food-loops-3"/>
    <w:p>
      <w:pPr>
        <w:pStyle w:val="Heading2"/>
        <w:spacing w:line="480" w:lineRule="auto"/>
      </w:pPr>
      <w:r>
        <w:t xml:space="preserve">Biological and Food Loops</w:t>
      </w:r>
    </w:p>
    <w:p>
      <w:pPr>
        <w:pStyle w:val="FirstParagraph"/>
        <w:spacing w:line="480" w:lineRule="auto"/>
      </w:pPr>
      <w:r>
        <w:t xml:space="preserve">Phototrophic microorganisms, crop systems, food-system integration, urine recycling, and microbiome evidence root closure in biology rather than hardware alone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Bioregenerative carrying capacity lives here, and so does much of the uncertainty, because analog transfer, partial gravity, dust, mission duration, and crew health all bear on whether a biological loop holds under real conditions.</w:t>
      </w:r>
    </w:p>
    <w:p>
      <w:pPr>
        <w:pStyle w:val="BodyText"/>
        <w:spacing w:line="480" w:lineRule="auto"/>
        <w:ind w:firstLine="720"/>
      </w:pPr>
      <w:r>
        <w:t xml:space="preserve">A serious settlement model separates calories, nutrients, water recovery, nitrogen recovery, oxygen production, and the psychological value of real food rather than folding them under one BLSS label. Collapse those distinctions and the closure claim goes hollow. A lunar outpost architecture needs the same granularity, marking which parts of the biological claim rest on experiments, reviews, planning priors, or untested assumptions, with unit, duration, analog environment, crew equivalent, uncertainty, and DOI recorded on each observation.</w:t>
      </w:r>
    </w:p>
    <w:bookmarkEnd w:id="103"/>
    <w:bookmarkStart w:id="104" w:name="evidence-age-and-citation-uptake-2"/>
    <w:p>
      <w:pPr>
        <w:pStyle w:val="Heading2"/>
        <w:spacing w:line="480" w:lineRule="auto"/>
      </w:pPr>
      <w:r>
        <w:t xml:space="preserve">Evidence Age and Citation Uptake</w:t>
      </w:r>
    </w:p>
    <w:p>
      <w:pPr>
        <w:pStyle w:val="FirstParagraph"/>
        <w:spacing w:line="480" w:lineRule="auto"/>
      </w:pPr>
      <w:r>
        <w:t xml:space="preserve">Both empirical papers converge on one finding: citation uptake is strongly age-dependent, and that age-related attention can distort how mature newer sub-loop work appears. The effect is concrete in the numbers: a learning-curve elasticity of 1.4931, with a doubling multiplier of 2.8149. Building that recognition into the measurement strategy keeps the dissertation from ranking papers by citation count alone.</w:t>
      </w:r>
    </w:p>
    <w:p>
      <w:pPr>
        <w:pStyle w:val="BodyText"/>
        <w:spacing w:line="480" w:lineRule="auto"/>
        <w:ind w:firstLine="720"/>
      </w:pPr>
      <w:r>
        <w:t xml:space="preserve">Recent work can sit at the technical center of closure long before it has gathered attention. Evidence governance therefore has to track publication year, citation count, DOI, sub-loop, and physical variable as separate fields, never as one fused score. The architecture that later consumes such a model should mark which parts of its crew-capacity claim rest on experiments, reviews, planning priors, or untested assumptions, with unit, duration, analog environment, crew equivalent, uncertainty, and DOI on each observation.</w:t>
      </w:r>
    </w:p>
    <w:bookmarkEnd w:id="104"/>
    <w:bookmarkStart w:id="105" w:name="delphi-and-planning-priors-2"/>
    <w:p>
      <w:pPr>
        <w:pStyle w:val="Heading2"/>
        <w:spacing w:line="480" w:lineRule="auto"/>
      </w:pPr>
      <w:r>
        <w:t xml:space="preserve">Delphi and Planning Priors</w:t>
      </w:r>
    </w:p>
    <w:p>
      <w:pPr>
        <w:pStyle w:val="FirstParagraph"/>
        <w:spacing w:line="480" w:lineRule="auto"/>
      </w:pPr>
      <w:r>
        <w:t xml:space="preserve">The ISRU Delphi survey supplies expert expectations for a 2040 lunar outpost, and yet expert priors are not measured closure rates</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Keeping that line sharp is what fixes the role of planning concepts in the dataset’s surroundings. They furnish reference cases and assumptions; they do not furnish observed system closure.</w:t>
      </w:r>
    </w:p>
    <w:p>
      <w:pPr>
        <w:pStyle w:val="BodyText"/>
        <w:spacing w:line="480" w:lineRule="auto"/>
        <w:ind w:firstLine="720"/>
      </w:pPr>
      <w:r>
        <w:t xml:space="preserve">So the dissertation uses Delphi evidence as context around crew-size claims while keeping the empirical metadata and estimator results separate. A lunar outpost architecture should say which parts of its crew-capacity claim rest on experiments, which on reviews, which on planning priors like these, and which on untested assumptions, with unit, duration, analog environment, crew equivalent, uncertainty, and DOI on each observation.</w:t>
      </w:r>
    </w:p>
    <w:bookmarkEnd w:id="105"/>
    <w:bookmarkStart w:id="106" w:name="metadata-as-audit-trail-2"/>
    <w:p>
      <w:pPr>
        <w:pStyle w:val="Heading2"/>
        <w:spacing w:line="480" w:lineRule="auto"/>
      </w:pPr>
      <w:r>
        <w:t xml:space="preserve">Metadata as Audit Trail</w:t>
      </w:r>
    </w:p>
    <w:p>
      <w:pPr>
        <w:pStyle w:val="FirstParagraph"/>
        <w:spacing w:line="480" w:lineRule="auto"/>
      </w:pPr>
      <w:r>
        <w:t xml:space="preserve">DOI-bearing rows, publication years, corpus citation counts, and transparent title-keyword classifications make up the Acta metadata dataset</w:t>
      </w:r>
      <w:r>
        <w:t xml:space="preserve"> </w:t>
      </w:r>
      <w:hyperlink w:anchor="ref-11">
        <w:r>
          <w:rPr>
            <w:rStyle w:val="Hyperlink"/>
          </w:rPr>
          <w:t xml:space="preserve">[11]</w:t>
        </w:r>
      </w:hyperlink>
      <w:r>
        <w:t xml:space="preserve">. Auditability is the whole point of building it this way. Anyone can see which papers entered the count and how each row was classified, which is the first thing a synthesis-ready evidence base has to demonstrate.</w:t>
      </w:r>
    </w:p>
    <w:p>
      <w:pPr>
        <w:pStyle w:val="BodyText"/>
        <w:spacing w:line="480" w:lineRule="auto"/>
        <w:ind w:firstLine="720"/>
      </w:pPr>
      <w:r>
        <w:t xml:space="preserve">That discipline extends naturally once physical closure values are extracted. Every water, oxygen, nitrogen, or biomass value should arrive with its DOI, unit, duration, analog context, and uncertainty attached. Under that rule a lunar outpost architecture can state honestly which parts of its claim rest on experiments, reviews, planning priors, or untested assumptions.</w:t>
      </w:r>
    </w:p>
    <w:bookmarkEnd w:id="106"/>
    <w:bookmarkStart w:id="107" w:name="limits-and-next-data-2"/>
    <w:p>
      <w:pPr>
        <w:pStyle w:val="Heading2"/>
        <w:spacing w:line="480" w:lineRule="auto"/>
      </w:pPr>
      <w:r>
        <w:t xml:space="preserve">Limits and Next Data</w:t>
      </w:r>
    </w:p>
    <w:p>
      <w:pPr>
        <w:pStyle w:val="FirstParagraph"/>
        <w:spacing w:line="480" w:lineRule="auto"/>
      </w:pPr>
      <w:r>
        <w:t xml:space="preserve">This dissertation never pretends metadata equals physical performance. It reaches for metadata because comparable closure-rate tables do not exist across the full sub-loop literature, and saying so plainly fixes the boundary on inference: the results diagnose evidence maturity and uptake, not final lunar crew capacity.</w:t>
      </w:r>
    </w:p>
    <w:p>
      <w:pPr>
        <w:pStyle w:val="BodyText"/>
        <w:spacing w:line="480" w:lineRule="auto"/>
        <w:ind w:firstLine="720"/>
      </w:pPr>
      <w:r>
        <w:t xml:space="preserve">What follows is a hand-extracted closure panel, built with sub-loop variables and their uncertainties, then a mass-balance inversion for n-star. Until that panel exists, the policy discipline holds. A lunar outpost architecture should separate experiments from reviews, planning priors from untested assumptions, and each closure observation should carry unit, duration, analog environment, crew equivalent, uncertainty, and DOI.</w:t>
      </w:r>
    </w:p>
    <w:bookmarkEnd w:id="107"/>
    <w:bookmarkStart w:id="108" w:name="in-situ-hardware-manufacture-3"/>
    <w:p>
      <w:pPr>
        <w:pStyle w:val="Heading2"/>
        <w:spacing w:line="480" w:lineRule="auto"/>
      </w:pPr>
      <w:r>
        <w:t xml:space="preserve">In-situ Hardware Manufacture</w:t>
      </w:r>
    </w:p>
    <w:p>
      <w:pPr>
        <w:pStyle w:val="FirstParagraph"/>
        <w:spacing w:line="480" w:lineRule="auto"/>
      </w:pPr>
      <w:r>
        <w:t xml:space="preserve">Manufacturing a photobioreactor on the Moon changes the closure model, because the closure equipment itself becomes partly local rather than entirely imported</w:t>
      </w:r>
      <w:r>
        <w:t xml:space="preserve"> </w:t>
      </w:r>
      <w:hyperlink w:anchor="ref-1">
        <w:r>
          <w:rPr>
            <w:rStyle w:val="Hyperlink"/>
          </w:rPr>
          <w:t xml:space="preserve">[1]</w:t>
        </w:r>
      </w:hyperlink>
      <w:r>
        <w:t xml:space="preserve">,</w:t>
      </w:r>
      <w:r>
        <w:t xml:space="preserve"> </w:t>
      </w:r>
      <w:hyperlink w:anchor="ref-12">
        <w:r>
          <w:rPr>
            <w:rStyle w:val="Hyperlink"/>
          </w:rPr>
          <w:t xml:space="preserve">[12]</w:t>
        </w:r>
      </w:hyperlink>
      <w:r>
        <w:t xml:space="preserve">. That shift links two literatures usually held apart, BLSS and ISRU. A biological loop is never only a biochemical process; it is also a hardware and maintenance problem that the dataset will eventually have to represent.</w:t>
      </w:r>
    </w:p>
    <w:p>
      <w:pPr>
        <w:pStyle w:val="BodyText"/>
        <w:spacing w:line="480" w:lineRule="auto"/>
        <w:ind w:firstLine="720"/>
      </w:pPr>
      <w:r>
        <w:t xml:space="preserve">Where the hardware originates alters the crew ceiling. An architecture assuming imported life-support hardware behaves differently from one that permits local manufacture, repair, and replacement. A lunar outpost architecture should therefore mark which parts of its crew-capacity claim rest on experiments, reviews, planning priors, or untested assumptions, and every eventual closure observation should carry unit, duration, analog environment, crew equivalent, uncertainty, and DOI.</w:t>
      </w:r>
    </w:p>
    <w:bookmarkEnd w:id="108"/>
    <w:bookmarkStart w:id="109" w:name="Xe2a6629615082e001765bbb461120572305db59"/>
    <w:p>
      <w:pPr>
        <w:pStyle w:val="Heading2"/>
        <w:spacing w:line="480" w:lineRule="auto"/>
      </w:pPr>
      <w:r>
        <w:t xml:space="preserve">Evidence Integration Addendum: Data limits and extraction path</w:t>
      </w:r>
    </w:p>
    <w:p>
      <w:pPr>
        <w:pStyle w:val="FirstParagraph"/>
        <w:spacing w:line="480" w:lineRule="auto"/>
      </w:pPr>
      <w:r>
        <w:t xml:space="preserve">This addendum sharpens the data discipline by naming what comes after metadata: the limits of the current dataset and the path to row-level physical extraction. No single impressive subsystem can set a lunar carrying capacity, because settlement size is fixed by the tightest coupled limit rather than the strongest component, and the metadata sample can only ever locate where the evidence is, not measure how well each loop closes. The question the eventual dataset has to answer is whether evidence about units, operating conditions, degradation, maintenance, and source role labels can be translated into a claim about safe resident population. That translation runs through row-level extraction, and it demands a record of what each cited source actually supports. A source may back a measured coefficient, a mechanism, a staging assumption, or a governance interpretation, and mixing those roles without saying so corrupts the eventual panel</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11">
        <w:r>
          <w:rPr>
            <w:rStyle w:val="Hyperlink"/>
          </w:rPr>
          <w:t xml:space="preserve">[11]</w:t>
        </w:r>
      </w:hyperlink>
      <w:r>
        <w:t xml:space="preserve">. The first consequence is that closure rate has to be managed, not chanted like a slogan. A high closure claim means something only when it accounts for inputs, outputs, stores, maintenance, failure behavior, and the standing cost of keeping the loop stable. On the Moon, units, operating conditions, degradation, maintenance, and source role labels all draw on shared power, crew time, dust management, spares, and transport. Drop any one of those from the accounting and the capacity gain looks larger than it is. So the chapter aims at parameter confidence, a way to connect technology evidence to settlement operations rather than a decorative efficiency figure, and it treats the current metadata as the groundwork under that future confidence rather than a substitute for it.</w:t>
      </w:r>
    </w:p>
    <w:p>
      <w:pPr>
        <w:pStyle w:val="BodyText"/>
        <w:spacing w:line="480" w:lineRule="auto"/>
        <w:ind w:firstLine="720"/>
      </w:pPr>
      <w:r>
        <w:t xml:space="preserve">The second consequence reframes source traceability as a safety practice. When a decision maker asks why a model permits a larger crew, the answer has to point at data rows, cited studies, and visible conversions. An answer that reduces to</w:t>
      </w:r>
      <w:r>
        <w:t xml:space="preserve"> </w:t>
      </w:r>
      <w:r>
        <w:t xml:space="preserve">“the technology looks promising”</w:t>
      </w:r>
      <w:r>
        <w:t xml:space="preserve"> </w:t>
      </w:r>
      <w:r>
        <w:t xml:space="preserve">has crossed from analysis into advocacy. Row-level extraction keeps the argument tethered to what is known, and it hands future reviewers a way to revise the model when a stronger test, a flight demonstration, or a longer surface operation shifts the parameter base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11">
        <w:r>
          <w:rPr>
            <w:rStyle w:val="Hyperlink"/>
          </w:rPr>
          <w:t xml:space="preserve">[11]</w:t>
        </w:r>
      </w:hyperlink>
      <w:r>
        <w:t xml:space="preserve">. The third consequence is that uncertainty travels forward rather than vanishing. Lunar settlements fuse biology, machinery, materials, logistics, and institutions, and each carries its own uncertainty structure. A photobioreactor pathway may wobble on biological stability and environmental translation. A regolith processing pathway may wobble on feedstock variation, power demand, and maintenance. A cislunar logistics pathway may wobble on market timing and launch availability. A useful dataset keeps all of that visible, then reports how each source of doubt moves the binding constraint.</w:t>
      </w:r>
    </w:p>
    <w:p>
      <w:pPr>
        <w:pStyle w:val="BodyText"/>
        <w:spacing w:line="480" w:lineRule="auto"/>
        <w:ind w:firstLine="720"/>
      </w:pPr>
      <w:r>
        <w:t xml:space="preserve">This lens changes how the chapter reads its own empirical papers. Those papers never claim that citation counts measure engineering readiness. They show how an evidence base gathers attention over time, and why prominence cannot substitute for operational data. That point is the whole reason to plan the extraction carefully. If older sources carry more citations, and if topical flags fail to isolate readiness cleanly, then the review has to look past visibility toward measurement completeness, asking which source reports which variable, under what conditions, over what duration, and with what dependence on imported support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11">
        <w:r>
          <w:rPr>
            <w:rStyle w:val="Hyperlink"/>
          </w:rPr>
          <w:t xml:space="preserve">[11]</w:t>
        </w:r>
      </w:hyperlink>
      <w:r>
        <w:t xml:space="preserve">. A fourth consequence is phase sensitivity. Phase governs everything here. Early outposts, pilot settlements, and mature settlements will never share one capacity rule. Early on, imported reserves can cover weak closure, and the analytical task is to find the loop worth improving first. In a pilot phase, partial local production lifts the safe crew ceiling only when reserve policy stays conservative. In a mature phase, local production, repair capacity, and institutional redundancy move to the center. Reported honestly, parameter confidence is a per-phase construct, not a timeless property.</w:t>
      </w:r>
    </w:p>
    <w:p>
      <w:pPr>
        <w:pStyle w:val="BodyText"/>
        <w:spacing w:line="480" w:lineRule="auto"/>
        <w:ind w:firstLine="720"/>
      </w:pPr>
      <w:r>
        <w:t xml:space="preserve">With that framing, the extraction path hands planners a way to compare investments directly. If water and nitrogen recovery bind, better biological or chemical recycling evidence moves the capacity range. If oxygen import binds, regolith oxygen production, storage, and maintenance data carry the most weight. If food binds, crop and photobioreactor duration, nutrition, harvest reliability, and crew acceptance decide the ceiling. If spare parts bind, surface fabrication and qualification matter most. Tying each measurement gap to a specific capacity consequence beats any generic call for more research</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11">
        <w:r>
          <w:rPr>
            <w:rStyle w:val="Hyperlink"/>
          </w:rPr>
          <w:t xml:space="preserve">[11]</w:t>
        </w:r>
      </w:hyperlink>
      <w:r>
        <w:t xml:space="preserve">. The same logic guards against double counting. One resource can appear in several subsystems, and one support function can serve several closure loops. A greenhouse, a photobioreactor, and a waste processor may all draw on water, power, monitoring, and crew or robotic attention. A regolith oxygen plant and a fabrication system may share excavation, energy, and maintenance infrastructure. Add up their maximum benefits independently and the settlement looks more capable than it is. The overlap hides. Real accounting has to surface it. A disciplined dataset aggregates only compatible contributions and shows shared dependencies before it raises the population ceiling.</w:t>
      </w:r>
    </w:p>
    <w:p>
      <w:pPr>
        <w:pStyle w:val="BodyText"/>
        <w:spacing w:line="480" w:lineRule="auto"/>
        <w:ind w:firstLine="720"/>
      </w:pPr>
      <w:r>
        <w:t xml:space="preserve">Say less, but say it exactly. For policy and governance, the working standard is conditional clarity. The model should say that a capacity increase follows if the relevant loop performs at the stated level, if the supporting infrastructure is in place, if reserve rules hold, and if the evidence is strong enough for the mission phase. That sentence is less dramatic than a declaration of lunar self-sufficiency, and far more useful, because it lets sponsors, partners, and reviewers see exactly where the risk sits and what new evidence would change the answer. So the addendum feeds the dissertation’s central thesis. Lunar settlement capacity is fixed neither by lunar resources alone nor by Earth launch capacity alone. It emerges from measured closure, local resource services, maintenance capability, reserve policy, and evidence that can be updated. This chapter contributes by showing how data limits and the extraction path connect to parameter confidence. Seen that way, row-level extraction is more than a research method. It is the operating discipline that keeps ambitious cislunar development claims aligned with evidence, safety, and strategic judgment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r>
        <w:t xml:space="preserve"> </w:t>
      </w:r>
      <w:hyperlink w:anchor="ref-11">
        <w:r>
          <w:rPr>
            <w:rStyle w:val="Hyperlink"/>
          </w:rPr>
          <w:t xml:space="preserve">[11]</w:t>
        </w:r>
      </w:hyperlink>
      <w:r>
        <w:t xml:space="preserve">.</w:t>
      </w:r>
    </w:p>
    <w:bookmarkEnd w:id="109"/>
    <w:bookmarkStart w:id="110" w:name="chapter-synthesis-3"/>
    <w:p>
      <w:pPr>
        <w:pStyle w:val="Heading2"/>
        <w:spacing w:line="480" w:lineRule="auto"/>
      </w:pPr>
      <w:r>
        <w:t xml:space="preserve">Chapter Synthesis</w:t>
      </w:r>
    </w:p>
    <w:p>
      <w:pPr>
        <w:pStyle w:val="FirstParagraph"/>
        <w:spacing w:line="480" w:lineRule="auto"/>
      </w:pPr>
      <w:r>
        <w:t xml:space="preserve">The measurement strategy buys auditability at a price. It leaves the data less physically complete than an ideal closure panel would be. It also leaves the data more honest than a fabricated one, and that trade is the point.</w:t>
      </w:r>
    </w:p>
    <w:bookmarkEnd w:id="110"/>
    <w:bookmarkEnd w:id="111"/>
    <w:bookmarkStart w:id="122" w:name="chapter-5.-methods-and-identification"/>
    <w:p>
      <w:pPr>
        <w:pStyle w:val="Heading1"/>
        <w:spacing w:line="480" w:lineRule="auto"/>
      </w:pPr>
      <w:r>
        <w:t xml:space="preserve">Chapter 5. Methods and Identification</w:t>
      </w:r>
    </w:p>
    <w:p>
      <w:pPr>
        <w:pStyle w:val="FirstParagraph"/>
        <w:spacing w:line="480" w:lineRule="auto"/>
      </w:pPr>
      <w:r>
        <w:t xml:space="preserve">The methods follow from the evidence. Because the evidence is metadata, the estimators stay matched to what metadata can honestly bear. Paper 1 runs OLS to estimate associations among citation count, paper age, ISRU orientation, and life-support orientation. Paper 2 fits a log-log learning curve to estimate how citations accumulate with paper age. Neither estimates physical closure, and neither pretends to.</w:t>
      </w:r>
    </w:p>
    <w:p>
      <w:pPr>
        <w:pStyle w:val="BodyText"/>
        <w:spacing w:line="480" w:lineRule="auto"/>
        <w:ind w:firstLine="720"/>
      </w:pPr>
      <w:r>
        <w:t xml:space="preserve">Their value is bounding, not measuring. They mark how attention and age shape the very literature a later closure-rate model would have to draw on.</w:t>
      </w:r>
    </w:p>
    <w:bookmarkStart w:id="112" w:name="empirical-foundation-4"/>
    <w:p>
      <w:pPr>
        <w:pStyle w:val="Heading2"/>
        <w:spacing w:line="480" w:lineRule="auto"/>
      </w:pPr>
      <w:r>
        <w:t xml:space="preserve">Empirical Foundation</w:t>
      </w:r>
    </w:p>
    <w:p>
      <w:pPr>
        <w:pStyle w:val="FirstParagraph"/>
        <w:spacing w:line="480" w:lineRule="auto"/>
      </w:pPr>
      <w:r>
        <w:t xml:space="preserve">The first estimator is ordinary least squares with HC1 robust standard errors. Citation count regresses on paper age, the ISRU indicator, and the life-support indicator. On age, the coefficient estimates the association between one more year of opportunity for citation and the citations actually recorded. On the two sub-loop indicators, the coefficients estimate average differences tied to ISRU and life-support orientation, holding age fixed.</w:t>
      </w:r>
    </w:p>
    <w:p>
      <w:pPr>
        <w:pStyle w:val="BodyText"/>
        <w:spacing w:line="480" w:lineRule="auto"/>
        <w:ind w:firstLine="720"/>
      </w:pPr>
      <w:r>
        <w:t xml:space="preserve">Why OLS at all, given skewed counts? Because the repository’s deterministic paper pipeline reports coefficients and robust standard errors transparently, and transparency is the governing constraint here. Citation counts are skewed, so the OLS output stands as descriptive rather than as a claim about an ideal count-data process. The second paper complements that specification with a log-log learning curve for accumulation.</w:t>
      </w:r>
    </w:p>
    <w:bookmarkEnd w:id="112"/>
    <w:bookmarkStart w:id="113" w:name="learning-curve-method"/>
    <w:p>
      <w:pPr>
        <w:pStyle w:val="Heading2"/>
        <w:spacing w:line="480" w:lineRule="auto"/>
      </w:pPr>
      <w:r>
        <w:t xml:space="preserve">Learning-Curve Method</w:t>
      </w:r>
    </w:p>
    <w:p>
      <w:pPr>
        <w:pStyle w:val="FirstParagraph"/>
        <w:spacing w:line="480" w:lineRule="auto"/>
      </w:pPr>
      <w:r>
        <w:t xml:space="preserve">The repository learning-curve method runs ordinary least squares after a natural-log transformation. It regresses log citations-plus-one on log paper-age-plus-one, and the slope it returns is an elasticity. A slope of one would mean proportional accumulation, where a doubling of age tracks a doubling of citations-plus-one. A slope above one signals more-than-proportional accumulation, which is the case worth watching.</w:t>
      </w:r>
    </w:p>
    <w:p>
      <w:pPr>
        <w:pStyle w:val="BodyText"/>
        <w:spacing w:line="480" w:lineRule="auto"/>
        <w:ind w:firstLine="720"/>
      </w:pPr>
      <w:r>
        <w:t xml:space="preserve">HC1 robust standard errors carry through here too. The design is bibliometric and cross-sectional, so it estimates no causal influence, and the chapter says as much rather than leaving it implied. Older papers differ from recent ones in topic, in opportunity, and in field maturity. So the coefficient reads as a descriptive measure of accumulation within the sample, nothing stronger.</w:t>
      </w:r>
    </w:p>
    <w:bookmarkEnd w:id="113"/>
    <w:bookmarkStart w:id="114" w:name="evidence-age-and-citation-uptake-3"/>
    <w:p>
      <w:pPr>
        <w:pStyle w:val="Heading2"/>
        <w:spacing w:line="480" w:lineRule="auto"/>
      </w:pPr>
      <w:r>
        <w:t xml:space="preserve">Evidence Age and Citation Uptake</w:t>
      </w:r>
    </w:p>
    <w:p>
      <w:pPr>
        <w:pStyle w:val="FirstParagraph"/>
        <w:spacing w:line="480" w:lineRule="auto"/>
      </w:pPr>
      <w:r>
        <w:t xml:space="preserve">Both empirical papers converge on one finding: citation uptake is strongly age-dependent, and that age-related attention can distort how mature newer sub-loop work appears. The effect is concrete in the numbers: a learning-curve elasticity of 1.4931, with a doubling multiplier of 2.8149. Building that recognition into the identification strategy keeps the methods from ranking papers by citation count alone.</w:t>
      </w:r>
    </w:p>
    <w:p>
      <w:pPr>
        <w:pStyle w:val="BodyText"/>
        <w:spacing w:line="480" w:lineRule="auto"/>
        <w:ind w:firstLine="720"/>
      </w:pPr>
      <w:r>
        <w:t xml:space="preserve">Recent work can sit at the technical center of closure long before it has gathered attention. Evidence governance therefore has to track publication year, citation count, DOI, sub-loop, and physical variable as separate fields, never as one fused score. Any architecture that later consumes such a model should mark which parts of its crew-capacity claim rest on experiments, reviews, planning priors, or untested assumptions, with unit, duration, analog environment, crew equivalent, uncertainty, and DOI on each observation.</w:t>
      </w:r>
    </w:p>
    <w:bookmarkEnd w:id="114"/>
    <w:bookmarkStart w:id="115" w:name="metadata-as-audit-trail-3"/>
    <w:p>
      <w:pPr>
        <w:pStyle w:val="Heading2"/>
        <w:spacing w:line="480" w:lineRule="auto"/>
      </w:pPr>
      <w:r>
        <w:t xml:space="preserve">Metadata as Audit Trail</w:t>
      </w:r>
    </w:p>
    <w:p>
      <w:pPr>
        <w:pStyle w:val="FirstParagraph"/>
        <w:spacing w:line="480" w:lineRule="auto"/>
      </w:pPr>
      <w:r>
        <w:t xml:space="preserve">DOI-bearing rows, publication years, corpus citation counts, and transparent title-keyword classifications make up the Acta metadata dataset</w:t>
      </w:r>
      <w:r>
        <w:t xml:space="preserve"> </w:t>
      </w:r>
      <w:hyperlink w:anchor="ref-11">
        <w:r>
          <w:rPr>
            <w:rStyle w:val="Hyperlink"/>
          </w:rPr>
          <w:t xml:space="preserve">[11]</w:t>
        </w:r>
      </w:hyperlink>
      <w:r>
        <w:t xml:space="preserve">. Auditability is what the method depends on. Anyone can see which papers were counted and how each row was classified, which is the first thing a reproducible estimation has to prove.</w:t>
      </w:r>
    </w:p>
    <w:p>
      <w:pPr>
        <w:pStyle w:val="BodyText"/>
        <w:spacing w:line="480" w:lineRule="auto"/>
        <w:ind w:firstLine="720"/>
      </w:pPr>
      <w:r>
        <w:t xml:space="preserve">That discipline extends naturally once physical closure values are extracted. Every water, oxygen, nitrogen, or biomass value should arrive with its DOI, unit, duration, analog context, and uncertainty attached. Under that rule a lunar outpost architecture can state honestly which parts of its claim rest on experiments, reviews, planning priors, or untested assumptions.</w:t>
      </w:r>
    </w:p>
    <w:bookmarkEnd w:id="115"/>
    <w:bookmarkStart w:id="116" w:name="limits-and-next-data-3"/>
    <w:p>
      <w:pPr>
        <w:pStyle w:val="Heading2"/>
        <w:spacing w:line="480" w:lineRule="auto"/>
      </w:pPr>
      <w:r>
        <w:t xml:space="preserve">Limits and Next Data</w:t>
      </w:r>
    </w:p>
    <w:p>
      <w:pPr>
        <w:pStyle w:val="FirstParagraph"/>
        <w:spacing w:line="480" w:lineRule="auto"/>
      </w:pPr>
      <w:r>
        <w:t xml:space="preserve">This dissertation never pretends metadata equals physical performance. It reaches for metadata because comparable closure-rate tables do not exist across the full sub-loop literature, and naming that limit fixes the boundary on inference: the results diagnose evidence maturity and uptake, not final lunar crew capacity.</w:t>
      </w:r>
    </w:p>
    <w:p>
      <w:pPr>
        <w:pStyle w:val="BodyText"/>
        <w:spacing w:line="480" w:lineRule="auto"/>
        <w:ind w:firstLine="720"/>
      </w:pPr>
      <w:r>
        <w:t xml:space="preserve">Next comes a hand-extracted closure panel with sub-loop variables and their uncertainties, followed by a mass-balance inversion for n-star. Until that panel exists, the policy discipline holds. A lunar outpost architecture should separate experiments from reviews, planning priors from untested assumptions, with unit, duration, analog environment, crew equivalent, uncertainty, and DOI on each closure observation.</w:t>
      </w:r>
    </w:p>
    <w:bookmarkEnd w:id="116"/>
    <w:bookmarkStart w:id="117" w:name="sub-loop-heterogeneity-4"/>
    <w:p>
      <w:pPr>
        <w:pStyle w:val="Heading2"/>
        <w:spacing w:line="480" w:lineRule="auto"/>
      </w:pPr>
      <w:r>
        <w:t xml:space="preserve">Sub-loop Heterogeneity</w:t>
      </w:r>
    </w:p>
    <w:p>
      <w:pPr>
        <w:pStyle w:val="FirstParagraph"/>
        <w:spacing w:line="480" w:lineRule="auto"/>
      </w:pPr>
      <w:r>
        <w:t xml:space="preserve">Reading BLSS, urine recycling, regolith oxygen extraction, photobioreactors, food systems, and ISRU manufacturing as one technology conceals how differently they behave. Each produces its own variables, on its own time scale, with its own uncertainty profile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The methods keep them apart as an evidence system so those differences remain legible in the estimates.</w:t>
      </w:r>
    </w:p>
    <w:p>
      <w:pPr>
        <w:pStyle w:val="BodyText"/>
        <w:spacing w:line="480" w:lineRule="auto"/>
        <w:ind w:firstLine="720"/>
      </w:pPr>
      <w:r>
        <w:t xml:space="preserve">Heterogeneity is why the papers reach for bibliometric metadata first. Physical closure data are not reported consistently across sub-loops, so the dissertation refuses to fabricate comparable rates where the papers report unlike quantities, and it makes evidence mapping the prerequisite to synthesis. Policy inherits the discipline unchanged: a lunar outpost architecture should separate experiments from reviews, planning priors from untested assumptions, and carry unit, duration, analog environment, crew equivalent, uncertainty, and DOI on each observation.</w:t>
      </w:r>
    </w:p>
    <w:bookmarkEnd w:id="117"/>
    <w:bookmarkStart w:id="118" w:name="delphi-and-planning-priors-3"/>
    <w:p>
      <w:pPr>
        <w:pStyle w:val="Heading2"/>
        <w:spacing w:line="480" w:lineRule="auto"/>
      </w:pPr>
      <w:r>
        <w:t xml:space="preserve">Delphi and Planning Priors</w:t>
      </w:r>
    </w:p>
    <w:p>
      <w:pPr>
        <w:pStyle w:val="FirstParagraph"/>
        <w:spacing w:line="480" w:lineRule="auto"/>
      </w:pPr>
      <w:r>
        <w:t xml:space="preserve">The ISRU Delphi survey supplies expert expectations for a 2040 lunar outpost, but expert priors are not measured closure rates</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Holding that line keeps planning concepts in their place alongside the estimators. They furnish reference cases and assumptions; they do not furnish observed system closure.</w:t>
      </w:r>
    </w:p>
    <w:p>
      <w:pPr>
        <w:pStyle w:val="BodyText"/>
        <w:spacing w:line="480" w:lineRule="auto"/>
        <w:ind w:firstLine="720"/>
      </w:pPr>
      <w:r>
        <w:t xml:space="preserve">So the dissertation uses Delphi evidence as context around crew-size claims while keeping the empirical metadata and estimator results separate. A lunar outpost architecture should say which parts of its crew-capacity claim rest on experiments, which on reviews, which on planning priors like these, and which on untested assumptions, with unit, duration, analog environment, crew equivalent, uncertainty, and DOI on each observation.</w:t>
      </w:r>
    </w:p>
    <w:bookmarkEnd w:id="118"/>
    <w:bookmarkStart w:id="119" w:name="cislunar-system-context-1"/>
    <w:p>
      <w:pPr>
        <w:pStyle w:val="Heading2"/>
        <w:spacing w:line="480" w:lineRule="auto"/>
      </w:pPr>
      <w:r>
        <w:t xml:space="preserve">Cislunar System Context</w:t>
      </w:r>
    </w:p>
    <w:p>
      <w:pPr>
        <w:pStyle w:val="FirstParagraph"/>
        <w:spacing w:line="480" w:lineRule="auto"/>
      </w:pPr>
      <w:r>
        <w:t xml:space="preserve">Carrying capacity does not sit in isolation; it interacts with cislunar logistics, resource industries, and infrastructure scenarios</w:t>
      </w:r>
      <w:r>
        <w:t xml:space="preserve"> </w:t>
      </w:r>
      <w:hyperlink w:anchor="ref-10">
        <w:r>
          <w:rPr>
            <w:rStyle w:val="Hyperlink"/>
          </w:rPr>
          <w:t xml:space="preserve">[10]</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 A settlement is not a sealed habitat but a node in a supply chain, and even a methods chapter has to hold that context in view when it bounds its inference.</w:t>
      </w:r>
    </w:p>
    <w:p>
      <w:pPr>
        <w:pStyle w:val="BodyText"/>
        <w:spacing w:line="480" w:lineRule="auto"/>
        <w:ind w:firstLine="720"/>
      </w:pPr>
      <w:r>
        <w:t xml:space="preserve">Lower resupply mass ripples outward, changing launch demand, surface logistics, pad design, and maintenance requirements, which is why a closure-rate model is a governance tool as much as an engineering one: it sets how much external infrastructure a settlement needs. A lunar outpost architecture should therefore separate experiments from reviews, planning priors from untested assumptions, and carry unit, duration, analog environment, crew equivalent, uncertainty, and DOI on each observation.</w:t>
      </w:r>
    </w:p>
    <w:bookmarkEnd w:id="119"/>
    <w:bookmarkStart w:id="120" w:name="Xe20d41e8eab4cdb3341c2a88e451a77f4c49d86"/>
    <w:p>
      <w:pPr>
        <w:pStyle w:val="Heading2"/>
        <w:spacing w:line="480" w:lineRule="auto"/>
      </w:pPr>
      <w:r>
        <w:t xml:space="preserve">Evidence Integration Addendum: Identification boundaries</w:t>
      </w:r>
    </w:p>
    <w:p>
      <w:pPr>
        <w:pStyle w:val="FirstParagraph"/>
        <w:spacing w:line="480" w:lineRule="auto"/>
      </w:pPr>
      <w:r>
        <w:t xml:space="preserve">This addendum sharpens the identification logic by drawing its boundaries in the open, so no reader mistakes a bounded estimate for a causal one. No single impressive subsystem can set a lunar carrying capacity, because settlement size is fixed by the tightest coupled limit rather than the strongest component, and a cross-sectional bibliometric estimate can only ever describe the literature, never the physics of closure. The question the eventual model has to answer is whether evidence about measured performance, analog translation, scenario use, and failure states can be translated into a claim about safe resident population. That translation runs through bounded inference, and it demands a record of what each cited source actually supports. A source may back a measured coefficient, a mechanism, a staging assumption, or a governance interpretation, and mixing those roles without saying so corrupts the identification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first consequence is that closure rate has to be managed, not chanted like a slogan. A high closure claim means something only when it accounts for inputs, outputs, stores, maintenance, failure behavior, and the standing cost of keeping the loop stable. On the Moon, measured performance, analog translation, scenario use, and failure states all draw on shared power, crew time, dust management, spares, and transport. Drop any one of those from the accounting and the capacity gain looks larger than it is. So the chapter aims at conditional capacity estimates, a way to connect technology evidence to settlement operations rather than a decorative efficiency figure, and it keeps every such estimate inside the bounds its data can defend.</w:t>
      </w:r>
    </w:p>
    <w:p>
      <w:pPr>
        <w:pStyle w:val="BodyText"/>
        <w:spacing w:line="480" w:lineRule="auto"/>
        <w:ind w:firstLine="720"/>
      </w:pPr>
      <w:r>
        <w:t xml:space="preserve">The second consequence reframes source traceability as a safety practice. When a decision maker asks why a model permits a larger crew, the answer has to point at data rows, cited studies, and visible conversions. An answer that reduces to</w:t>
      </w:r>
      <w:r>
        <w:t xml:space="preserve"> </w:t>
      </w:r>
      <w:r>
        <w:t xml:space="preserve">“the technology looks promising”</w:t>
      </w:r>
      <w:r>
        <w:t xml:space="preserve"> </w:t>
      </w:r>
      <w:r>
        <w:t xml:space="preserve">has crossed from analysis into advocacy. Bounded inference keeps the argument tethered to what is known, and it hands future reviewers a way to revise the model when a stronger test, a flight demonstration, or a longer surface operation shifts the parameter base</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third consequence is that uncertainty travels forward rather than vanishing. Lunar settlements fuse biology, machinery, materials, logistics, and institutions, and each carries its own uncertainty structure. A photobioreactor pathway may wobble on biological stability and environmental translation. A regolith processing pathway may wobble on feedstock variation, power demand, and maintenance. A cislunar logistics pathway may wobble on market timing and launch availability. A useful model keeps all of that visible, then reports how each source of doubt moves the binding constraint.</w:t>
      </w:r>
    </w:p>
    <w:p>
      <w:pPr>
        <w:pStyle w:val="BodyText"/>
        <w:spacing w:line="480" w:lineRule="auto"/>
        <w:ind w:firstLine="720"/>
      </w:pPr>
      <w:r>
        <w:t xml:space="preserve">This lens changes how the chapter reads its own empirical papers. Those papers never claim that citation counts measure engineering readiness. They show how an evidence base gathers attention over time, and why prominence cannot substitute for operational data. That point is the whole reason to bound the inference carefully. If older sources carry more citations, and if topical flags fail to isolate readiness cleanly, then the review has to look past visibility toward measurement completeness, asking which source reports which variable, under what conditions, over what duration, and with what dependence on imported support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 fourth consequence is phase sensitivity. Phase governs everything here. Early outposts, pilot settlements, and mature settlements will never share one capacity rule. Early on, imported reserves can cover weak closure, and the analytical task is to find the loop worth improving first. In a pilot phase, partial local production lifts the safe crew ceiling only when reserve policy stays conservative. In a mature phase, local production, repair capacity, and institutional redundancy move to the center. Reported honestly, conditional capacity estimates are per-phase constructs, not timeless properties.</w:t>
      </w:r>
    </w:p>
    <w:p>
      <w:pPr>
        <w:pStyle w:val="BodyText"/>
        <w:spacing w:line="480" w:lineRule="auto"/>
        <w:ind w:firstLine="720"/>
      </w:pPr>
      <w:r>
        <w:t xml:space="preserve">With that framing, the identification logic hands planners a way to compare investments directly. If water and nitrogen recovery bind, better biological or chemical recycling evidence moves the capacity range. If oxygen import binds, regolith oxygen production, storage, and maintenance data carry the most weight. If food binds, crop and photobioreactor duration, nutrition, harvest reliability, and crew acceptance decide the ceiling. If spare parts bind, surface fabrication and qualification matter most. Tying each measurement gap to a specific capacity consequence beats any generic call for more research</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same logic guards against double counting. One resource can appear in several subsystems, and one support function can serve several closure loops. A greenhouse, a photobioreactor, and a waste processor may all draw on water, power, monitoring, and crew or robotic attention. A regolith oxygen plant and a fabrication system may share excavation, energy, and maintenance infrastructure. Add up their maximum benefits independently and the settlement looks more capable than it is. The overlap hides. Real accounting has to surface it. A disciplined model aggregates only compatible contributions and shows shared dependencies before it raises the population ceiling.</w:t>
      </w:r>
    </w:p>
    <w:p>
      <w:pPr>
        <w:pStyle w:val="BodyText"/>
        <w:spacing w:line="480" w:lineRule="auto"/>
        <w:ind w:firstLine="720"/>
      </w:pPr>
      <w:r>
        <w:t xml:space="preserve">Say less, but say it exactly. For policy and governance, the working standard is conditional clarity. The model should say that a capacity increase follows if the relevant loop performs at the stated level, if the supporting infrastructure is in place, if reserve rules hold, and if the evidence is strong enough for the mission phase. That sentence is less dramatic than a declaration of lunar self-sufficiency, and far more useful, because it lets sponsors, partners, and reviewers see exactly where the risk sits and what new evidence would change the answer. So the addendum feeds the dissertation’s central thesis. Lunar settlement capacity is fixed neither by lunar resources alone nor by Earth launch capacity alone. It emerges from measured closure, local resource services, maintenance capability, reserve policy, and evidence that can be updated. This chapter contributes by showing how identification boundaries connect to conditional capacity estimates. Seen that way, bounded inference is more than a research method. It is the operating discipline that keeps ambitious cislunar development claims aligned with evidence, safety, and strategic judgment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bookmarkEnd w:id="120"/>
    <w:bookmarkStart w:id="121" w:name="chapter-synthesis-4"/>
    <w:p>
      <w:pPr>
        <w:pStyle w:val="Heading2"/>
        <w:spacing w:line="480" w:lineRule="auto"/>
      </w:pPr>
      <w:r>
        <w:t xml:space="preserve">Chapter Synthesis</w:t>
      </w:r>
    </w:p>
    <w:p>
      <w:pPr>
        <w:pStyle w:val="FirstParagraph"/>
        <w:spacing w:line="480" w:lineRule="auto"/>
      </w:pPr>
      <w:r>
        <w:t xml:space="preserve">The methods buy bounded inference and nothing more. They measure citation uptake and age elasticity. They do not measure physical crew capacity, and the chapter is careful never to let the reader believe otherwise.</w:t>
      </w:r>
    </w:p>
    <w:bookmarkEnd w:id="121"/>
    <w:bookmarkEnd w:id="122"/>
    <w:bookmarkStart w:id="136" w:name="chapter-6.-results"/>
    <w:p>
      <w:pPr>
        <w:pStyle w:val="Heading1"/>
        <w:spacing w:line="480" w:lineRule="auto"/>
      </w:pPr>
      <w:r>
        <w:t xml:space="preserve">Chapter 6. Results</w:t>
      </w:r>
    </w:p>
    <w:p>
      <w:pPr>
        <w:pStyle w:val="FirstParagraph"/>
        <w:spacing w:line="480" w:lineRule="auto"/>
      </w:pPr>
      <w:r>
        <w:t xml:space="preserve">The results describe an evidence base that is both age-dependent and uneven. Paper 1 finds directional age and ISRU effects without rejecting the joint null at standard thresholds. Paper 2 finds a strong positive citation accumulation elasticity. Read together, the two findings explain why a carrying-capacity model has to keep technical relevance and citation maturity in separate columns.</w:t>
      </w:r>
    </w:p>
    <w:p>
      <w:pPr>
        <w:pStyle w:val="BodyText"/>
        <w:spacing w:line="480" w:lineRule="auto"/>
        <w:ind w:firstLine="720"/>
      </w:pPr>
      <w:r>
        <w:t xml:space="preserve">Exact estimator outputs come first here. Interpretation for lunar settlement closure follows, once the numbers are on the table.</w:t>
      </w:r>
    </w:p>
    <w:bookmarkStart w:id="123" w:name="empirical-foundation-5"/>
    <w:p>
      <w:pPr>
        <w:pStyle w:val="Heading2"/>
        <w:spacing w:line="480" w:lineRule="auto"/>
      </w:pPr>
      <w:r>
        <w:t xml:space="preserve">Empirical Foundation</w:t>
      </w:r>
    </w:p>
    <w:bookmarkEnd w:id="123"/>
    <w:bookmarkStart w:id="124" w:name="exact-results-from-paper-1"/>
    <w:p>
      <w:pPr>
        <w:pStyle w:val="Heading2"/>
        <w:spacing w:line="480" w:lineRule="auto"/>
      </w:pPr>
      <w:r>
        <w:t xml:space="preserve">Exact Results from Paper 1</w:t>
      </w:r>
    </w:p>
    <w:p>
      <w:pPr>
        <w:pStyle w:val="FirstParagraph"/>
        <w:spacing w:line="480" w:lineRule="auto"/>
      </w:pPr>
      <w:r>
        <w:t xml:space="preserve">Paper 1 draws on 40 Acta metadata observations. Its OLS model reports an R-squared of 0.3031 and an adjusted R-squared of 0.2451. The joint F statistic is 1.2641 with a p-value of 0.3013. The intercept is -19.0151, with a robust standard error of 14.0755 and a p-value of 0.1767.</w:t>
      </w:r>
    </w:p>
    <w:p>
      <w:pPr>
        <w:pStyle w:val="BodyText"/>
        <w:spacing w:line="480" w:lineRule="auto"/>
        <w:ind w:firstLine="720"/>
      </w:pPr>
      <w:r>
        <w:t xml:space="preserve">On paper_age_plus_one, the coefficient is 7.6293, with a robust standard error of 3.9996 and a p-value of 0.0565. Its confidence interval runs from -0.2098 to 15.4683. On is_isru, the coefficient is 22.8750, with a robust standard error of 14.0730 and a p-value of 0.1041. Its confidence interval runs from -4.7076 to 50.4576. On is_life_support, the coefficient is -12.3731, with a robust standard error of 10.8055 and a p-value of 0.2522.</w:t>
      </w:r>
    </w:p>
    <w:p>
      <w:pPr>
        <w:pStyle w:val="BodyText"/>
        <w:spacing w:line="480" w:lineRule="auto"/>
        <w:ind w:firstLine="720"/>
      </w:pPr>
      <w:r>
        <w:t xml:space="preserve">These estimates do not support a strong rejection of the joint null. What they do show is a directional age effect and a possible ISRU attention effect. Read them as a diagnostic of literature uptake rather than a definitive maturity ranking, because that is all the numbers can carry.</w:t>
      </w:r>
    </w:p>
    <w:bookmarkEnd w:id="124"/>
    <w:bookmarkStart w:id="125" w:name="exact-results-from-paper-2"/>
    <w:p>
      <w:pPr>
        <w:pStyle w:val="Heading2"/>
        <w:spacing w:line="480" w:lineRule="auto"/>
      </w:pPr>
      <w:r>
        <w:t xml:space="preserve">Exact Results from Paper 2</w:t>
      </w:r>
    </w:p>
    <w:p>
      <w:pPr>
        <w:pStyle w:val="FirstParagraph"/>
        <w:spacing w:line="480" w:lineRule="auto"/>
      </w:pPr>
      <w:r>
        <w:t xml:space="preserve">Paper 2 uses the same 40 observations and fits a log-log learning curve. The model reports an R-squared of 0.6223. The intercept is 0.1342, with a robust standard error of 0.2095 and a p-value of 0.5219. The age elasticity is 1.4931, with a robust standard error of 0.1766 and a p-value of 2.8303e-17. Its confidence interval runs from 1.1469 to 1.8393.</w:t>
      </w:r>
    </w:p>
    <w:p>
      <w:pPr>
        <w:pStyle w:val="BodyText"/>
        <w:spacing w:line="480" w:lineRule="auto"/>
        <w:ind w:firstLine="720"/>
      </w:pPr>
      <w:r>
        <w:t xml:space="preserve">The doubling multiplier is 2.8149. Put plainly, a doubling of paper_age_plus_one is associated with 2.8149 times citations_plus_one in the sample. That result supports rejecting the null that citation accumulation elasticity is zero.</w:t>
      </w:r>
    </w:p>
    <w:bookmarkEnd w:id="125"/>
    <w:bookmarkStart w:id="126" w:name="joint-interpretation"/>
    <w:p>
      <w:pPr>
        <w:pStyle w:val="Heading2"/>
        <w:spacing w:line="480" w:lineRule="auto"/>
      </w:pPr>
      <w:r>
        <w:t xml:space="preserve">Joint Interpretation</w:t>
      </w:r>
    </w:p>
    <w:p>
      <w:pPr>
        <w:pStyle w:val="FirstParagraph"/>
        <w:spacing w:line="480" w:lineRule="auto"/>
      </w:pPr>
      <w:r>
        <w:t xml:space="preserve">Put side by side, the two results show why citation counts demand care in lunar closure modeling. Paper 1 shows that age and sub-loop labels do not produce a clean maturity hierarchy inside a multi-predictor OLS model. Paper 2 shows that age alone carries a strong positive log-log relationship with citations-plus-one. A recent photobioreactor or food-system paper can therefore be technically relevant and still young in citation time, and both facts hold at once.</w:t>
      </w:r>
    </w:p>
    <w:p>
      <w:pPr>
        <w:pStyle w:val="BodyText"/>
        <w:spacing w:line="480" w:lineRule="auto"/>
        <w:ind w:firstLine="720"/>
      </w:pPr>
      <w:r>
        <w:t xml:space="preserve">The implication for carrying capacity is direct. Modelers should neither calibrate n-star from citation rank alone nor ignore citation maturity altogether. Evidence selection has to record DOI, sub-loop, physical variable, publication year, citation count, and comparability before any crew capacity is computed.</w:t>
      </w:r>
    </w:p>
    <w:bookmarkEnd w:id="126"/>
    <w:bookmarkStart w:id="127" w:name="closure-as-carrying-capacity-3"/>
    <w:p>
      <w:pPr>
        <w:pStyle w:val="Heading2"/>
        <w:spacing w:line="480" w:lineRule="auto"/>
      </w:pPr>
      <w:r>
        <w:t xml:space="preserve">Closure as Carrying Capacity</w:t>
      </w:r>
    </w:p>
    <w:p>
      <w:pPr>
        <w:pStyle w:val="FirstParagraph"/>
        <w:spacing w:line="480" w:lineRule="auto"/>
      </w:pPr>
      <w:r>
        <w:t xml:space="preserve">Before it is an architectural ambition, a lunar crew ceiling is a mass-balance problem. Water, oxygen, nitrogen, edible biomass, and atmosphere each have to be recovered, substituted, or resupplied, because volume and power do not feed a crew on their own. That is why the prospectus names closure as the binding variable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In the results chapter, that recognition frames how the exact coefficients get read, holding to one stance: the literature is an evidence system, not a list of promising technologies.</w:t>
      </w:r>
    </w:p>
    <w:p>
      <w:pPr>
        <w:pStyle w:val="BodyText"/>
        <w:spacing w:line="480" w:lineRule="auto"/>
        <w:ind w:firstLine="720"/>
      </w:pPr>
      <w:r>
        <w:t xml:space="preserve">Tie that stance back to the original question and the payoff shows. Metadata cannot replace measured closure rates, yet it can reveal where the evidence base runs strong, recent, or thin. Hide that unevenness and the model misleads its own readers. Keeping technical relevance, citation maturity, and measurement comparability apart is how the results stay defensible.</w:t>
      </w:r>
    </w:p>
    <w:p>
      <w:pPr>
        <w:pStyle w:val="BodyText"/>
        <w:spacing w:line="480" w:lineRule="auto"/>
        <w:ind w:firstLine="720"/>
      </w:pPr>
      <w:r>
        <w:t xml:space="preserve">A credible n-star estimate has to expose which sub-loop carries the uncertainty; otherwise a crew-size target looks technical while resting on weak evidence. Policy inherits the discipline unchanged. A lunar outpost architecture should state which parts of its crew-capacity claim rest on experiments, reviews, planning priors, or untested assumptions, with unit, duration, analog environment, crew equivalent, uncertainty, and DOI on each closure observation.</w:t>
      </w:r>
    </w:p>
    <w:bookmarkEnd w:id="127"/>
    <w:bookmarkStart w:id="128" w:name="sub-loop-heterogeneity-5"/>
    <w:p>
      <w:pPr>
        <w:pStyle w:val="Heading2"/>
        <w:spacing w:line="480" w:lineRule="auto"/>
      </w:pPr>
      <w:r>
        <w:t xml:space="preserve">Sub-loop Heterogeneity</w:t>
      </w:r>
    </w:p>
    <w:p>
      <w:pPr>
        <w:pStyle w:val="FirstParagraph"/>
        <w:spacing w:line="480" w:lineRule="auto"/>
      </w:pPr>
      <w:r>
        <w:t xml:space="preserve">Reading BLSS, urine recycling, regolith oxygen extraction, photobioreactors, food systems, and ISRU manufacturing as one technology conceals how differently they behave. Each produces its own variables, on its own time scale, with its own uncertainty profile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The results keep them apart as an evidence system so the coefficients do not smear distinct sub-loops together.</w:t>
      </w:r>
    </w:p>
    <w:p>
      <w:pPr>
        <w:pStyle w:val="BodyText"/>
        <w:spacing w:line="480" w:lineRule="auto"/>
        <w:ind w:firstLine="720"/>
      </w:pPr>
      <w:r>
        <w:t xml:space="preserve">Heterogeneity is why the papers reach for bibliometric metadata first. Physical closure data are not reported consistently across sub-loops, so the dissertation refuses to fabricate comparable rates where the papers report unlike quantities, and it makes evidence mapping the prerequisite to synthesis. Policy inherits the discipline unchanged: a lunar outpost architecture should separate experiments from reviews, planning priors from untested assumptions, and carry unit, duration, analog environment, crew equivalent, uncertainty, and DOI on each observation.</w:t>
      </w:r>
    </w:p>
    <w:bookmarkEnd w:id="128"/>
    <w:bookmarkStart w:id="129" w:name="oxygen-and-regolith-processing-3"/>
    <w:p>
      <w:pPr>
        <w:pStyle w:val="Heading2"/>
        <w:spacing w:line="480" w:lineRule="auto"/>
      </w:pPr>
      <w:r>
        <w:t xml:space="preserve">Oxygen and Regolith Processing</w:t>
      </w:r>
    </w:p>
    <w:p>
      <w:pPr>
        <w:pStyle w:val="FirstParagraph"/>
        <w:spacing w:line="480" w:lineRule="auto"/>
      </w:pPr>
      <w:r>
        <w:t xml:space="preserve">Regolith oxygen extraction, particle classification, and hybrid ISRU plants connect crew consumables to local material flows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 This is a major substitution pathway, and one the results caution against overreading. Oxygen serves both life support and propulsion, yet extraction yield on its own closes neither the water, the nitrogen, the food, nor the trace-contaminant loops.</w:t>
      </w:r>
    </w:p>
    <w:p>
      <w:pPr>
        <w:pStyle w:val="BodyText"/>
        <w:spacing w:line="480" w:lineRule="auto"/>
        <w:ind w:firstLine="720"/>
      </w:pPr>
      <w:r>
        <w:t xml:space="preserve">Governance and architecture decisions should therefore avoid treating oxygen ISRU as shorthand for life-support closure, since the conflation inflates the apparent crew ceiling. A lunar outpost architecture should keep the categories honest, experiments here, reviews there, planning priors and untested assumptions each named plainly, with unit, duration, analog environment, crew equivalent, uncertainty, and DOI on each extracted value.</w:t>
      </w:r>
    </w:p>
    <w:bookmarkEnd w:id="129"/>
    <w:bookmarkStart w:id="130" w:name="biological-and-food-loops-4"/>
    <w:p>
      <w:pPr>
        <w:pStyle w:val="Heading2"/>
        <w:spacing w:line="480" w:lineRule="auto"/>
      </w:pPr>
      <w:r>
        <w:t xml:space="preserve">Biological and Food Loops</w:t>
      </w:r>
    </w:p>
    <w:p>
      <w:pPr>
        <w:pStyle w:val="FirstParagraph"/>
        <w:spacing w:line="480" w:lineRule="auto"/>
      </w:pPr>
      <w:r>
        <w:t xml:space="preserve">Phototrophic microorganisms, crop systems, food-system integration, urine recycling, and microbiome evidence root closure in biology rather than hardware alone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Bioregenerative carrying capacity lives here, and so does much of the uncertainty, because analog transfer, partial gravity, dust, mission duration, and crew health all bear on whether a biological loop holds.</w:t>
      </w:r>
    </w:p>
    <w:p>
      <w:pPr>
        <w:pStyle w:val="BodyText"/>
        <w:spacing w:line="480" w:lineRule="auto"/>
        <w:ind w:firstLine="720"/>
      </w:pPr>
      <w:r>
        <w:t xml:space="preserve">A serious settlement model separates calories, nutrients, water recovery, nitrogen recovery, oxygen production, and the psychological value of real food rather than folding them under one BLSS label. Collapse those distinctions and the closure claim goes hollow. A lunar outpost architecture needs the same granularity, marking which parts of the biological claim rest on experiments, reviews, planning priors, or untested assumptions, with unit, duration, analog environment, crew equivalent, uncertainty, and DOI on each observation.</w:t>
      </w:r>
    </w:p>
    <w:bookmarkEnd w:id="130"/>
    <w:bookmarkStart w:id="131" w:name="evidence-age-and-citation-uptake-4"/>
    <w:p>
      <w:pPr>
        <w:pStyle w:val="Heading2"/>
        <w:spacing w:line="480" w:lineRule="auto"/>
      </w:pPr>
      <w:r>
        <w:t xml:space="preserve">Evidence Age and Citation Uptake</w:t>
      </w:r>
    </w:p>
    <w:p>
      <w:pPr>
        <w:pStyle w:val="FirstParagraph"/>
        <w:spacing w:line="480" w:lineRule="auto"/>
      </w:pPr>
      <w:r>
        <w:t xml:space="preserve">Both empirical papers converge on one finding: citation uptake is strongly age-dependent, and that age-related attention can distort how mature newer sub-loop work appears. The learning-curve elasticity is 1.4931, with a doubling multiplier of 2.8149. Reading the results through that lens keeps them from ranking papers by citation count alone.</w:t>
      </w:r>
    </w:p>
    <w:p>
      <w:pPr>
        <w:pStyle w:val="BodyText"/>
        <w:spacing w:line="480" w:lineRule="auto"/>
        <w:ind w:firstLine="720"/>
      </w:pPr>
      <w:r>
        <w:t xml:space="preserve">Recent work can sit at the technical center of closure long before it has gathered attention. Evidence governance therefore has to track publication year, citation count, DOI, sub-loop, and physical variable as separate fields, never as one fused score. The architecture consuming that model should mark which parts of its crew-capacity claim rest on experiments, reviews, planning priors, or untested assumptions, with unit, duration, analog environment, crew equivalent, uncertainty, and DOI on each observation.</w:t>
      </w:r>
    </w:p>
    <w:bookmarkEnd w:id="131"/>
    <w:bookmarkStart w:id="132" w:name="metadata-as-audit-trail-4"/>
    <w:p>
      <w:pPr>
        <w:pStyle w:val="Heading2"/>
        <w:spacing w:line="480" w:lineRule="auto"/>
      </w:pPr>
      <w:r>
        <w:t xml:space="preserve">Metadata as Audit Trail</w:t>
      </w:r>
    </w:p>
    <w:p>
      <w:pPr>
        <w:pStyle w:val="FirstParagraph"/>
        <w:spacing w:line="480" w:lineRule="auto"/>
      </w:pPr>
      <w:r>
        <w:t xml:space="preserve">DOI-bearing rows, publication years, corpus citation counts, and transparent title-keyword classifications make up the Acta metadata dataset</w:t>
      </w:r>
      <w:r>
        <w:t xml:space="preserve"> </w:t>
      </w:r>
      <w:hyperlink w:anchor="ref-11">
        <w:r>
          <w:rPr>
            <w:rStyle w:val="Hyperlink"/>
          </w:rPr>
          <w:t xml:space="preserve">[11]</w:t>
        </w:r>
      </w:hyperlink>
      <w:r>
        <w:t xml:space="preserve">. Auditability is what lets the results be checked. Anyone can see which papers were counted and how each row was classified, which is the first thing a reproducible result has to prove.</w:t>
      </w:r>
    </w:p>
    <w:p>
      <w:pPr>
        <w:pStyle w:val="BodyText"/>
        <w:spacing w:line="480" w:lineRule="auto"/>
        <w:ind w:firstLine="720"/>
      </w:pPr>
      <w:r>
        <w:t xml:space="preserve">That discipline extends naturally once physical closure values are extracted. Every water, oxygen, nitrogen, or biomass value should arrive with its DOI, unit, duration, analog context, and uncertainty attached. Under that rule a lunar outpost architecture can state honestly which parts of its claim rest on experiments, reviews, planning priors, or untested assumptions.</w:t>
      </w:r>
    </w:p>
    <w:bookmarkEnd w:id="132"/>
    <w:bookmarkStart w:id="133" w:name="limits-and-next-data-4"/>
    <w:p>
      <w:pPr>
        <w:pStyle w:val="Heading2"/>
        <w:spacing w:line="480" w:lineRule="auto"/>
      </w:pPr>
      <w:r>
        <w:t xml:space="preserve">Limits and Next Data</w:t>
      </w:r>
    </w:p>
    <w:p>
      <w:pPr>
        <w:pStyle w:val="FirstParagraph"/>
        <w:spacing w:line="480" w:lineRule="auto"/>
      </w:pPr>
      <w:r>
        <w:t xml:space="preserve">This dissertation never pretends metadata equals physical performance. It reaches for metadata because comparable closure-rate tables do not exist across the full sub-loop literature, and naming that limit fixes the boundary on inference: the results diagnose evidence maturity and uptake, not final lunar crew capacity.</w:t>
      </w:r>
    </w:p>
    <w:p>
      <w:pPr>
        <w:pStyle w:val="BodyText"/>
        <w:spacing w:line="480" w:lineRule="auto"/>
        <w:ind w:firstLine="720"/>
      </w:pPr>
      <w:r>
        <w:t xml:space="preserve">Next comes a hand-extracted closure panel with sub-loop variables and their uncertainties, followed by a mass-balance inversion for n-star. Until that panel exists, the policy discipline holds. A lunar outpost architecture should separate experiments from reviews, planning priors from untested assumptions, with unit, duration, analog environment, crew equivalent, uncertainty, and DOI on each closure observation.</w:t>
      </w:r>
    </w:p>
    <w:bookmarkEnd w:id="133"/>
    <w:bookmarkStart w:id="134" w:name="X1d6389673d05c9725e2db87291360dde621fd7f"/>
    <w:p>
      <w:pPr>
        <w:pStyle w:val="Heading2"/>
        <w:spacing w:line="480" w:lineRule="auto"/>
      </w:pPr>
      <w:r>
        <w:t xml:space="preserve">Evidence Integration Addendum: Results as evidence governance</w:t>
      </w:r>
    </w:p>
    <w:p>
      <w:pPr>
        <w:pStyle w:val="FirstParagraph"/>
        <w:spacing w:line="480" w:lineRule="auto"/>
      </w:pPr>
      <w:r>
        <w:t xml:space="preserve">This addendum sharpens the results by reading them as an act of evidence governance rather than a verdict on any technology. No single impressive subsystem can set a lunar carrying capacity, because settlement size is fixed by the tightest coupled limit rather than the strongest component, and the coefficients here govern how the literature should be handled, not how large a crew can be. The question the results have to serve is whether evidence about the OLS result, the learning curve, citation age effects, and topical coding can be translated into a claim about safe resident population. That translation runs through statistical modesty, and it demands a record of what each cited source actually supports. A source may back a measured coefficient, a mechanism, a staging assumption, or a governance interpretation, and mixing those roles without saying so corrupts the interpretation</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The first consequence is that closure rate has to be managed, not chanted like a slogan. A high closure claim means something only when it accounts for inputs, outputs, stores, maintenance, failure behavior, and the standing cost of keeping the loop stable. On the Moon, the OLS result, the learning curve, citation age effects, and topical coding all draw on shared power, crew time, dust management, spares, and transport when they feed a capacity model. Drop any one of those from the accounting and the capacity gain looks larger than it is. So the chapter treats the results as evidence governance, a way to connect technology evidence to settlement operations rather than a decorative efficiency figure.</w:t>
      </w:r>
    </w:p>
    <w:p>
      <w:pPr>
        <w:pStyle w:val="BodyText"/>
        <w:spacing w:line="480" w:lineRule="auto"/>
        <w:ind w:firstLine="720"/>
      </w:pPr>
      <w:r>
        <w:t xml:space="preserve">The second consequence reframes source traceability as a safety practice. When a decision maker asks why a model permits a larger crew, the answer has to point at data rows, cited studies, and visible conversions. An answer that reduces to</w:t>
      </w:r>
      <w:r>
        <w:t xml:space="preserve"> </w:t>
      </w:r>
      <w:r>
        <w:t xml:space="preserve">“the technology looks promising”</w:t>
      </w:r>
      <w:r>
        <w:t xml:space="preserve"> </w:t>
      </w:r>
      <w:r>
        <w:t xml:space="preserve">has crossed from analysis into advocacy. Statistical modesty keeps the interpretation tethered to what is known, and it hands future reviewers a way to revise the model when a stronger test, a flight demonstration, or a longer surface operation shifts the parameter base</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The third consequence is that uncertainty travels forward rather than vanishing. Lunar settlements fuse biology, machinery, materials, logistics, and institutions, and each carries its own uncertainty structure. A photobioreactor pathway may wobble on biological stability and environmental translation. A regolith processing pathway may wobble on feedstock variation, power demand, and maintenance. A cislunar logistics pathway may wobble on market timing and launch availability. A useful model keeps all of that visible, then reports how each source of doubt moves the binding constraint.</w:t>
      </w:r>
    </w:p>
    <w:p>
      <w:pPr>
        <w:pStyle w:val="BodyText"/>
        <w:spacing w:line="480" w:lineRule="auto"/>
        <w:ind w:firstLine="720"/>
      </w:pPr>
      <w:r>
        <w:t xml:space="preserve">This lens changes how the chapter reads its own empirical papers. Those papers never claim that citation counts measure engineering readiness. They show how an evidence base gathers attention over time, and why prominence cannot substitute for operational data. That point is the whole reason to govern the evidence carefully. If older sources carry more citations, and if topical flags fail to isolate readiness cleanly, then the review has to look past visibility toward measurement completeness, asking which source reports which variable, under what conditions, over what duration, and with what dependence on imported support</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A fourth consequence is phase sensitivity. Phase governs everything here. Early outposts, pilot settlements, and mature settlements will never share one capacity rule. Early on, imported reserves can cover weak closure, and the analytical task is to find the loop worth improving first. In a pilot phase, partial local production lifts the safe crew ceiling only when reserve policy stays conservative. In a mature phase, local production, repair capacity, and institutional redundancy move to the center. Reported honestly, evidence governance is a per-phase construct, not a timeless property.</w:t>
      </w:r>
    </w:p>
    <w:p>
      <w:pPr>
        <w:pStyle w:val="BodyText"/>
        <w:spacing w:line="480" w:lineRule="auto"/>
        <w:ind w:firstLine="720"/>
      </w:pPr>
      <w:r>
        <w:t xml:space="preserve">With that framing, the results hand planners a way to compare investments directly. If water and nitrogen recovery bind, better biological or chemical recycling evidence moves the capacity range. If oxygen import binds, regolith oxygen production, storage, and maintenance data carry the most weight. If food binds, crop and photobioreactor duration, nutrition, harvest reliability, and crew acceptance decide the ceiling. If spare parts bind, surface fabrication and qualification matter most. Tying each measurement gap to a specific capacity consequence beats any generic call for more research</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The same logic guards against double counting. One resource can appear in several subsystems, and one support function can serve several closure loops. A greenhouse, a photobioreactor, and a waste processor may all draw on water, power, monitoring, and crew or robotic attention. A regolith oxygen plant and a fabrication system may share excavation, energy, and maintenance infrastructure. Add up their maximum benefits independently and the settlement looks more capable than it is. The overlap hides. Real accounting has to surface it. A disciplined model aggregates only compatible contributions and shows shared dependencies before it raises the population ceiling.</w:t>
      </w:r>
    </w:p>
    <w:p>
      <w:pPr>
        <w:pStyle w:val="BodyText"/>
        <w:spacing w:line="480" w:lineRule="auto"/>
        <w:ind w:firstLine="720"/>
      </w:pPr>
      <w:r>
        <w:t xml:space="preserve">Say less, but say it exactly. For policy and governance, the working standard is conditional clarity. The model should say that a capacity increase follows if the relevant loop performs at the stated level, if the supporting infrastructure is in place, if reserve rules hold, and if the evidence is strong enough for the mission phase. That sentence is less dramatic than a declaration of lunar self-sufficiency, and far more useful, because it lets sponsors, partners, and reviewers see exactly where the risk sits and what new evidence would change the answer. So the addendum feeds the dissertation’s central thesis. Lunar settlement capacity is fixed neither by lunar resources alone nor by Earth launch capacity alone. It emerges from measured closure, local resource services, maintenance capability, reserve policy, and evidence that can be updated. This chapter contributes by showing how results as evidence governance connect back to evidence governance itself. Seen that way, statistical modesty is more than a research method. It is the operating discipline that keeps ambitious cislunar development claims aligned with evidence, safety, and strategic judgment</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p>
    <w:bookmarkEnd w:id="134"/>
    <w:bookmarkStart w:id="135" w:name="chapter-synthesis-5"/>
    <w:p>
      <w:pPr>
        <w:pStyle w:val="Heading2"/>
        <w:spacing w:line="480" w:lineRule="auto"/>
      </w:pPr>
      <w:r>
        <w:t xml:space="preserve">Chapter Synthesis</w:t>
      </w:r>
    </w:p>
    <w:p>
      <w:pPr>
        <w:pStyle w:val="FirstParagraph"/>
        <w:spacing w:line="480" w:lineRule="auto"/>
      </w:pPr>
      <w:r>
        <w:t xml:space="preserve">What the results deliver is a disciplined warning. Citation maturity is not the same as closure relevance. Both have to be tracked before anyone computes a crew ceiling.</w:t>
      </w:r>
    </w:p>
    <w:bookmarkEnd w:id="135"/>
    <w:bookmarkEnd w:id="136"/>
    <w:bookmarkStart w:id="148" w:name="X21322cb5e29cbf4eb576afddcad42f86ace4e0d"/>
    <w:p>
      <w:pPr>
        <w:pStyle w:val="Heading1"/>
        <w:spacing w:line="480" w:lineRule="auto"/>
      </w:pPr>
      <w:r>
        <w:t xml:space="preserve">Chapter 7. Discussion and Governance Implications</w:t>
      </w:r>
    </w:p>
    <w:p>
      <w:pPr>
        <w:pStyle w:val="FirstParagraph"/>
        <w:spacing w:line="480" w:lineRule="auto"/>
      </w:pPr>
      <w:r>
        <w:t xml:space="preserve">The governance stakes are practical. NASA, international partners, and commercial lunar infrastructure planners all need crew-capacity estimates that come with their evidence base attached. A closed-loop life-support claim ought to disclose which sub-loop data support it, how recent those data are, and whether citation age is quietly biasing the apparent maturity of the evidence.</w:t>
      </w:r>
    </w:p>
    <w:p>
      <w:pPr>
        <w:pStyle w:val="BodyText"/>
        <w:spacing w:line="480" w:lineRule="auto"/>
        <w:ind w:firstLine="720"/>
      </w:pPr>
      <w:r>
        <w:t xml:space="preserve">Translation is the work of this chapter. It turns the findings into data requirements, model governance, and lunar architecture choices.</w:t>
      </w:r>
    </w:p>
    <w:bookmarkStart w:id="137" w:name="empirical-foundation-6"/>
    <w:p>
      <w:pPr>
        <w:pStyle w:val="Heading2"/>
        <w:spacing w:line="480" w:lineRule="auto"/>
      </w:pPr>
      <w:r>
        <w:t xml:space="preserve">Empirical Foundation</w:t>
      </w:r>
    </w:p>
    <w:p>
      <w:pPr>
        <w:pStyle w:val="FirstParagraph"/>
        <w:spacing w:line="480" w:lineRule="auto"/>
      </w:pPr>
      <w:r>
        <w:t xml:space="preserve">The result carries weight precisely because it is not overstrong. It shows uneven uptake across the closure-relevant Acta literature, while the indicators used here stop short of isolating a decisive sub-loop citation premium. The age result is both expected and important: recent photobioreactor, food-system, and oxygen-extraction papers may be technically relevant well before they have had time to accumulate citations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9">
        <w:r>
          <w:rPr>
            <w:rStyle w:val="Hyperlink"/>
          </w:rPr>
          <w:t xml:space="preserve">[19]</w:t>
        </w:r>
      </w:hyperlink>
      <w:r>
        <w:t xml:space="preserve">. Citation counts alone, then, make a poor maturity score.</w:t>
      </w:r>
    </w:p>
    <w:p>
      <w:pPr>
        <w:pStyle w:val="BodyText"/>
        <w:spacing w:line="480" w:lineRule="auto"/>
        <w:ind w:firstLine="720"/>
      </w:pPr>
      <w:r>
        <w:t xml:space="preserve">For lunar carrying capacity, the lesson is to separate evidence availability from technical centrality. A low-citation biological loop can still bind if food or photobioreactor mass dominates closure. A high-citation ISRU paper can still be one component among many in system closure. The dissertation uses this metadata paper as a standing warning against false precision: when sub-loop closure rates are missing or incomparable, the evidence base itself has to be measured before a crew ceiling gets asserted. There is a practical data-management problem buried in that warning. Many closure-relevant articles report technical detail in units that do not line up. A photobioreactor paper may report manufacturing feasibility, an oxygen-extraction paper may report process yield, and a urine-recovery paper may report water and nitrogen recovery. All three quantities bear on carrying capacity, and none of them merges with the others without additional assumptions. So a metadata test comes before a mass-balance test, recording which sub-loop literatures exist, which have accumulated citations, and where the evidence base is still young.</w:t>
      </w:r>
    </w:p>
    <w:p>
      <w:pPr>
        <w:pStyle w:val="BodyText"/>
        <w:spacing w:line="480" w:lineRule="auto"/>
        <w:ind w:firstLine="720"/>
      </w:pPr>
      <w:r>
        <w:t xml:space="preserve">That sequencing matters for model governance. Begin with a target crew size and then hunt for closure evidence to support it, and the result turns circular. Begin instead with source metadata, recording the strength and age of each sub-loop literature, and the model gains an audit trail. The estimator in this paper never delivers the crew ceiling. It delivers evidence about the unevenness of the literature from which that ceiling would eventually be derived.</w:t>
      </w:r>
    </w:p>
    <w:p>
      <w:pPr>
        <w:pStyle w:val="BodyText"/>
        <w:spacing w:line="480" w:lineRule="auto"/>
        <w:ind w:firstLine="720"/>
      </w:pPr>
      <w:r>
        <w:t xml:space="preserve">One last caution runs underneath all of this: attention and closure value can move in opposite directions. Oxygen extraction may be highly visible because it feeds both propellant and life support, while a quieter biological recycling paper may decide whether a crew can stay on the surface without heavy resupply. So the metadata result belongs in service of careful extraction, never as a substitute for it.</w:t>
      </w:r>
    </w:p>
    <w:bookmarkEnd w:id="137"/>
    <w:bookmarkStart w:id="138" w:name="citation-maturity-implications"/>
    <w:p>
      <w:pPr>
        <w:pStyle w:val="Heading2"/>
        <w:spacing w:line="480" w:lineRule="auto"/>
      </w:pPr>
      <w:r>
        <w:t xml:space="preserve">Citation-Maturity Implications</w:t>
      </w:r>
    </w:p>
    <w:p>
      <w:pPr>
        <w:pStyle w:val="FirstParagraph"/>
        <w:spacing w:line="480" w:lineRule="auto"/>
      </w:pPr>
      <w:r>
        <w:t xml:space="preserve">The learning-curve result completes the OLS paper. Paper 1 showed age and ISRU orientation directionally associated with citations, yet not jointly decisive in a three-predictor model. Paper 2 shows age alone strongly associated, in log-log form, with citations-plus-one. Together they make the case for evidence governance in lunar closure modeling: the literature has to be measured as a time-dependent evidence base before anyone inverts it into a crew ceiling.</w:t>
      </w:r>
    </w:p>
    <w:p>
      <w:pPr>
        <w:pStyle w:val="BodyText"/>
        <w:spacing w:line="480" w:lineRule="auto"/>
        <w:ind w:firstLine="720"/>
      </w:pPr>
      <w:r>
        <w:t xml:space="preserve">None of this substitutes for physical closure-rate data. It is a guardrail against fabricating those rates when the source papers report no comparable values. The dissertation leans on real metadata to show why a transparent model must track recency, sub-loop classification, and citation uptake. Once future work extracts actual water, oxygen, nitrogen, and edible biomass closure rates from comparable experiments, those measured values can replace the metadata proxy outright.</w:t>
      </w:r>
    </w:p>
    <w:p>
      <w:pPr>
        <w:pStyle w:val="BodyText"/>
        <w:spacing w:line="480" w:lineRule="auto"/>
        <w:ind w:firstLine="720"/>
      </w:pPr>
      <w:r>
        <w:t xml:space="preserve">A further implication reaches procurement and research funding. Fund only the mature, highly cited sub-loops and a lunar settlement program may miss emerging essentials like local photobioreactor manufacture. Fund only novelty and it may discard hard-won knowledge from older urine recovery and BLSS studies. Carrying capacity depends on holding both.</w:t>
      </w:r>
    </w:p>
    <w:p>
      <w:pPr>
        <w:pStyle w:val="BodyText"/>
        <w:spacing w:line="480" w:lineRule="auto"/>
        <w:ind w:firstLine="720"/>
      </w:pPr>
      <w:r>
        <w:t xml:space="preserve">The age effect also reads onto research portfolios. A recent technical advance can matter before its citation count matures, and that is doubly true for lunar closure, where the technology mix shifts fast and where ISRU, food systems, and bioregenerative loops have started to converge. Rank papers by citation count alone and the model reproduces older assumptions. Ignore citations entirely and it throws away real information about scrutiny and reuse.</w:t>
      </w:r>
    </w:p>
    <w:p>
      <w:pPr>
        <w:pStyle w:val="BodyText"/>
        <w:spacing w:line="480" w:lineRule="auto"/>
        <w:ind w:firstLine="720"/>
      </w:pPr>
      <w:r>
        <w:t xml:space="preserve">The learning-curve estimate offers a way to hold those concerns apart. It shows citation count strongly age-dependent in the sample, so a low count on a recent paper is not, by itself, weak evidence. The right next move is to code technical variables directly, loop type, reported yield, duration, analog environment, mass basis, and uncertainty, and this paper supplies the bibliometric correction that motivates exactly that extraction.</w:t>
      </w:r>
    </w:p>
    <w:p>
      <w:pPr>
        <w:pStyle w:val="BodyText"/>
        <w:spacing w:line="480" w:lineRule="auto"/>
        <w:ind w:firstLine="720"/>
      </w:pPr>
      <w:r>
        <w:t xml:space="preserve">The result also argues for an evidence-age table inside any carrying-capacity model. Such a table would show which sub-loops rest on older, repeatedly cited work and which lean on recent papers with limited citation time. It would make the uncertainty in n* easier to read, and it would lower the risk that novelty or seniority alone ends up driving the model.</w:t>
      </w:r>
    </w:p>
    <w:p>
      <w:pPr>
        <w:pStyle w:val="BodyText"/>
        <w:spacing w:line="480" w:lineRule="auto"/>
        <w:ind w:firstLine="720"/>
      </w:pPr>
      <w:r>
        <w:t xml:space="preserve">Citation age, in short, is a confounder in evidence selection. Treat it explicitly and any later closure-rate synthesis gains credibility.</w:t>
      </w:r>
    </w:p>
    <w:p>
      <w:pPr>
        <w:pStyle w:val="BodyText"/>
        <w:spacing w:line="480" w:lineRule="auto"/>
        <w:ind w:firstLine="720"/>
      </w:pPr>
      <w:r>
        <w:t xml:space="preserve">That is why the dissertation treats metadata as a first-stage empirical object. Before estimating a crew ceiling, it asks whether the knowledge base has aged evenly enough to support direct synthesis. The answer is no, and so time has to be represented explicitly rather than assumed away.</w:t>
      </w:r>
    </w:p>
    <w:bookmarkEnd w:id="138"/>
    <w:bookmarkStart w:id="139" w:name="in-situ-hardware-manufacture-4"/>
    <w:p>
      <w:pPr>
        <w:pStyle w:val="Heading2"/>
        <w:spacing w:line="480" w:lineRule="auto"/>
      </w:pPr>
      <w:r>
        <w:t xml:space="preserve">In-situ Hardware Manufacture</w:t>
      </w:r>
    </w:p>
    <w:p>
      <w:pPr>
        <w:pStyle w:val="FirstParagraph"/>
        <w:spacing w:line="480" w:lineRule="auto"/>
      </w:pPr>
      <w:r>
        <w:t xml:space="preserve">Manufacturing a photobioreactor on the Moon changes the closure model, because the closure equipment itself becomes partly local rather than entirely imported</w:t>
      </w:r>
      <w:r>
        <w:t xml:space="preserve"> </w:t>
      </w:r>
      <w:hyperlink w:anchor="ref-1">
        <w:r>
          <w:rPr>
            <w:rStyle w:val="Hyperlink"/>
          </w:rPr>
          <w:t xml:space="preserve">[1]</w:t>
        </w:r>
      </w:hyperlink>
      <w:r>
        <w:t xml:space="preserve">,</w:t>
      </w:r>
      <w:r>
        <w:t xml:space="preserve"> </w:t>
      </w:r>
      <w:hyperlink w:anchor="ref-12">
        <w:r>
          <w:rPr>
            <w:rStyle w:val="Hyperlink"/>
          </w:rPr>
          <w:t xml:space="preserve">[12]</w:t>
        </w:r>
      </w:hyperlink>
      <w:r>
        <w:t xml:space="preserve">. That shift links two literatures usually held apart, BLSS and ISRU. A biological loop is never only a biochemical process; it is also a hardware and maintenance problem that governance has to plan around.</w:t>
      </w:r>
    </w:p>
    <w:p>
      <w:pPr>
        <w:pStyle w:val="BodyText"/>
        <w:spacing w:line="480" w:lineRule="auto"/>
        <w:ind w:firstLine="720"/>
      </w:pPr>
      <w:r>
        <w:t xml:space="preserve">Where the hardware originates alters the crew ceiling. An architecture assuming imported life-support hardware behaves differently from one that permits local manufacture, repair, and replacement. A lunar outpost architecture should therefore mark which parts of its crew-capacity claim rest on experiments, reviews, planning priors, or untested assumptions, and every eventual closure observation should carry unit, duration, analog environment, crew equivalent, uncertainty, and DOI.</w:t>
      </w:r>
    </w:p>
    <w:bookmarkEnd w:id="139"/>
    <w:bookmarkStart w:id="140" w:name="oxygen-and-regolith-processing-4"/>
    <w:p>
      <w:pPr>
        <w:pStyle w:val="Heading2"/>
        <w:spacing w:line="480" w:lineRule="auto"/>
      </w:pPr>
      <w:r>
        <w:t xml:space="preserve">Oxygen and Regolith Processing</w:t>
      </w:r>
    </w:p>
    <w:p>
      <w:pPr>
        <w:pStyle w:val="FirstParagraph"/>
        <w:spacing w:line="480" w:lineRule="auto"/>
      </w:pPr>
      <w:r>
        <w:t xml:space="preserve">Regolith oxygen extraction, particle classification, and hybrid ISRU plants connect crew consumables to local material flows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 This is a major substitution pathway, and one governance has to read with care. Oxygen serves both life support and propulsion, yet extraction yield on its own closes neither the water, the nitrogen, the food, nor the trace-contaminant loops.</w:t>
      </w:r>
    </w:p>
    <w:p>
      <w:pPr>
        <w:pStyle w:val="BodyText"/>
        <w:spacing w:line="480" w:lineRule="auto"/>
        <w:ind w:firstLine="720"/>
      </w:pPr>
      <w:r>
        <w:t xml:space="preserve">Governance and architecture decisions should therefore avoid treating oxygen ISRU as shorthand for life-support closure, since the conflation inflates the apparent crew ceiling. A lunar outpost architecture should keep the categories honest, experiments here, reviews there, planning priors and untested assumptions each named plainly, with unit, duration, analog environment, crew equivalent, uncertainty, and DOI on each extracted value.</w:t>
      </w:r>
    </w:p>
    <w:bookmarkEnd w:id="140"/>
    <w:bookmarkStart w:id="141" w:name="biological-and-food-loops-5"/>
    <w:p>
      <w:pPr>
        <w:pStyle w:val="Heading2"/>
        <w:spacing w:line="480" w:lineRule="auto"/>
      </w:pPr>
      <w:r>
        <w:t xml:space="preserve">Biological and Food Loops</w:t>
      </w:r>
    </w:p>
    <w:p>
      <w:pPr>
        <w:pStyle w:val="FirstParagraph"/>
        <w:spacing w:line="480" w:lineRule="auto"/>
      </w:pPr>
      <w:r>
        <w:t xml:space="preserve">Phototrophic microorganisms, crop systems, food-system integration, urine recycling, and microbiome evidence root closure in biology rather than hardware alone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Bioregenerative carrying capacity lives here, and so does much of the uncertainty, because analog transfer, partial gravity, dust, mission duration, and crew health all bear on whether a biological loop holds under governance-grade scrutiny.</w:t>
      </w:r>
    </w:p>
    <w:p>
      <w:pPr>
        <w:pStyle w:val="BodyText"/>
        <w:spacing w:line="480" w:lineRule="auto"/>
        <w:ind w:firstLine="720"/>
      </w:pPr>
      <w:r>
        <w:t xml:space="preserve">A serious settlement model separates calories, nutrients, water recovery, nitrogen recovery, oxygen production, and the psychological value of real food rather than folding them under one BLSS label. Collapse those distinctions and the closure claim goes hollow. A lunar outpost architecture needs the same granularity, marking which parts of the biological claim rest on experiments, reviews, planning priors, or untested assumptions, with unit, duration, analog environment, crew equivalent, uncertainty, and DOI on each observation.</w:t>
      </w:r>
    </w:p>
    <w:bookmarkEnd w:id="141"/>
    <w:bookmarkStart w:id="142" w:name="delphi-and-planning-priors-4"/>
    <w:p>
      <w:pPr>
        <w:pStyle w:val="Heading2"/>
        <w:spacing w:line="480" w:lineRule="auto"/>
      </w:pPr>
      <w:r>
        <w:t xml:space="preserve">Delphi and Planning Priors</w:t>
      </w:r>
    </w:p>
    <w:p>
      <w:pPr>
        <w:pStyle w:val="FirstParagraph"/>
        <w:spacing w:line="480" w:lineRule="auto"/>
      </w:pPr>
      <w:r>
        <w:t xml:space="preserve">The ISRU Delphi survey supplies expert expectations for a 2040 lunar outpost, but expert priors are not measured closure rates</w:t>
      </w:r>
      <w:r>
        <w:t xml:space="preserve"> </w:t>
      </w:r>
      <w:hyperlink w:anchor="ref-7">
        <w:r>
          <w:rPr>
            <w:rStyle w:val="Hyperlink"/>
          </w:rPr>
          <w:t xml:space="preserve">[7]</w:t>
        </w:r>
      </w:hyperlink>
      <w:r>
        <w:t xml:space="preserve">,</w:t>
      </w:r>
      <w:r>
        <w:t xml:space="preserve"> </w:t>
      </w:r>
      <w:hyperlink w:anchor="ref-14">
        <w:r>
          <w:rPr>
            <w:rStyle w:val="Hyperlink"/>
          </w:rPr>
          <w:t xml:space="preserve">[14]</w:t>
        </w:r>
      </w:hyperlink>
      <w:r>
        <w:t xml:space="preserve">. Holding that line keeps planning concepts in their governance place. They furnish reference cases and assumptions; they do not furnish observed system closure.</w:t>
      </w:r>
    </w:p>
    <w:p>
      <w:pPr>
        <w:pStyle w:val="BodyText"/>
        <w:spacing w:line="480" w:lineRule="auto"/>
        <w:ind w:firstLine="720"/>
      </w:pPr>
      <w:r>
        <w:t xml:space="preserve">So the dissertation uses Delphi evidence as context around crew-size claims while keeping the empirical metadata and estimator results separate. A lunar outpost architecture should say which parts of its crew-capacity claim rest on experiments, which on reviews, which on planning priors like these, and which on untested assumptions, with unit, duration, analog environment, crew equivalent, uncertainty, and DOI on each observation.</w:t>
      </w:r>
    </w:p>
    <w:bookmarkEnd w:id="142"/>
    <w:bookmarkStart w:id="143" w:name="cislunar-system-context-2"/>
    <w:p>
      <w:pPr>
        <w:pStyle w:val="Heading2"/>
        <w:spacing w:line="480" w:lineRule="auto"/>
      </w:pPr>
      <w:r>
        <w:t xml:space="preserve">Cislunar System Context</w:t>
      </w:r>
    </w:p>
    <w:p>
      <w:pPr>
        <w:pStyle w:val="FirstParagraph"/>
        <w:spacing w:line="480" w:lineRule="auto"/>
      </w:pPr>
      <w:r>
        <w:t xml:space="preserve">Carrying capacity does not sit in isolation; it interacts with cislunar logistics, resource industries, and infrastructure scenarios</w:t>
      </w:r>
      <w:r>
        <w:t xml:space="preserve"> </w:t>
      </w:r>
      <w:hyperlink w:anchor="ref-10">
        <w:r>
          <w:rPr>
            <w:rStyle w:val="Hyperlink"/>
          </w:rPr>
          <w:t xml:space="preserve">[10]</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 A settlement is not a sealed habitat but a node in a supply chain, and governance has to reason at that scale.</w:t>
      </w:r>
    </w:p>
    <w:p>
      <w:pPr>
        <w:pStyle w:val="BodyText"/>
        <w:spacing w:line="480" w:lineRule="auto"/>
        <w:ind w:firstLine="720"/>
      </w:pPr>
      <w:r>
        <w:t xml:space="preserve">Lower resupply mass ripples outward, changing launch demand, surface logistics, pad design, and maintenance requirements, which is why a closure-rate model is a governance tool as much as an engineering one: it sets how much external infrastructure a settlement needs. A lunar outpost architecture should therefore separate experiments from reviews, planning priors from untested assumptions, and carry unit, duration, analog environment, crew equivalent, uncertainty, and DOI on each observation.</w:t>
      </w:r>
    </w:p>
    <w:bookmarkEnd w:id="143"/>
    <w:bookmarkStart w:id="144" w:name="metadata-as-audit-trail-5"/>
    <w:p>
      <w:pPr>
        <w:pStyle w:val="Heading2"/>
        <w:spacing w:line="480" w:lineRule="auto"/>
      </w:pPr>
      <w:r>
        <w:t xml:space="preserve">Metadata as Audit Trail</w:t>
      </w:r>
    </w:p>
    <w:p>
      <w:pPr>
        <w:pStyle w:val="FirstParagraph"/>
        <w:spacing w:line="480" w:lineRule="auto"/>
      </w:pPr>
      <w:r>
        <w:t xml:space="preserve">DOI-bearing rows, publication years, corpus citation counts, and transparent title-keyword classifications make up the Acta metadata dataset</w:t>
      </w:r>
      <w:r>
        <w:t xml:space="preserve"> </w:t>
      </w:r>
      <w:hyperlink w:anchor="ref-11">
        <w:r>
          <w:rPr>
            <w:rStyle w:val="Hyperlink"/>
          </w:rPr>
          <w:t xml:space="preserve">[11]</w:t>
        </w:r>
      </w:hyperlink>
      <w:r>
        <w:t xml:space="preserve">. Auditability is what makes the governance claim credible. Anyone can see which papers were counted and how each row was classified, which is the first thing a governable evidence base has to prove.</w:t>
      </w:r>
    </w:p>
    <w:p>
      <w:pPr>
        <w:pStyle w:val="BodyText"/>
        <w:spacing w:line="480" w:lineRule="auto"/>
        <w:ind w:firstLine="720"/>
      </w:pPr>
      <w:r>
        <w:t xml:space="preserve">That discipline extends naturally once physical closure values are extracted. Every water, oxygen, nitrogen, or biomass value should arrive with its DOI, unit, duration, analog context, and uncertainty attached. Under that rule a lunar outpost architecture can state honestly which parts of its claim rest on experiments, reviews, planning priors, or untested assumptions.</w:t>
      </w:r>
    </w:p>
    <w:bookmarkEnd w:id="144"/>
    <w:bookmarkStart w:id="145" w:name="limits-and-next-data-5"/>
    <w:p>
      <w:pPr>
        <w:pStyle w:val="Heading2"/>
        <w:spacing w:line="480" w:lineRule="auto"/>
      </w:pPr>
      <w:r>
        <w:t xml:space="preserve">Limits and Next Data</w:t>
      </w:r>
    </w:p>
    <w:p>
      <w:pPr>
        <w:pStyle w:val="FirstParagraph"/>
        <w:spacing w:line="480" w:lineRule="auto"/>
      </w:pPr>
      <w:r>
        <w:t xml:space="preserve">This dissertation never pretends metadata equals physical performance. It reaches for metadata because comparable closure-rate tables do not exist across the full sub-loop literature, and naming that limit fixes the boundary on inference: the results diagnose evidence maturity and uptake, not final lunar crew capacity.</w:t>
      </w:r>
    </w:p>
    <w:p>
      <w:pPr>
        <w:pStyle w:val="BodyText"/>
        <w:spacing w:line="480" w:lineRule="auto"/>
        <w:ind w:firstLine="720"/>
      </w:pPr>
      <w:r>
        <w:t xml:space="preserve">Next comes a hand-extracted closure panel with sub-loop variables and their uncertainties, followed by a mass-balance inversion for n-star. Until that panel exists, the policy discipline holds. A lunar outpost architecture should separate experiments from reviews, planning priors from untested assumptions, with unit, duration, analog environment, crew equivalent, uncertainty, and DOI on each closure observation.</w:t>
      </w:r>
    </w:p>
    <w:bookmarkEnd w:id="145"/>
    <w:bookmarkStart w:id="146" w:name="X3a7d5630d568d1532877f78360ea80c1bb4f4eb"/>
    <w:p>
      <w:pPr>
        <w:pStyle w:val="Heading2"/>
        <w:spacing w:line="480" w:lineRule="auto"/>
      </w:pPr>
      <w:r>
        <w:t xml:space="preserve">Evidence Integration Addendum: Governance of lunar closure claims</w:t>
      </w:r>
    </w:p>
    <w:p>
      <w:pPr>
        <w:pStyle w:val="FirstParagraph"/>
        <w:spacing w:line="480" w:lineRule="auto"/>
      </w:pPr>
      <w:r>
        <w:t xml:space="preserve">This addendum sharpens the governance application by treating the closure claim itself as the object to be governed. No single impressive subsystem can set a lunar carrying capacity, because settlement size is fixed by the tightest coupled limit rather than the strongest component, and governance has to hold that line against every partner eager to headline a single technology. The question governance has to answer is whether evidence about reserve policy, international contributions, commercial services, and safety thresholds can be translated into a claim about safe resident population. That translation runs through dependency disclosure, and it demands a record of what each cited source actually supports. A source may back a measured coefficient, a mechanism, a staging assumption, or a governance interpretation, and mixing those roles without saying so corrupts the claim</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 The first consequence is that closure rate has to be managed, not chanted like a slogan. A high closure claim means something only when it accounts for inputs, outputs, stores, maintenance, failure behavior, and the standing cost of keeping the loop stable. On the Moon, reserve policy, international contributions, commercial services, and safety thresholds all draw on shared power, crew time, dust management, spares, and transport. Drop any one of those from the accounting and the capacity gain looks larger than it is. So the chapter builds auditable partnership claims, a way to connect technology evidence to settlement operations rather than a decorative efficiency figure.</w:t>
      </w:r>
    </w:p>
    <w:p>
      <w:pPr>
        <w:pStyle w:val="BodyText"/>
        <w:spacing w:line="480" w:lineRule="auto"/>
        <w:ind w:firstLine="720"/>
      </w:pPr>
      <w:r>
        <w:t xml:space="preserve">The second consequence reframes source traceability as a safety practice. When a decision maker asks why a model permits a larger crew, the answer has to point at data rows, cited studies, and visible conversions. An answer that reduces to</w:t>
      </w:r>
      <w:r>
        <w:t xml:space="preserve"> </w:t>
      </w:r>
      <w:r>
        <w:t xml:space="preserve">“the technology looks promising”</w:t>
      </w:r>
      <w:r>
        <w:t xml:space="preserve"> </w:t>
      </w:r>
      <w:r>
        <w:t xml:space="preserve">has crossed from analysis into advocacy. Dependency disclosure keeps the governance argument tethered to what is known, and it hands future reviewers a way to revise the model when a stronger test, a flight demonstration, or a longer surface operation shifts the parameter base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 The third consequence is that uncertainty travels forward rather than vanishing. Lunar settlements fuse biology, machinery, materials, logistics, and institutions, and each carries its own uncertainty structure. A photobioreactor pathway may wobble on biological stability and environmental translation. A regolith processing pathway may wobble on feedstock variation, power demand, and maintenance. A cislunar logistics pathway may wobble on market timing and launch availability. A useful governance model keeps all of that visible, then reports how each source of doubt moves the binding constraint.</w:t>
      </w:r>
    </w:p>
    <w:p>
      <w:pPr>
        <w:pStyle w:val="BodyText"/>
        <w:spacing w:line="480" w:lineRule="auto"/>
        <w:ind w:firstLine="720"/>
      </w:pPr>
      <w:r>
        <w:t xml:space="preserve">This lens changes how the chapter reads its own empirical papers. Those papers never claim that citation counts measure engineering readiness. They show how an evidence base gathers attention over time, and why prominence cannot substitute for operational data. That point is the whole reason to govern closure claims carefully. If older sources carry more citations, and if topical flags fail to isolate readiness cleanly, then the review has to look past visibility toward measurement completeness, asking which source reports which variable, under what conditions, over what duration, and with what dependence on imported support</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 A fourth consequence is phase sensitivity. Phase governs everything here. Early outposts, pilot settlements, and mature settlements will never share one capacity rule. Early on, imported reserves can cover weak closure, and the analytical task is to find the loop worth improving first. In a pilot phase, partial local production lifts the safe crew ceiling only when reserve policy stays conservative. In a mature phase, local production, repair capacity, and institutional redundancy move to the center. Reported honestly, auditable partnership claims are per-phase constructs, not timeless properties.</w:t>
      </w:r>
    </w:p>
    <w:p>
      <w:pPr>
        <w:pStyle w:val="BodyText"/>
        <w:spacing w:line="480" w:lineRule="auto"/>
        <w:ind w:firstLine="720"/>
      </w:pPr>
      <w:r>
        <w:t xml:space="preserve">With that framing, governance hands planners a way to compare investments directly. If water and nitrogen recovery bind, better biological or chemical recycling evidence moves the capacity range. If oxygen import binds, regolith oxygen production, storage, and maintenance data carry the most weight. If food binds, crop and photobioreactor duration, nutrition, harvest reliability, and crew acceptance decide the ceiling. If spare parts bind, surface fabrication and qualification matter most. Tying each measurement gap to a specific capacity consequence beats any generic call for more research</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 The same logic guards against double counting. One resource can appear in several subsystems, and one support function can serve several closure loops. A greenhouse, a photobioreactor, and a waste processor may all draw on water, power, monitoring, and crew or robotic attention. A regolith oxygen plant and a fabrication system may share excavation, energy, and maintenance infrastructure. Add up their maximum benefits independently and the settlement looks more capable than it is. The overlap hides. Real accounting has to surface it. A disciplined governance model aggregates only compatible contributions and shows shared dependencies before it raises the population ceiling.</w:t>
      </w:r>
    </w:p>
    <w:p>
      <w:pPr>
        <w:pStyle w:val="BodyText"/>
        <w:spacing w:line="480" w:lineRule="auto"/>
        <w:ind w:firstLine="720"/>
      </w:pPr>
      <w:r>
        <w:t xml:space="preserve">Say less, but say it exactly. For policy and governance, the working standard is conditional clarity. The model should say that a capacity increase follows if the relevant loop performs at the stated level, if the supporting infrastructure is in place, if reserve rules hold, and if the evidence is strong enough for the mission phase. That sentence is less dramatic than a declaration of lunar self-sufficiency, and far more useful, because it lets sponsors, partners, and reviewers see exactly where the risk sits and what new evidence would change the answer. So the addendum feeds the dissertation’s central thesis. Lunar settlement capacity is fixed neither by lunar resources alone nor by Earth launch capacity alone. It emerges from measured closure, local resource services, maintenance capability, reserve policy, and evidence that can be updated. This chapter contributes by showing how governance of lunar closure claims connects to auditable partnership claims. Seen that way, dependency disclosure is more than a research method. It is the operating discipline that keeps ambitious cislunar development claims aligned with evidence, safety, and strategic judgment</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w:t>
      </w:r>
    </w:p>
    <w:bookmarkEnd w:id="146"/>
    <w:bookmarkStart w:id="147" w:name="chapter-synthesis-6"/>
    <w:p>
      <w:pPr>
        <w:pStyle w:val="Heading2"/>
        <w:spacing w:line="480" w:lineRule="auto"/>
      </w:pPr>
      <w:r>
        <w:t xml:space="preserve">Chapter Synthesis</w:t>
      </w:r>
    </w:p>
    <w:p>
      <w:pPr>
        <w:pStyle w:val="FirstParagraph"/>
        <w:spacing w:line="480" w:lineRule="auto"/>
      </w:pPr>
      <w:r>
        <w:t xml:space="preserve">The governance agenda reduces to one requirement: demand traceable closure evidence before any lunar settlement crew size is treated as operationally credible.</w:t>
      </w:r>
    </w:p>
    <w:bookmarkEnd w:id="147"/>
    <w:bookmarkEnd w:id="148"/>
    <w:bookmarkStart w:id="216" w:name="chapter-8.-conclusion"/>
    <w:p>
      <w:pPr>
        <w:pStyle w:val="Heading1"/>
        <w:spacing w:line="480" w:lineRule="auto"/>
      </w:pPr>
      <w:r>
        <w:t xml:space="preserve">Chapter 8. Conclusion</w:t>
      </w:r>
    </w:p>
    <w:p>
      <w:pPr>
        <w:pStyle w:val="FirstParagraph"/>
        <w:spacing w:line="480" w:lineRule="auto"/>
      </w:pPr>
      <w:r>
        <w:t xml:space="preserve">Lunar carrying capacity turns out to be two problems wearing one name: an engineering problem and an evidence-governance problem. A crew ceiling cannot be asserted responsibly until water, oxygen, nitrogen, food, hardware, and evidence uncertainty are represented together, in the same frame. The two empirical papers stop short of delivering a final n-star. What they deliver instead is the evidence discipline that estimating one will require.</w:t>
      </w:r>
    </w:p>
    <w:p>
      <w:pPr>
        <w:pStyle w:val="BodyText"/>
        <w:spacing w:line="480" w:lineRule="auto"/>
        <w:ind w:firstLine="720"/>
      </w:pPr>
      <w:r>
        <w:t xml:space="preserve">That discipline is the contribution. It is a transparent empirical path running from the closure literature toward future carrying-capacity modeling.</w:t>
      </w:r>
    </w:p>
    <w:bookmarkStart w:id="149" w:name="empirical-foundation-7"/>
    <w:p>
      <w:pPr>
        <w:pStyle w:val="Heading2"/>
        <w:spacing w:line="480" w:lineRule="auto"/>
      </w:pPr>
      <w:r>
        <w:t xml:space="preserve">Empirical Foundation</w:t>
      </w:r>
    </w:p>
    <w:p>
      <w:pPr>
        <w:pStyle w:val="FirstParagraph"/>
        <w:spacing w:line="480" w:lineRule="auto"/>
      </w:pPr>
      <w:r>
        <w:t xml:space="preserve">The result carries weight precisely because it is not overstrong. It shows uneven uptake across the closure-relevant Acta literature, while the indicators used here stop short of isolating a decisive sub-loop citation premium. The age result is both expected and important: recent photobioreactor, food-system, and oxygen-extraction papers may be technically relevant well before they have had time to accumulate citations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9">
        <w:r>
          <w:rPr>
            <w:rStyle w:val="Hyperlink"/>
          </w:rPr>
          <w:t xml:space="preserve">[19]</w:t>
        </w:r>
      </w:hyperlink>
      <w:r>
        <w:t xml:space="preserve">. Citation counts alone, then, make a poor maturity score.</w:t>
      </w:r>
    </w:p>
    <w:p>
      <w:pPr>
        <w:pStyle w:val="BodyText"/>
        <w:spacing w:line="480" w:lineRule="auto"/>
        <w:ind w:firstLine="720"/>
      </w:pPr>
      <w:r>
        <w:t xml:space="preserve">For lunar carrying capacity, the lesson is to separate evidence availability from technical centrality. A low-citation biological loop can still bind if food or photobioreactor mass dominates closure. A high-citation ISRU paper can still be one component among many in system closure. The dissertation uses this metadata paper as a standing warning against false precision: when sub-loop closure rates are missing or incomparable, the evidence base itself has to be measured before a crew ceiling gets asserted. There is a practical data-management problem buried in that warning. Many closure-relevant articles report technical detail in units that do not line up. A photobioreactor paper may report manufacturing feasibility, an oxygen-extraction paper may report process yield, and a urine-recovery paper may report water and nitrogen recovery. All three quantities bear on carrying capacity, and none of them merges with the others without additional assumptions. So a metadata test comes before a mass-balance test, recording which sub-loop literatures exist, which have accumulated citations, and where the evidence base is still young.</w:t>
      </w:r>
    </w:p>
    <w:p>
      <w:pPr>
        <w:pStyle w:val="BodyText"/>
        <w:spacing w:line="480" w:lineRule="auto"/>
        <w:ind w:firstLine="720"/>
      </w:pPr>
      <w:r>
        <w:t xml:space="preserve">That sequencing matters for model governance. Begin with a target crew size and then hunt for closure evidence to support it, and the result turns circular. Begin instead with source metadata, recording the strength and age of each sub-loop literature, and the model gains an audit trail. The estimator in this paper never delivers the crew ceiling. It delivers evidence about the unevenness of the literature from which that ceiling would eventually be derived.</w:t>
      </w:r>
    </w:p>
    <w:p>
      <w:pPr>
        <w:pStyle w:val="BodyText"/>
        <w:spacing w:line="480" w:lineRule="auto"/>
        <w:ind w:firstLine="720"/>
      </w:pPr>
      <w:r>
        <w:t xml:space="preserve">One last caution runs underneath all of this: attention and closure value can move in opposite directions. Oxygen extraction may be highly visible because it feeds both propellant and life support, while a quieter biological recycling paper may decide whether a crew can stay on the surface without heavy resupply. So the metadata result belongs in service of careful extraction, never as a substitute for it.</w:t>
      </w:r>
    </w:p>
    <w:bookmarkEnd w:id="149"/>
    <w:bookmarkStart w:id="150" w:name="final-evidence-synthesis"/>
    <w:p>
      <w:pPr>
        <w:pStyle w:val="Heading2"/>
        <w:spacing w:line="480" w:lineRule="auto"/>
      </w:pPr>
      <w:r>
        <w:t xml:space="preserve">Final Evidence Synthesis</w:t>
      </w:r>
    </w:p>
    <w:p>
      <w:pPr>
        <w:pStyle w:val="FirstParagraph"/>
        <w:spacing w:line="480" w:lineRule="auto"/>
      </w:pPr>
      <w:r>
        <w:t xml:space="preserve">The learning-curve result completes the OLS paper. Paper 1 showed age and ISRU orientation directionally associated with citations, yet not jointly decisive in a three-predictor model. Paper 2 shows age alone strongly associated, in log-log form, with citations-plus-one. Together they make the case for evidence governance in lunar closure modeling: the literature has to be measured as a time-dependent evidence base before anyone inverts it into a crew ceiling.</w:t>
      </w:r>
    </w:p>
    <w:p>
      <w:pPr>
        <w:pStyle w:val="BodyText"/>
        <w:spacing w:line="480" w:lineRule="auto"/>
        <w:ind w:firstLine="720"/>
      </w:pPr>
      <w:r>
        <w:t xml:space="preserve">None of this substitutes for physical closure-rate data. It is a guardrail against fabricating those rates when the source papers report no comparable values. The dissertation leans on real metadata to show why a transparent model must track recency, sub-loop classification, and citation uptake. Once future work extracts actual water, oxygen, nitrogen, and edible biomass closure rates from comparable experiments, those measured values can replace the metadata proxy outright.</w:t>
      </w:r>
    </w:p>
    <w:p>
      <w:pPr>
        <w:pStyle w:val="BodyText"/>
        <w:spacing w:line="480" w:lineRule="auto"/>
        <w:ind w:firstLine="720"/>
      </w:pPr>
      <w:r>
        <w:t xml:space="preserve">A further implication reaches procurement and research funding. Fund only the mature, highly cited sub-loops and a lunar settlement program may miss emerging essentials like local photobioreactor manufacture. Fund only novelty and it may discard hard-won knowledge from older urine recovery and BLSS studies. Carrying capacity depends on holding both.</w:t>
      </w:r>
    </w:p>
    <w:p>
      <w:pPr>
        <w:pStyle w:val="BodyText"/>
        <w:spacing w:line="480" w:lineRule="auto"/>
        <w:ind w:firstLine="720"/>
      </w:pPr>
      <w:r>
        <w:t xml:space="preserve">The age effect also reads onto research portfolios. A recent technical advance can matter before its citation count matures, and that is doubly true for lunar closure, where the technology mix shifts fast and where ISRU, food systems, and bioregenerative loops have started to converge. Rank papers by citation count alone and the model reproduces older assumptions. Ignore citations entirely and it throws away real information about scrutiny and reuse.</w:t>
      </w:r>
    </w:p>
    <w:p>
      <w:pPr>
        <w:pStyle w:val="BodyText"/>
        <w:spacing w:line="480" w:lineRule="auto"/>
        <w:ind w:firstLine="720"/>
      </w:pPr>
      <w:r>
        <w:t xml:space="preserve">The learning-curve estimate offers a way to hold those concerns apart. It shows citation count strongly age-dependent in the sample, so a low count on a recent paper is not, by itself, weak evidence. The right next move is to code technical variables directly, loop type, reported yield, duration, analog environment, mass basis, and uncertainty, and this paper supplies the bibliometric correction that motivates exactly that extraction.</w:t>
      </w:r>
    </w:p>
    <w:p>
      <w:pPr>
        <w:pStyle w:val="BodyText"/>
        <w:spacing w:line="480" w:lineRule="auto"/>
        <w:ind w:firstLine="720"/>
      </w:pPr>
      <w:r>
        <w:t xml:space="preserve">The result also argues for an evidence-age table inside any carrying-capacity model. Such a table would show which sub-loops rest on older, repeatedly cited work and which lean on recent papers with limited citation time. It would make the uncertainty in n* easier to read, and it would lower the risk that novelty or seniority alone ends up driving the model.</w:t>
      </w:r>
    </w:p>
    <w:p>
      <w:pPr>
        <w:pStyle w:val="BodyText"/>
        <w:spacing w:line="480" w:lineRule="auto"/>
        <w:ind w:firstLine="720"/>
      </w:pPr>
      <w:r>
        <w:t xml:space="preserve">Citation age, in short, is a confounder in evidence selection. Treat it explicitly and any later closure-rate synthesis gains credibility.</w:t>
      </w:r>
    </w:p>
    <w:p>
      <w:pPr>
        <w:pStyle w:val="BodyText"/>
        <w:spacing w:line="480" w:lineRule="auto"/>
        <w:ind w:firstLine="720"/>
      </w:pPr>
      <w:r>
        <w:t xml:space="preserve">That is why the dissertation treats metadata as a first-stage empirical object. Before estimating a crew ceiling, it asks whether the knowledge base has aged evenly enough to support direct synthesis. The answer is no, and so time has to be represented explicitly rather than assumed away.</w:t>
      </w:r>
    </w:p>
    <w:bookmarkEnd w:id="150"/>
    <w:bookmarkStart w:id="151" w:name="closure-as-carrying-capacity-4"/>
    <w:p>
      <w:pPr>
        <w:pStyle w:val="Heading2"/>
        <w:spacing w:line="480" w:lineRule="auto"/>
      </w:pPr>
      <w:r>
        <w:t xml:space="preserve">Closure as Carrying Capacity</w:t>
      </w:r>
    </w:p>
    <w:p>
      <w:pPr>
        <w:pStyle w:val="FirstParagraph"/>
        <w:spacing w:line="480" w:lineRule="auto"/>
      </w:pPr>
      <w:r>
        <w:t xml:space="preserve">Before it is an architectural ambition, a lunar crew ceiling is a mass-balance problem. Water, oxygen, nitrogen, edible biomass, and atmosphere each have to be recovered, substituted, or resupplied, because volume and power do not feed a crew on their own. That is why the prospectus names closure as the binding variable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In the conclusion, that recognition ties the contribution to the future research path, holding to one stance: the literature is an evidence system, not a list of promising technologies.</w:t>
      </w:r>
    </w:p>
    <w:p>
      <w:pPr>
        <w:pStyle w:val="BodyText"/>
        <w:spacing w:line="480" w:lineRule="auto"/>
        <w:ind w:firstLine="720"/>
      </w:pPr>
      <w:r>
        <w:t xml:space="preserve">Tie that stance back to the original question and the payoff shows. Metadata cannot replace measured closure rates, yet it can reveal where the evidence base runs strong, recent, or thin. Hide that unevenness and the model misleads its own readers. Keeping technical relevance, citation maturity, and measurement comparability apart is how the argument closes honestly.</w:t>
      </w:r>
    </w:p>
    <w:p>
      <w:pPr>
        <w:pStyle w:val="BodyText"/>
        <w:spacing w:line="480" w:lineRule="auto"/>
        <w:ind w:firstLine="720"/>
      </w:pPr>
      <w:r>
        <w:t xml:space="preserve">A credible n-star estimate has to expose which sub-loop carries the uncertainty; otherwise a crew-size target looks technical while resting on weak evidence. Policy inherits the discipline unchanged. A lunar outpost architecture should state which parts of its crew-capacity claim rest on experiments, reviews, planning priors, or untested assumptions, with unit, duration, analog environment, crew equivalent, uncertainty, and DOI on each closure observation.</w:t>
      </w:r>
    </w:p>
    <w:bookmarkEnd w:id="151"/>
    <w:bookmarkStart w:id="152" w:name="in-situ-hardware-manufacture-5"/>
    <w:p>
      <w:pPr>
        <w:pStyle w:val="Heading2"/>
        <w:spacing w:line="480" w:lineRule="auto"/>
      </w:pPr>
      <w:r>
        <w:t xml:space="preserve">In-situ Hardware Manufacture</w:t>
      </w:r>
    </w:p>
    <w:p>
      <w:pPr>
        <w:pStyle w:val="FirstParagraph"/>
        <w:spacing w:line="480" w:lineRule="auto"/>
      </w:pPr>
      <w:r>
        <w:t xml:space="preserve">Manufacturing a photobioreactor on the Moon changes the closure model, because the closure equipment itself becomes partly local rather than entirely imported</w:t>
      </w:r>
      <w:r>
        <w:t xml:space="preserve"> </w:t>
      </w:r>
      <w:hyperlink w:anchor="ref-1">
        <w:r>
          <w:rPr>
            <w:rStyle w:val="Hyperlink"/>
          </w:rPr>
          <w:t xml:space="preserve">[1]</w:t>
        </w:r>
      </w:hyperlink>
      <w:r>
        <w:t xml:space="preserve">,</w:t>
      </w:r>
      <w:r>
        <w:t xml:space="preserve"> </w:t>
      </w:r>
      <w:hyperlink w:anchor="ref-12">
        <w:r>
          <w:rPr>
            <w:rStyle w:val="Hyperlink"/>
          </w:rPr>
          <w:t xml:space="preserve">[12]</w:t>
        </w:r>
      </w:hyperlink>
      <w:r>
        <w:t xml:space="preserve">. That shift links two literatures usually held apart, BLSS and ISRU. A biological loop is never only a biochemical process; it is also a hardware and maintenance problem, and the conclusion carries that point forward into future work.</w:t>
      </w:r>
    </w:p>
    <w:p>
      <w:pPr>
        <w:pStyle w:val="BodyText"/>
        <w:spacing w:line="480" w:lineRule="auto"/>
        <w:ind w:firstLine="720"/>
      </w:pPr>
      <w:r>
        <w:t xml:space="preserve">Where the hardware originates alters the crew ceiling. An architecture assuming imported life-support hardware behaves differently from one that permits local manufacture, repair, and replacement. A lunar outpost architecture should therefore mark which parts of its crew-capacity claim rest on experiments, reviews, planning priors, or untested assumptions, and every eventual closure observation should carry unit, duration, analog environment, crew equivalent, uncertainty, and DOI.</w:t>
      </w:r>
    </w:p>
    <w:bookmarkEnd w:id="152"/>
    <w:bookmarkStart w:id="153" w:name="biological-and-food-loops-6"/>
    <w:p>
      <w:pPr>
        <w:pStyle w:val="Heading2"/>
        <w:spacing w:line="480" w:lineRule="auto"/>
      </w:pPr>
      <w:r>
        <w:t xml:space="preserve">Biological and Food Loops</w:t>
      </w:r>
    </w:p>
    <w:p>
      <w:pPr>
        <w:pStyle w:val="FirstParagraph"/>
        <w:spacing w:line="480" w:lineRule="auto"/>
      </w:pPr>
      <w:r>
        <w:t xml:space="preserve">Phototrophic microorganisms, crop systems, food-system integration, urine recycling, and microbiome evidence root closure in biology rather than hardware alone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Bioregenerative carrying capacity lives here, and so does much of the uncertainty, because analog transfer, partial gravity, dust, mission duration, and crew health all bear on whether a biological loop holds.</w:t>
      </w:r>
    </w:p>
    <w:p>
      <w:pPr>
        <w:pStyle w:val="BodyText"/>
        <w:spacing w:line="480" w:lineRule="auto"/>
        <w:ind w:firstLine="720"/>
      </w:pPr>
      <w:r>
        <w:t xml:space="preserve">A serious settlement model separates calories, nutrients, water recovery, nitrogen recovery, oxygen production, and the psychological value of real food rather than folding them under one BLSS label. Collapse those distinctions and the closure claim goes hollow. A lunar outpost architecture needs the same granularity, marking which parts of the biological claim rest on experiments, reviews, planning priors, or untested assumptions, with unit, duration, analog environment, crew equivalent, uncertainty, and DOI on each observation.</w:t>
      </w:r>
    </w:p>
    <w:bookmarkEnd w:id="153"/>
    <w:bookmarkStart w:id="154" w:name="evidence-age-and-citation-uptake-5"/>
    <w:p>
      <w:pPr>
        <w:pStyle w:val="Heading2"/>
        <w:spacing w:line="480" w:lineRule="auto"/>
      </w:pPr>
      <w:r>
        <w:t xml:space="preserve">Evidence Age and Citation Uptake</w:t>
      </w:r>
    </w:p>
    <w:p>
      <w:pPr>
        <w:pStyle w:val="FirstParagraph"/>
        <w:spacing w:line="480" w:lineRule="auto"/>
      </w:pPr>
      <w:r>
        <w:t xml:space="preserve">Both empirical papers converge on one finding: citation uptake is strongly age-dependent, and that age-related attention can distort how mature newer sub-loop work appears. The learning-curve elasticity is 1.4931, with a doubling multiplier of 2.8149. Carrying that recognition into the conclusion keeps its forward look from ranking papers by citation count alone.</w:t>
      </w:r>
    </w:p>
    <w:p>
      <w:pPr>
        <w:pStyle w:val="BodyText"/>
        <w:spacing w:line="480" w:lineRule="auto"/>
        <w:ind w:firstLine="720"/>
      </w:pPr>
      <w:r>
        <w:t xml:space="preserve">Recent work can sit at the technical center of closure long before it has gathered attention. Evidence governance therefore has to track publication year, citation count, DOI, sub-loop, and physical variable as separate fields, never as one fused score. The architecture consuming that model should mark which parts of its crew-capacity claim rest on experiments, reviews, planning priors, or untested assumptions, with unit, duration, analog environment, crew equivalent, uncertainty, and DOI on each observation.</w:t>
      </w:r>
    </w:p>
    <w:bookmarkEnd w:id="154"/>
    <w:bookmarkStart w:id="155" w:name="cislunar-system-context-3"/>
    <w:p>
      <w:pPr>
        <w:pStyle w:val="Heading2"/>
        <w:spacing w:line="480" w:lineRule="auto"/>
      </w:pPr>
      <w:r>
        <w:t xml:space="preserve">Cislunar System Context</w:t>
      </w:r>
    </w:p>
    <w:p>
      <w:pPr>
        <w:pStyle w:val="FirstParagraph"/>
        <w:spacing w:line="480" w:lineRule="auto"/>
      </w:pPr>
      <w:r>
        <w:t xml:space="preserve">Carrying capacity does not sit in isolation; it interacts with cislunar logistics, resource industries, and infrastructure scenarios</w:t>
      </w:r>
      <w:r>
        <w:t xml:space="preserve"> </w:t>
      </w:r>
      <w:hyperlink w:anchor="ref-10">
        <w:r>
          <w:rPr>
            <w:rStyle w:val="Hyperlink"/>
          </w:rPr>
          <w:t xml:space="preserve">[10]</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 A settlement is not a sealed habitat but a node in a supply chain, and the conclusion keeps that scale in view as it points toward what comes next.</w:t>
      </w:r>
    </w:p>
    <w:p>
      <w:pPr>
        <w:pStyle w:val="BodyText"/>
        <w:spacing w:line="480" w:lineRule="auto"/>
        <w:ind w:firstLine="720"/>
      </w:pPr>
      <w:r>
        <w:t xml:space="preserve">Lower resupply mass ripples outward, changing launch demand, surface logistics, pad design, and maintenance requirements, which is why a closure-rate model is a governance tool as much as an engineering one: it sets how much external infrastructure a settlement needs. A lunar outpost architecture should therefore separate experiments from reviews, planning priors from untested assumptions, and carry unit, duration, analog environment, crew equivalent, uncertainty, and DOI on each observation.</w:t>
      </w:r>
    </w:p>
    <w:bookmarkEnd w:id="155"/>
    <w:bookmarkStart w:id="156" w:name="metadata-as-audit-trail-6"/>
    <w:p>
      <w:pPr>
        <w:pStyle w:val="Heading2"/>
        <w:spacing w:line="480" w:lineRule="auto"/>
      </w:pPr>
      <w:r>
        <w:t xml:space="preserve">Metadata as Audit Trail</w:t>
      </w:r>
    </w:p>
    <w:p>
      <w:pPr>
        <w:pStyle w:val="FirstParagraph"/>
        <w:spacing w:line="480" w:lineRule="auto"/>
      </w:pPr>
      <w:r>
        <w:t xml:space="preserve">DOI-bearing rows, publication years, corpus citation counts, and transparent title-keyword classifications make up the Acta metadata dataset</w:t>
      </w:r>
      <w:r>
        <w:t xml:space="preserve"> </w:t>
      </w:r>
      <w:hyperlink w:anchor="ref-11">
        <w:r>
          <w:rPr>
            <w:rStyle w:val="Hyperlink"/>
          </w:rPr>
          <w:t xml:space="preserve">[11]</w:t>
        </w:r>
      </w:hyperlink>
      <w:r>
        <w:t xml:space="preserve">. Auditability is what lets the contribution stand. Anyone can see which papers were counted and how each row was classified, which is the first thing a durable evidence base has to prove.</w:t>
      </w:r>
    </w:p>
    <w:p>
      <w:pPr>
        <w:pStyle w:val="BodyText"/>
        <w:spacing w:line="480" w:lineRule="auto"/>
        <w:ind w:firstLine="720"/>
      </w:pPr>
      <w:r>
        <w:t xml:space="preserve">That discipline extends naturally once physical closure values are extracted. Every water, oxygen, nitrogen, or biomass value should arrive with its DOI, unit, duration, analog context, and uncertainty attached. Under that rule a lunar outpost architecture can state honestly which parts of its claim rest on experiments, reviews, planning priors, or untested assumptions.</w:t>
      </w:r>
    </w:p>
    <w:bookmarkEnd w:id="156"/>
    <w:bookmarkStart w:id="157" w:name="limits-and-next-data-6"/>
    <w:p>
      <w:pPr>
        <w:pStyle w:val="Heading2"/>
        <w:spacing w:line="480" w:lineRule="auto"/>
      </w:pPr>
      <w:r>
        <w:t xml:space="preserve">Limits and Next Data</w:t>
      </w:r>
    </w:p>
    <w:p>
      <w:pPr>
        <w:pStyle w:val="FirstParagraph"/>
        <w:spacing w:line="480" w:lineRule="auto"/>
      </w:pPr>
      <w:r>
        <w:t xml:space="preserve">This dissertation never pretends metadata equals physical performance. It reaches for metadata because comparable closure-rate tables do not exist across the full sub-loop literature, and naming that limit fixes the boundary on inference: the results diagnose evidence maturity and uptake, not final lunar crew capacity.</w:t>
      </w:r>
    </w:p>
    <w:p>
      <w:pPr>
        <w:pStyle w:val="BodyText"/>
        <w:spacing w:line="480" w:lineRule="auto"/>
        <w:ind w:firstLine="720"/>
      </w:pPr>
      <w:r>
        <w:t xml:space="preserve">Next comes a hand-extracted closure panel with sub-loop variables and their uncertainties, followed by a mass-balance inversion for n-star. Until that panel exists, the policy discipline holds. A lunar outpost architecture should separate experiments from reviews, planning priors from untested assumptions, with unit, duration, analog environment, crew equivalent, uncertainty, and DOI on each closure observation.</w:t>
      </w:r>
    </w:p>
    <w:bookmarkEnd w:id="157"/>
    <w:bookmarkStart w:id="158" w:name="X9e474c52e491e0ada2a07c73edce10cdd967db0"/>
    <w:p>
      <w:pPr>
        <w:pStyle w:val="Heading2"/>
        <w:spacing w:line="480" w:lineRule="auto"/>
      </w:pPr>
      <w:r>
        <w:t xml:space="preserve">Evidence Integration Addendum: Closing integration</w:t>
      </w:r>
    </w:p>
    <w:p>
      <w:pPr>
        <w:pStyle w:val="FirstParagraph"/>
        <w:spacing w:line="480" w:lineRule="auto"/>
      </w:pPr>
      <w:r>
        <w:t xml:space="preserve">This addendum closes the dissertation by drawing its threads into one integration, the point where evidence discipline, closure mechanics, and governance meet. No single impressive subsystem can set a lunar carrying capacity, because settlement size is fixed by the tightest coupled limit rather than the strongest component, and the whole argument has been an effort to keep that truth in front of planners tempted by a single headline number. The question the closing has to answer is whether evidence about bioregenerative loops, local resources, reserve policy, and measurement updates can be translated into a claim about safe resident population. That translation runs through decision usefulness, and it demands a record of what each cited source actually supports. A source may back a measured coefficient, a mechanism, a staging assumption, or a governance interpretation, and mixing those roles without saying so corrupts the integration</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The first consequence is that closure rate has to be managed, not chanted like a slogan. A high closure claim means something only when it accounts for inputs, outputs, stores, maintenance, failure behavior, and the standing cost of keeping the loop stable. On the Moon, bioregenerative loops, local resources, reserve policy, and measurement updates all draw on shared power, crew time, dust management, spares, and transport. Drop any one of those from the accounting and the capacity gain looks larger than it is. So the chapter builds toward a living carrying capacity model, a way to connect technology evidence to settlement operations rather than a decorative efficiency figure.</w:t>
      </w:r>
    </w:p>
    <w:p>
      <w:pPr>
        <w:pStyle w:val="BodyText"/>
        <w:spacing w:line="480" w:lineRule="auto"/>
        <w:ind w:firstLine="720"/>
      </w:pPr>
      <w:r>
        <w:t xml:space="preserve">The second consequence reframes source traceability as a safety practice. When a decision maker asks why a model permits a larger crew, the answer has to point at data rows, cited studies, and visible conversions. An answer that reduces to</w:t>
      </w:r>
      <w:r>
        <w:t xml:space="preserve"> </w:t>
      </w:r>
      <w:r>
        <w:t xml:space="preserve">“the technology looks promising”</w:t>
      </w:r>
      <w:r>
        <w:t xml:space="preserve"> </w:t>
      </w:r>
      <w:r>
        <w:t xml:space="preserve">has crossed from analysis into advocacy. Decision usefulness keeps the closing argument tethered to what is known, and it hands future reviewers a way to revise the model when a stronger test, a flight demonstration, or a longer surface operation shifts the parameter base</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The third consequence is that uncertainty travels forward rather than vanishing. Lunar settlements fuse biology, machinery, materials, logistics, and institutions, and each carries its own uncertainty structure. A photobioreactor pathway may wobble on biological stability and environmental translation. A regolith processing pathway may wobble on feedstock variation, power demand, and maintenance. A cislunar logistics pathway may wobble on market timing and launch availability. A useful model keeps all of that visible, then reports how each source of doubt moves the binding constraint.</w:t>
      </w:r>
    </w:p>
    <w:p>
      <w:pPr>
        <w:pStyle w:val="BodyText"/>
        <w:spacing w:line="480" w:lineRule="auto"/>
        <w:ind w:firstLine="720"/>
      </w:pPr>
      <w:r>
        <w:t xml:space="preserve">This lens changes how the chapter reads its own empirical papers. Those papers never claim that citation counts measure engineering readiness. They show how an evidence base gathers attention over time, and why prominence cannot substitute for operational data. That point is the whole reason to integrate carefully at the close. If older sources carry more citations, and if topical flags fail to isolate readiness cleanly, then the review has to look past visibility toward measurement completeness, asking which source reports which variable, under what conditions, over what duration, and with what dependence on imported support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A fourth consequence is phase sensitivity. Phase governs everything here. Early outposts, pilot settlements, and mature settlements will never share one capacity rule. Early on, imported reserves can cover weak closure, and the analytical task is to find the loop worth improving first. In a pilot phase, partial local production lifts the safe crew ceiling only when reserve policy stays conservative. In a mature phase, local production, repair capacity, and institutional redundancy move to the center. Reported honestly, a living carrying capacity model is a per-phase construct, not a timeless property.</w:t>
      </w:r>
    </w:p>
    <w:p>
      <w:pPr>
        <w:pStyle w:val="BodyText"/>
        <w:spacing w:line="480" w:lineRule="auto"/>
        <w:ind w:firstLine="720"/>
      </w:pPr>
      <w:r>
        <w:t xml:space="preserve">With that framing, the closing hands planners a way to compare investments directly. If water and nitrogen recovery bind, better biological or chemical recycling evidence moves the capacity range. If oxygen import binds, regolith oxygen production, storage, and maintenance data carry the most weight. If food binds, crop and photobioreactor duration, nutrition, harvest reliability, and crew acceptance decide the ceiling. If spare parts bind, surface fabrication and qualification matter most. Tying each measurement gap to a specific capacity consequence beats any generic call for more research</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The same logic guards against double counting. One resource can appear in several subsystems, and one support function can serve several closure loops. A greenhouse, a photobioreactor, and a waste processor may all draw on water, power, monitoring, and crew or robotic attention. A regolith oxygen plant and a fabrication system may share excavation, energy, and maintenance infrastructure. Add up their maximum benefits independently and the settlement looks more capable than it is. The overlap hides. Real accounting has to surface it. A disciplined model aggregates only compatible contributions and shows shared dependencies before it raises the population ceiling.</w:t>
      </w:r>
    </w:p>
    <w:p>
      <w:pPr>
        <w:pStyle w:val="BodyText"/>
        <w:spacing w:line="480" w:lineRule="auto"/>
        <w:ind w:firstLine="720"/>
      </w:pPr>
      <w:r>
        <w:t xml:space="preserve">Say less, but say it exactly. For policy and governance, the working standard is conditional clarity. The model should say that a capacity increase follows if the relevant loop performs at the stated level, if the supporting infrastructure is in place, if reserve rules hold, and if the evidence is strong enough for the mission phase. That sentence is less dramatic than a declaration of lunar self-sufficiency, and far more useful, because it lets sponsors, partners, and reviewers see exactly where the risk sits and what new evidence would change the answer. So the addendum feeds the dissertation’s central thesis one last time. Lunar settlement capacity is fixed neither by lunar resources alone nor by Earth launch capacity alone. It emerges from measured closure, local resource services, maintenance capability, reserve policy, and evidence that can be updated. This chapter contributes by showing how closing integration connects to a living carrying capacity model. Seen that way, decision usefulness is more than a research method. It is the operating discipline that keeps ambitious cislunar development claims aligned with evidence, safety, and strategic judgment</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w:t>
      </w:r>
    </w:p>
    <w:bookmarkEnd w:id="158"/>
    <w:bookmarkStart w:id="159" w:name="chapter-synthesis-7"/>
    <w:p>
      <w:pPr>
        <w:pStyle w:val="Heading2"/>
        <w:spacing w:line="480" w:lineRule="auto"/>
      </w:pPr>
      <w:r>
        <w:t xml:space="preserve">Chapter Synthesis</w:t>
      </w:r>
    </w:p>
    <w:p>
      <w:pPr>
        <w:pStyle w:val="FirstParagraph"/>
        <w:spacing w:line="480" w:lineRule="auto"/>
      </w:pPr>
      <w:r>
        <w:t xml:space="preserve">Future work can now move to physical closure extraction on a clear audit structure rather than a hidden evidence-selection process. That is the difference this dissertation was built to make.</w:t>
      </w:r>
    </w:p>
    <w:bookmarkEnd w:id="159"/>
    <w:bookmarkStart w:id="215" w:name="references"/>
    <w:p>
      <w:pPr>
        <w:pStyle w:val="Heading2"/>
        <w:spacing w:line="480" w:lineRule="auto"/>
      </w:pPr>
      <w:r>
        <w:t xml:space="preserve">References</w:t>
      </w:r>
    </w:p>
    <w:p>
      <w:pPr>
        <w:pStyle w:val="FirstParagraph"/>
        <w:spacing w:line="480" w:lineRule="auto"/>
      </w:pPr>
      <w:bookmarkStart w:id="160" w:name="ref-1"/>
      <w:bookmarkEnd w:id="160"/>
      <w:r>
        <w:t xml:space="preserve">1. Salman, L., Guerrero-Gonzalez, F. J., Ubiennyh, R., Detrell, G., and Reiss, P. (2025). In-situ manufacturing of photobioreactors on the Moon using local resources.</w:t>
      </w:r>
      <w:r>
        <w:t xml:space="preserve"> </w:t>
      </w:r>
      <w:r>
        <w:rPr>
          <w:i/>
          <w:iCs/>
        </w:rPr>
        <w:t xml:space="preserve">Acta Astronautica</w:t>
      </w:r>
      <w:r>
        <w:t xml:space="preserve">, Vol. 236. doi:</w:t>
      </w:r>
      <w:r>
        <w:t xml:space="preserve"> </w:t>
      </w:r>
      <w:hyperlink r:id="rId161">
        <w:r>
          <w:rPr>
            <w:rStyle w:val="Hyperlink"/>
          </w:rPr>
          <w:t xml:space="preserve">10.1016/j.actaastro.2025.07.033</w:t>
        </w:r>
      </w:hyperlink>
      <w:r>
        <w:t xml:space="preserve">.</w:t>
      </w:r>
    </w:p>
    <w:p>
      <w:pPr>
        <w:pStyle w:val="BodyText"/>
        <w:spacing w:line="480" w:lineRule="auto"/>
        <w:ind w:firstLine="720"/>
      </w:pPr>
      <w:bookmarkStart w:id="162" w:name="ref-2"/>
      <w:bookmarkEnd w:id="162"/>
      <w:r>
        <w:t xml:space="preserve">2. Kawamoto, H. (2025). Mechanical, electrodynamic, and magnetic particle-size classification of lunar regolith for in-situ resource utilization: A review.</w:t>
      </w:r>
      <w:r>
        <w:t xml:space="preserve"> </w:t>
      </w:r>
      <w:r>
        <w:rPr>
          <w:i/>
          <w:iCs/>
        </w:rPr>
        <w:t xml:space="preserve">Acta Astronautica</w:t>
      </w:r>
      <w:r>
        <w:t xml:space="preserve">, Vol. 236. doi:</w:t>
      </w:r>
      <w:r>
        <w:t xml:space="preserve"> </w:t>
      </w:r>
      <w:hyperlink r:id="rId163">
        <w:r>
          <w:rPr>
            <w:rStyle w:val="Hyperlink"/>
          </w:rPr>
          <w:t xml:space="preserve">10.1016/j.actaastro.2025.07.051</w:t>
        </w:r>
      </w:hyperlink>
      <w:r>
        <w:t xml:space="preserve">.</w:t>
      </w:r>
    </w:p>
    <w:p>
      <w:pPr>
        <w:pStyle w:val="BodyText"/>
        <w:spacing w:line="480" w:lineRule="auto"/>
        <w:ind w:firstLine="720"/>
      </w:pPr>
      <w:bookmarkStart w:id="164" w:name="ref-3"/>
      <w:bookmarkEnd w:id="164"/>
      <w:r>
        <w:t xml:space="preserve">3. Sukhinov, D. V., Gotovtsev, P. M., and Sergeeva, Y. E. (2023). Phototrophic microorganisms in bioregenerative life support systems for long-term crewed expeditions: Prospects and challenges.</w:t>
      </w:r>
      <w:r>
        <w:t xml:space="preserve"> </w:t>
      </w:r>
      <w:r>
        <w:rPr>
          <w:i/>
          <w:iCs/>
        </w:rPr>
        <w:t xml:space="preserve">Acta Astronautica</w:t>
      </w:r>
      <w:r>
        <w:t xml:space="preserve">, Vol. 211. doi:</w:t>
      </w:r>
      <w:r>
        <w:t xml:space="preserve"> </w:t>
      </w:r>
      <w:hyperlink r:id="rId165">
        <w:r>
          <w:rPr>
            <w:rStyle w:val="Hyperlink"/>
          </w:rPr>
          <w:t xml:space="preserve">10.1016/j.actaastro.2023.07.006</w:t>
        </w:r>
      </w:hyperlink>
      <w:r>
        <w:t xml:space="preserve">.</w:t>
      </w:r>
    </w:p>
    <w:p>
      <w:pPr>
        <w:pStyle w:val="BodyText"/>
        <w:spacing w:line="480" w:lineRule="auto"/>
        <w:ind w:firstLine="720"/>
      </w:pPr>
      <w:bookmarkStart w:id="166" w:name="ref-4"/>
      <w:bookmarkEnd w:id="166"/>
      <w:r>
        <w:t xml:space="preserve">4. van Loon, J. J. W. A., Lobascio, C., Boscheri, G., Goujon, C., Voglino, S., Zeminiani, E., González Cinca, R., and Ewald, R. (2024). Benefits of a rotating partial gravity spacecraft.</w:t>
      </w:r>
      <w:r>
        <w:t xml:space="preserve"> </w:t>
      </w:r>
      <w:r>
        <w:rPr>
          <w:i/>
          <w:iCs/>
        </w:rPr>
        <w:t xml:space="preserve">Acta Astronautica</w:t>
      </w:r>
      <w:r>
        <w:t xml:space="preserve">, Vol. 220. doi:</w:t>
      </w:r>
      <w:r>
        <w:t xml:space="preserve"> </w:t>
      </w:r>
      <w:hyperlink r:id="rId167">
        <w:r>
          <w:rPr>
            <w:rStyle w:val="Hyperlink"/>
          </w:rPr>
          <w:t xml:space="preserve">10.1016/j.actaastro.2024.04.041</w:t>
        </w:r>
      </w:hyperlink>
      <w:r>
        <w:t xml:space="preserve">.</w:t>
      </w:r>
    </w:p>
    <w:p>
      <w:pPr>
        <w:pStyle w:val="BodyText"/>
        <w:spacing w:line="480" w:lineRule="auto"/>
        <w:ind w:firstLine="720"/>
      </w:pPr>
      <w:bookmarkStart w:id="168" w:name="ref-5"/>
      <w:bookmarkEnd w:id="168"/>
      <w:r>
        <w:t xml:space="preserve">5. Deng, S., Xie, B., and Liu, H. (2016). The recycle of water and nitrogen from urine in bioregenerative life support system.</w:t>
      </w:r>
      <w:r>
        <w:t xml:space="preserve"> </w:t>
      </w:r>
      <w:r>
        <w:rPr>
          <w:i/>
          <w:iCs/>
        </w:rPr>
        <w:t xml:space="preserve">Acta Astronautica</w:t>
      </w:r>
      <w:r>
        <w:t xml:space="preserve">, Vol. 123. doi:</w:t>
      </w:r>
      <w:r>
        <w:t xml:space="preserve"> </w:t>
      </w:r>
      <w:hyperlink r:id="rId169">
        <w:r>
          <w:rPr>
            <w:rStyle w:val="Hyperlink"/>
          </w:rPr>
          <w:t xml:space="preserve">10.1016/j.actaastro.2016.03.007</w:t>
        </w:r>
      </w:hyperlink>
      <w:r>
        <w:t xml:space="preserve">.</w:t>
      </w:r>
    </w:p>
    <w:p>
      <w:pPr>
        <w:pStyle w:val="BodyText"/>
        <w:spacing w:line="480" w:lineRule="auto"/>
        <w:ind w:firstLine="720"/>
      </w:pPr>
      <w:bookmarkStart w:id="170" w:name="ref-6"/>
      <w:bookmarkEnd w:id="170"/>
      <w:r>
        <w:t xml:space="preserve">6. Robinot, J., Rodat, S., Abanades, S., Paillet, A., and Cowley, A. (2025). Review of in-situ oxygen extraction from lunar regolith with focus on solar thermal and laser vacuum pyrolysis.</w:t>
      </w:r>
      <w:r>
        <w:t xml:space="preserve"> </w:t>
      </w:r>
      <w:r>
        <w:rPr>
          <w:i/>
          <w:iCs/>
        </w:rPr>
        <w:t xml:space="preserve">Acta Astronautica</w:t>
      </w:r>
      <w:r>
        <w:t xml:space="preserve">, Vol. 234. doi:</w:t>
      </w:r>
      <w:r>
        <w:t xml:space="preserve"> </w:t>
      </w:r>
      <w:hyperlink r:id="rId171">
        <w:r>
          <w:rPr>
            <w:rStyle w:val="Hyperlink"/>
          </w:rPr>
          <w:t xml:space="preserve">10.1016/j.actaastro.2025.05.008</w:t>
        </w:r>
      </w:hyperlink>
      <w:r>
        <w:t xml:space="preserve">.</w:t>
      </w:r>
    </w:p>
    <w:p>
      <w:pPr>
        <w:pStyle w:val="BodyText"/>
        <w:spacing w:line="480" w:lineRule="auto"/>
        <w:ind w:firstLine="720"/>
      </w:pPr>
      <w:bookmarkStart w:id="172" w:name="ref-7"/>
      <w:bookmarkEnd w:id="172"/>
      <w:r>
        <w:t xml:space="preserve">7. Spedding, C. P., Lim, S., and Nuttall, W. J. (2021). ISRU technology deployment at a lunar outpost in 2040: A Delphi survey.</w:t>
      </w:r>
      <w:r>
        <w:t xml:space="preserve"> </w:t>
      </w:r>
      <w:r>
        <w:rPr>
          <w:i/>
          <w:iCs/>
        </w:rPr>
        <w:t xml:space="preserve">Acta Astronautica</w:t>
      </w:r>
      <w:r>
        <w:t xml:space="preserve">, Vol. 181. doi:</w:t>
      </w:r>
      <w:r>
        <w:t xml:space="preserve"> </w:t>
      </w:r>
      <w:hyperlink r:id="rId173">
        <w:r>
          <w:rPr>
            <w:rStyle w:val="Hyperlink"/>
          </w:rPr>
          <w:t xml:space="preserve">10.1016/j.actaastro.2021.01.009</w:t>
        </w:r>
      </w:hyperlink>
      <w:r>
        <w:t xml:space="preserve">.</w:t>
      </w:r>
    </w:p>
    <w:p>
      <w:pPr>
        <w:pStyle w:val="BodyText"/>
        <w:spacing w:line="480" w:lineRule="auto"/>
        <w:ind w:firstLine="720"/>
      </w:pPr>
      <w:bookmarkStart w:id="174" w:name="ref-8"/>
      <w:bookmarkEnd w:id="174"/>
      <w:r>
        <w:t xml:space="preserve">8. (2024). Where is the plant-space research going? An overview on the last two decades through bibliometric network multi-analysis.</w:t>
      </w:r>
      <w:r>
        <w:t xml:space="preserve"> </w:t>
      </w:r>
      <w:r>
        <w:rPr>
          <w:i/>
          <w:iCs/>
        </w:rPr>
        <w:t xml:space="preserve">Acta Astronautica</w:t>
      </w:r>
      <w:r>
        <w:t xml:space="preserve">, Vol. 221. doi:</w:t>
      </w:r>
      <w:r>
        <w:t xml:space="preserve"> </w:t>
      </w:r>
      <w:hyperlink r:id="rId175">
        <w:r>
          <w:rPr>
            <w:rStyle w:val="Hyperlink"/>
          </w:rPr>
          <w:t xml:space="preserve">10.1016/j.actaastro.2024.05.022</w:t>
        </w:r>
      </w:hyperlink>
      <w:r>
        <w:t xml:space="preserve">.</w:t>
      </w:r>
    </w:p>
    <w:p>
      <w:pPr>
        <w:pStyle w:val="BodyText"/>
        <w:spacing w:line="480" w:lineRule="auto"/>
        <w:ind w:firstLine="720"/>
      </w:pPr>
      <w:bookmarkStart w:id="176" w:name="ref-9"/>
      <w:bookmarkEnd w:id="176"/>
      <w:r>
        <w:t xml:space="preserve">9. Meurisse, A., Makaya, A., Willsch, C., and Sperl, M. (2018). Solar 3D printing of lunar regolith.</w:t>
      </w:r>
      <w:r>
        <w:t xml:space="preserve"> </w:t>
      </w:r>
      <w:r>
        <w:rPr>
          <w:i/>
          <w:iCs/>
        </w:rPr>
        <w:t xml:space="preserve">Acta Astronautica</w:t>
      </w:r>
      <w:r>
        <w:t xml:space="preserve">, Vol. 152. doi:</w:t>
      </w:r>
      <w:r>
        <w:t xml:space="preserve"> </w:t>
      </w:r>
      <w:hyperlink r:id="rId177">
        <w:r>
          <w:rPr>
            <w:rStyle w:val="Hyperlink"/>
          </w:rPr>
          <w:t xml:space="preserve">10.1016/j.actaastro.2018.06.063</w:t>
        </w:r>
      </w:hyperlink>
      <w:r>
        <w:t xml:space="preserve">.</w:t>
      </w:r>
    </w:p>
    <w:p>
      <w:pPr>
        <w:pStyle w:val="BodyText"/>
        <w:spacing w:line="480" w:lineRule="auto"/>
        <w:ind w:firstLine="720"/>
      </w:pPr>
      <w:bookmarkStart w:id="178" w:name="ref-10"/>
      <w:bookmarkEnd w:id="178"/>
      <w:r>
        <w:t xml:space="preserve">10. OCEA Forecasting the Space Economy (SD08). Space Economy Papers corpus, D:/Claude_Code/Space_Economy_Papers.</w:t>
      </w:r>
    </w:p>
    <w:p>
      <w:pPr>
        <w:pStyle w:val="BodyText"/>
        <w:spacing w:line="480" w:lineRule="auto"/>
        <w:ind w:firstLine="720"/>
      </w:pPr>
      <w:bookmarkStart w:id="179" w:name="ref-11"/>
      <w:bookmarkEnd w:id="179"/>
      <w:r>
        <w:t xml:space="preserve">11. Acta Astronautica local metadata corpus, query export on lunar life support, ISRU, bioregenerative systems, photobioreactors, regolith, oxygen, food, habitat, and settlement, June 27, 2026.</w:t>
      </w:r>
    </w:p>
    <w:p>
      <w:pPr>
        <w:pStyle w:val="BodyText"/>
        <w:spacing w:line="480" w:lineRule="auto"/>
        <w:ind w:firstLine="720"/>
      </w:pPr>
      <w:bookmarkStart w:id="180" w:name="ref-12"/>
      <w:bookmarkEnd w:id="180"/>
      <w:r>
        <w:t xml:space="preserve">12. L. Salman et al.,</w:t>
      </w:r>
      <w:r>
        <w:t xml:space="preserve"> </w:t>
      </w:r>
      <w:r>
        <w:t xml:space="preserve">“In-situ manufacturing of photobioreactors on the Moon using local resources,”</w:t>
      </w:r>
      <w:r>
        <w:t xml:space="preserve"> </w:t>
      </w:r>
      <w:r>
        <w:t xml:space="preserve">Acta Astronautica, vol. 236, 2025. doi:</w:t>
      </w:r>
      <w:r>
        <w:t xml:space="preserve"> </w:t>
      </w:r>
      <w:hyperlink r:id="rId161">
        <w:r>
          <w:rPr>
            <w:rStyle w:val="Hyperlink"/>
          </w:rPr>
          <w:t xml:space="preserve">10.1016/j.actaastro.2025.07.033</w:t>
        </w:r>
      </w:hyperlink>
    </w:p>
    <w:p>
      <w:pPr>
        <w:pStyle w:val="BodyText"/>
        <w:spacing w:line="480" w:lineRule="auto"/>
        <w:ind w:firstLine="720"/>
      </w:pPr>
      <w:bookmarkStart w:id="181" w:name="ref-13"/>
      <w:bookmarkEnd w:id="181"/>
      <w:r>
        <w:t xml:space="preserve">13. J. Robinot et al.,</w:t>
      </w:r>
      <w:r>
        <w:t xml:space="preserve"> </w:t>
      </w:r>
      <w:r>
        <w:t xml:space="preserve">“Review of in-situ oxygen extraction from lunar regolith with focus on solar thermal and laser vacuum pyrolysis,”</w:t>
      </w:r>
      <w:r>
        <w:t xml:space="preserve"> </w:t>
      </w:r>
      <w:r>
        <w:t xml:space="preserve">Acta Astronautica, vol. 234, 2025. doi:</w:t>
      </w:r>
      <w:r>
        <w:t xml:space="preserve"> </w:t>
      </w:r>
      <w:hyperlink r:id="rId171">
        <w:r>
          <w:rPr>
            <w:rStyle w:val="Hyperlink"/>
          </w:rPr>
          <w:t xml:space="preserve">10.1016/j.actaastro.2025.05.008</w:t>
        </w:r>
      </w:hyperlink>
    </w:p>
    <w:p>
      <w:pPr>
        <w:pStyle w:val="BodyText"/>
        <w:spacing w:line="480" w:lineRule="auto"/>
        <w:ind w:firstLine="720"/>
      </w:pPr>
      <w:bookmarkStart w:id="182" w:name="ref-14"/>
      <w:bookmarkEnd w:id="182"/>
      <w:r>
        <w:t xml:space="preserve">14. C. P. Spedding, S. Lim, and W. J. Nuttall,</w:t>
      </w:r>
      <w:r>
        <w:t xml:space="preserve"> </w:t>
      </w:r>
      <w:r>
        <w:t xml:space="preserve">“ISRU technology deployment at a lunar outpost in 2040: A Delphi survey,”</w:t>
      </w:r>
      <w:r>
        <w:t xml:space="preserve"> </w:t>
      </w:r>
      <w:r>
        <w:t xml:space="preserve">Acta Astronautica, vol. 181, 2021. doi:</w:t>
      </w:r>
      <w:r>
        <w:t xml:space="preserve"> </w:t>
      </w:r>
      <w:hyperlink r:id="rId173">
        <w:r>
          <w:rPr>
            <w:rStyle w:val="Hyperlink"/>
          </w:rPr>
          <w:t xml:space="preserve">10.1016/j.actaastro.2021.01.009</w:t>
        </w:r>
      </w:hyperlink>
    </w:p>
    <w:p>
      <w:pPr>
        <w:pStyle w:val="BodyText"/>
        <w:spacing w:line="480" w:lineRule="auto"/>
        <w:ind w:firstLine="720"/>
      </w:pPr>
      <w:bookmarkStart w:id="183" w:name="ref-15"/>
      <w:bookmarkEnd w:id="183"/>
      <w:r>
        <w:t xml:space="preserve">15. D. V. Sukhinov, P. M. Gotovtsev, and Y. E. Sergeeva,</w:t>
      </w:r>
      <w:r>
        <w:t xml:space="preserve"> </w:t>
      </w:r>
      <w:r>
        <w:t xml:space="preserve">“Phototrophic microorganisms in bioregenerative life support systems for long-term crewed expeditions,”</w:t>
      </w:r>
      <w:r>
        <w:t xml:space="preserve"> </w:t>
      </w:r>
      <w:r>
        <w:t xml:space="preserve">Acta Astronautica, vol. 211, 2023. doi:</w:t>
      </w:r>
      <w:r>
        <w:t xml:space="preserve"> </w:t>
      </w:r>
      <w:hyperlink r:id="rId165">
        <w:r>
          <w:rPr>
            <w:rStyle w:val="Hyperlink"/>
          </w:rPr>
          <w:t xml:space="preserve">10.1016/j.actaastro.2023.07.006</w:t>
        </w:r>
      </w:hyperlink>
    </w:p>
    <w:p>
      <w:pPr>
        <w:pStyle w:val="BodyText"/>
        <w:spacing w:line="480" w:lineRule="auto"/>
        <w:ind w:firstLine="720"/>
      </w:pPr>
      <w:bookmarkStart w:id="184" w:name="ref-16"/>
      <w:bookmarkEnd w:id="184"/>
      <w:r>
        <w:t xml:space="preserve">16. S. Deng, B. Xie, and H. Liu,</w:t>
      </w:r>
      <w:r>
        <w:t xml:space="preserve"> </w:t>
      </w:r>
      <w:r>
        <w:t xml:space="preserve">“The recycle of water and nitrogen from urine in bioregenerative life support system,”</w:t>
      </w:r>
      <w:r>
        <w:t xml:space="preserve"> </w:t>
      </w:r>
      <w:r>
        <w:t xml:space="preserve">Acta Astronautica, vol. 123, 2016. doi:</w:t>
      </w:r>
      <w:r>
        <w:t xml:space="preserve"> </w:t>
      </w:r>
      <w:hyperlink r:id="rId169">
        <w:r>
          <w:rPr>
            <w:rStyle w:val="Hyperlink"/>
          </w:rPr>
          <w:t xml:space="preserve">10.1016/j.actaastro.2016.03.007</w:t>
        </w:r>
      </w:hyperlink>
    </w:p>
    <w:p>
      <w:pPr>
        <w:pStyle w:val="BodyText"/>
        <w:spacing w:line="480" w:lineRule="auto"/>
        <w:ind w:firstLine="720"/>
      </w:pPr>
      <w:bookmarkStart w:id="185" w:name="ref-17"/>
      <w:bookmarkEnd w:id="185"/>
      <w:r>
        <w:t xml:space="preserve">17. C. Lorenz, B. Hay Mele, and C. Arena,</w:t>
      </w:r>
      <w:r>
        <w:t xml:space="preserve"> </w:t>
      </w:r>
      <w:r>
        <w:t xml:space="preserve">“Where is the plant-space research going?”</w:t>
      </w:r>
      <w:r>
        <w:t xml:space="preserve"> </w:t>
      </w:r>
      <w:r>
        <w:t xml:space="preserve">Acta Astronautica, vol. 221, 2024. doi:</w:t>
      </w:r>
      <w:r>
        <w:t xml:space="preserve"> </w:t>
      </w:r>
      <w:hyperlink r:id="rId175">
        <w:r>
          <w:rPr>
            <w:rStyle w:val="Hyperlink"/>
          </w:rPr>
          <w:t xml:space="preserve">10.1016/j.actaastro.2024.05.022</w:t>
        </w:r>
      </w:hyperlink>
    </w:p>
    <w:p>
      <w:pPr>
        <w:pStyle w:val="BodyText"/>
        <w:spacing w:line="480" w:lineRule="auto"/>
        <w:ind w:firstLine="720"/>
      </w:pPr>
      <w:bookmarkStart w:id="186" w:name="ref-18"/>
      <w:bookmarkEnd w:id="186"/>
      <w:r>
        <w:t xml:space="preserve">18. K. Ikeya et al.,</w:t>
      </w:r>
      <w:r>
        <w:t xml:space="preserve"> </w:t>
      </w:r>
      <w:r>
        <w:t xml:space="preserve">“Hybrid lunar ISRU plant: A comparative analysis with carbothermal reduction and water extraction,”</w:t>
      </w:r>
      <w:r>
        <w:t xml:space="preserve"> </w:t>
      </w:r>
      <w:r>
        <w:t xml:space="preserve">Acta Astronautica, vol. 230, 2025. doi:</w:t>
      </w:r>
      <w:r>
        <w:t xml:space="preserve"> </w:t>
      </w:r>
      <w:hyperlink r:id="rId187">
        <w:r>
          <w:rPr>
            <w:rStyle w:val="Hyperlink"/>
          </w:rPr>
          <w:t xml:space="preserve">10.1016/j.actaastro.2025.02.004</w:t>
        </w:r>
      </w:hyperlink>
    </w:p>
    <w:p>
      <w:pPr>
        <w:pStyle w:val="BodyText"/>
        <w:spacing w:line="480" w:lineRule="auto"/>
        <w:ind w:firstLine="720"/>
      </w:pPr>
      <w:bookmarkStart w:id="188" w:name="ref-19"/>
      <w:bookmarkEnd w:id="188"/>
      <w:r>
        <w:t xml:space="preserve">19. T. Blomqvist and R. Fritsche,</w:t>
      </w:r>
      <w:r>
        <w:t xml:space="preserve"> </w:t>
      </w:r>
      <w:r>
        <w:t xml:space="preserve">“From production to food systems: A systems-level review of drivers, requirements, and integration for Lunar and Martian food systems,”</w:t>
      </w:r>
      <w:r>
        <w:t xml:space="preserve"> </w:t>
      </w:r>
      <w:r>
        <w:t xml:space="preserve">Acta Astronautica, vol. 244, 2026. doi:</w:t>
      </w:r>
      <w:r>
        <w:t xml:space="preserve"> </w:t>
      </w:r>
      <w:hyperlink r:id="rId189">
        <w:r>
          <w:rPr>
            <w:rStyle w:val="Hyperlink"/>
          </w:rPr>
          <w:t xml:space="preserve">10.1016/j.actaastro.2026.02.021</w:t>
        </w:r>
      </w:hyperlink>
    </w:p>
    <w:p>
      <w:pPr>
        <w:pStyle w:val="BodyText"/>
        <w:spacing w:line="480" w:lineRule="auto"/>
        <w:ind w:firstLine="720"/>
      </w:pPr>
      <w:bookmarkStart w:id="190" w:name="ref-20"/>
      <w:bookmarkEnd w:id="190"/>
      <w:r>
        <w:t xml:space="preserve">20. Mark A. Sturza, Viasat, Inc.; Mark D. Dankberg, Viasat, Inc.; William N. Blount, Viasat, Inc.. LEO Capacity Modeling for Sustainable Design (2022).</w:t>
      </w:r>
    </w:p>
    <w:p>
      <w:pPr>
        <w:pStyle w:val="BodyText"/>
        <w:spacing w:line="480" w:lineRule="auto"/>
        <w:ind w:firstLine="720"/>
      </w:pPr>
      <w:bookmarkStart w:id="191" w:name="ref-21"/>
      <w:bookmarkEnd w:id="191"/>
      <w:r>
        <w:t xml:space="preserve">21. Nathan R. Boone, Air Force Institute of Technology; Robert A. Bettinger, Air Force Institute of Technology. Long-Term Evolution of Debris Clouds in Low Lunar Orbit (2022).</w:t>
      </w:r>
    </w:p>
    <w:p>
      <w:pPr>
        <w:pStyle w:val="BodyText"/>
        <w:spacing w:line="480" w:lineRule="auto"/>
        <w:ind w:firstLine="720"/>
      </w:pPr>
      <w:bookmarkStart w:id="192" w:name="ref-22"/>
      <w:bookmarkEnd w:id="192"/>
      <w:r>
        <w:t xml:space="preserve">22. Peter Zimmer, J.T. McGraw and Associates, LLC ; John T. McGraw, J.T. McGraw &amp; Associates, LLC; Mark R. Ackermann, J.T. McGraw and Associates, LLC. Cislunar SSA/SDA from the Lunar Surface: COTS Imagers on Commercial Landers (2021).</w:t>
      </w:r>
    </w:p>
    <w:p>
      <w:pPr>
        <w:pStyle w:val="BodyText"/>
        <w:spacing w:line="480" w:lineRule="auto"/>
        <w:ind w:firstLine="720"/>
      </w:pPr>
      <w:bookmarkStart w:id="193" w:name="ref-23"/>
      <w:bookmarkEnd w:id="193"/>
      <w:r>
        <w:t xml:space="preserve">23. Harvey Reed, MITRE; Nathaniel Dailey, MITRE; Ruth Stilwell, Aerospace Policy Solutions, LLC; Brian Weeden, Secure World Foundation. Decentralized Space Information Sharing as a Key Enabler of Trust and the Preservation of Space (2021).</w:t>
      </w:r>
    </w:p>
    <w:p>
      <w:pPr>
        <w:pStyle w:val="BodyText"/>
        <w:spacing w:line="480" w:lineRule="auto"/>
        <w:ind w:firstLine="720"/>
      </w:pPr>
      <w:bookmarkStart w:id="194" w:name="ref-24"/>
      <w:bookmarkEnd w:id="194"/>
      <w:r>
        <w:t xml:space="preserve">24. Robert Carden, MITRE; Dustin Burchett, MITRE; Harvey Reed, MITRE. SNARE (Sensor Network Autonomous Resilient Extensible): Decentralized Sensor Tasking Improves SDA Tactical Relevance (2021).</w:t>
      </w:r>
    </w:p>
    <w:p>
      <w:pPr>
        <w:pStyle w:val="BodyText"/>
        <w:spacing w:line="480" w:lineRule="auto"/>
        <w:ind w:firstLine="720"/>
      </w:pPr>
      <w:bookmarkStart w:id="195" w:name="ref-25"/>
      <w:bookmarkEnd w:id="195"/>
      <w:r>
        <w:t xml:space="preserve">25.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w:t>
      </w:r>
    </w:p>
    <w:p>
      <w:pPr>
        <w:pStyle w:val="BodyText"/>
        <w:spacing w:line="480" w:lineRule="auto"/>
        <w:ind w:firstLine="720"/>
      </w:pPr>
      <w:bookmarkStart w:id="196" w:name="ref-26"/>
      <w:bookmarkEnd w:id="196"/>
      <w:r>
        <w:t xml:space="preserve">26. Mark Sturza, Viasat; Mark Dankberg, Viasat; William Blount, Viasat. Resilience of LEO Constellations to Accidental and Intentional Fragmentation Events (2024). doi:</w:t>
      </w:r>
      <w:r>
        <w:t xml:space="preserve"> </w:t>
      </w:r>
      <w:hyperlink r:id="rId197">
        <w:r>
          <w:rPr>
            <w:rStyle w:val="Hyperlink"/>
          </w:rPr>
          <w:t xml:space="preserve">10.64861/ZFDQ4641</w:t>
        </w:r>
      </w:hyperlink>
    </w:p>
    <w:p>
      <w:pPr>
        <w:pStyle w:val="BodyText"/>
        <w:spacing w:line="480" w:lineRule="auto"/>
        <w:ind w:firstLine="720"/>
      </w:pPr>
      <w:bookmarkStart w:id="198" w:name="ref-27"/>
      <w:bookmarkEnd w:id="198"/>
      <w:r>
        <w:t xml:space="preserve">27. Ronak Shah, (MIT Lincoln Laboratory), Deborah F. Woods, (MIT Lincoln Laboratory, Walter Faccenda, (MIT Lincoln Laboratory), Julie Johnson, (MIT Lincoln Laboratory), Richard Lambour, (MIT Lincoln Laboratory), Eric C. Pearce, (MIT Lincoln Laboratory), J. Scott Stuart, (MIT Lincoln Laboratory). Asteroid Detection with the Space Surveillance Telescope (2013).</w:t>
      </w:r>
    </w:p>
    <w:p>
      <w:pPr>
        <w:pStyle w:val="BodyText"/>
        <w:spacing w:line="480" w:lineRule="auto"/>
        <w:ind w:firstLine="720"/>
      </w:pPr>
      <w:bookmarkStart w:id="199" w:name="ref-28"/>
      <w:bookmarkEnd w:id="199"/>
      <w:r>
        <w:t xml:space="preserve">28. Marc-André Chavy-Macdonald; Kazuya Oizumi; Jean-Paul Kneib; Kazuhiro Aoyama. The cis-lunar ecosystem : A systems model and scenarios of the resource industry and its impact (2021). doi:</w:t>
      </w:r>
      <w:r>
        <w:t xml:space="preserve"> </w:t>
      </w:r>
      <w:hyperlink r:id="rId200">
        <w:r>
          <w:rPr>
            <w:rStyle w:val="Hyperlink"/>
          </w:rPr>
          <w:t xml:space="preserve">10.1016/j.actaastro.2021.06.017</w:t>
        </w:r>
      </w:hyperlink>
    </w:p>
    <w:p>
      <w:pPr>
        <w:pStyle w:val="BodyText"/>
        <w:spacing w:line="480" w:lineRule="auto"/>
        <w:ind w:firstLine="720"/>
      </w:pPr>
      <w:bookmarkStart w:id="201" w:name="ref-29"/>
      <w:bookmarkEnd w:id="201"/>
      <w:r>
        <w:t xml:space="preserve">29. Ian Jehn; Christopher B. Dreyer. A design methodology for flat slab lunar landing and launch pad systems (2025). doi:</w:t>
      </w:r>
      <w:r>
        <w:t xml:space="preserve"> </w:t>
      </w:r>
      <w:hyperlink r:id="rId202">
        <w:r>
          <w:rPr>
            <w:rStyle w:val="Hyperlink"/>
          </w:rPr>
          <w:t xml:space="preserve">10.1016/j.actaastro.2025.02.046</w:t>
        </w:r>
      </w:hyperlink>
    </w:p>
    <w:p>
      <w:pPr>
        <w:pStyle w:val="BodyText"/>
        <w:spacing w:line="480" w:lineRule="auto"/>
        <w:ind w:firstLine="720"/>
      </w:pPr>
      <w:bookmarkStart w:id="203" w:name="ref-30"/>
      <w:bookmarkEnd w:id="203"/>
      <w:r>
        <w:t xml:space="preserve">30. Benjamin Reimeir; Sara Maach; Anna Wargel; Franziska Riedl; Deepasree Bangaru-Raju; Robert Eberle; Gernot Groemer; Peter Federolf. Adaptive, empirical models from analog EVA telemetry for traverse pacing and physiological response prediction in astronauts (2025). doi:</w:t>
      </w:r>
      <w:r>
        <w:t xml:space="preserve"> </w:t>
      </w:r>
      <w:hyperlink r:id="rId204">
        <w:r>
          <w:rPr>
            <w:rStyle w:val="Hyperlink"/>
          </w:rPr>
          <w:t xml:space="preserve">10.1016/j.actaastro.2025.10.072</w:t>
        </w:r>
      </w:hyperlink>
    </w:p>
    <w:p>
      <w:pPr>
        <w:pStyle w:val="BodyText"/>
        <w:spacing w:line="480" w:lineRule="auto"/>
        <w:ind w:firstLine="720"/>
      </w:pPr>
      <w:bookmarkStart w:id="205" w:name="ref-31"/>
      <w:bookmarkEnd w:id="205"/>
      <w:r>
        <w:t xml:space="preserve">31. R. L. McNutt; R. F. Wimmer-Schweingruber; Mike Gruntman; S. M. Krimigis; E. C. Roelof; P. C. Brandt; Steven R. Vernon; Michael Paul; Robert Stough; J.D. Kinnison. Interstellar probe – Destination: Universe! (2022). doi:</w:t>
      </w:r>
      <w:r>
        <w:t xml:space="preserve"> </w:t>
      </w:r>
      <w:hyperlink r:id="rId206">
        <w:r>
          <w:rPr>
            <w:rStyle w:val="Hyperlink"/>
          </w:rPr>
          <w:t xml:space="preserve">10.1016/j.actaastro.2022.04.001</w:t>
        </w:r>
      </w:hyperlink>
    </w:p>
    <w:p>
      <w:pPr>
        <w:pStyle w:val="BodyText"/>
        <w:spacing w:line="480" w:lineRule="auto"/>
        <w:ind w:firstLine="720"/>
      </w:pPr>
      <w:bookmarkStart w:id="207" w:name="ref-32"/>
      <w:bookmarkEnd w:id="207"/>
      <w:r>
        <w:t xml:space="preserve">32. David John Rajendran; Mani Sekaran Santhanakrishnan; Vassilios Pachidis; Jérôme Messineo. Flow field explorations and design improvements of a hybrid rocket motor LOx feed line (2024). doi:</w:t>
      </w:r>
      <w:r>
        <w:t xml:space="preserve"> </w:t>
      </w:r>
      <w:hyperlink r:id="rId208">
        <w:r>
          <w:rPr>
            <w:rStyle w:val="Hyperlink"/>
          </w:rPr>
          <w:t xml:space="preserve">10.1016/j.actaastro.2024.09.023</w:t>
        </w:r>
      </w:hyperlink>
    </w:p>
    <w:p>
      <w:pPr>
        <w:pStyle w:val="BodyText"/>
        <w:spacing w:line="480" w:lineRule="auto"/>
        <w:ind w:firstLine="720"/>
      </w:pPr>
      <w:bookmarkStart w:id="209" w:name="ref-33"/>
      <w:bookmarkEnd w:id="209"/>
      <w:r>
        <w:t xml:space="preserve">33. Gang Chen; Bonan Yuan; Qingxuan Jia; Hanxu Sun; W.G. Guo. Failure tolerance strategy of space manipulator for large load carrying tasks (2018). doi:</w:t>
      </w:r>
      <w:r>
        <w:t xml:space="preserve"> </w:t>
      </w:r>
      <w:hyperlink r:id="rId210">
        <w:r>
          <w:rPr>
            <w:rStyle w:val="Hyperlink"/>
          </w:rPr>
          <w:t xml:space="preserve">10.1016/j.actaastro.2018.04.052</w:t>
        </w:r>
      </w:hyperlink>
    </w:p>
    <w:p>
      <w:pPr>
        <w:pStyle w:val="BodyText"/>
        <w:spacing w:line="480" w:lineRule="auto"/>
        <w:ind w:firstLine="720"/>
      </w:pPr>
      <w:bookmarkStart w:id="211" w:name="ref-34"/>
      <w:bookmarkEnd w:id="211"/>
      <w:r>
        <w:t xml:space="preserve">34.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212">
        <w:r>
          <w:rPr>
            <w:rStyle w:val="Hyperlink"/>
          </w:rPr>
          <w:t xml:space="preserve">10.1016/j.actaastro.2025.01.069</w:t>
        </w:r>
      </w:hyperlink>
    </w:p>
    <w:p>
      <w:pPr>
        <w:pStyle w:val="BodyText"/>
        <w:spacing w:line="480" w:lineRule="auto"/>
        <w:ind w:firstLine="720"/>
      </w:pPr>
      <w:bookmarkStart w:id="213" w:name="ref-35"/>
      <w:bookmarkEnd w:id="213"/>
      <w:r>
        <w:t xml:space="preserve">35. Charlotte Hook; Ewan Wright; Michael Byers; Aaron C. Boley. Uncontrolled reentries of space objects and aviation safety (2024). doi:</w:t>
      </w:r>
      <w:r>
        <w:t xml:space="preserve"> </w:t>
      </w:r>
      <w:hyperlink r:id="rId214">
        <w:r>
          <w:rPr>
            <w:rStyle w:val="Hyperlink"/>
          </w:rPr>
          <w:t xml:space="preserve">10.1016/j.actaastro.2024.05.026</w:t>
        </w:r>
      </w:hyperlink>
    </w:p>
    <w:bookmarkEnd w:id="215"/>
    <w:bookmarkEnd w:id="216"/>
    <w:bookmarkStart w:id="23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24" w:name="X47a61718d4078efa6ed2653ff45a43a59e6c7b5"/>
    <w:p>
      <w:pPr>
        <w:pStyle w:val="Heading2"/>
        <w:spacing w:line="480" w:lineRule="auto"/>
      </w:pPr>
      <w:r>
        <w:t xml:space="preserve">A.1 What Gets Cited in Lunar Closure Research? A Metadata Test of BLSS and ISRU Attention in Acta Astronautica</w:t>
      </w:r>
    </w:p>
    <w:p>
      <w:pPr>
        <w:pStyle w:val="FirstParagraph"/>
        <w:spacing w:line="480" w:lineRule="auto"/>
      </w:pPr>
      <m:oMathPara>
        <m:oMathParaPr>
          <m:jc m:val="center"/>
        </m:oMathParaPr>
        <m:oMath>
          <m:sSub>
            <m:e>
              <m:r>
                <m:rPr>
                  <m:nor/>
                  <m:sty m:val="p"/>
                </m:rPr>
                <m:t>Citations</m:t>
              </m:r>
            </m:e>
            <m:sub>
              <m:r>
                <m:t>i</m:t>
              </m:r>
            </m:sub>
          </m:sSub>
          <m:r>
            <m:rPr>
              <m:sty m:val="p"/>
            </m:rPr>
            <m:t>=</m:t>
          </m:r>
          <m:r>
            <m:t>α</m:t>
          </m:r>
          <m:r>
            <m:rPr>
              <m:sty m:val="p"/>
            </m:rPr>
            <m:t>+</m:t>
          </m:r>
          <m:sSub>
            <m:e>
              <m:r>
                <m:t>β</m:t>
              </m:r>
            </m:e>
            <m:sub>
              <m:r>
                <m:t>1</m:t>
              </m:r>
            </m:sub>
          </m:sSub>
          <m:sSub>
            <m:e>
              <m:r>
                <m:rPr>
                  <m:nor/>
                  <m:sty m:val="p"/>
                </m:rPr>
                <m:t>Age</m:t>
              </m:r>
            </m:e>
            <m:sub>
              <m:r>
                <m:t>i</m:t>
              </m:r>
            </m:sub>
          </m:sSub>
          <m:r>
            <m:rPr>
              <m:sty m:val="p"/>
            </m:rPr>
            <m:t>+</m:t>
          </m:r>
          <m:sSub>
            <m:e>
              <m:r>
                <m:t>β</m:t>
              </m:r>
            </m:e>
            <m:sub>
              <m:r>
                <m:t>2</m:t>
              </m:r>
            </m:sub>
          </m:sSub>
          <m:sSub>
            <m:e>
              <m:r>
                <m:rPr>
                  <m:nor/>
                  <m:sty m:val="p"/>
                </m:rPr>
                <m:t>ISRU</m:t>
              </m:r>
            </m:e>
            <m:sub>
              <m:r>
                <m:t>i</m:t>
              </m:r>
            </m:sub>
          </m:sSub>
          <m:r>
            <m:rPr>
              <m:sty m:val="p"/>
            </m:rPr>
            <m:t>+</m:t>
          </m:r>
          <m:sSub>
            <m:e>
              <m:r>
                <m:t>β</m:t>
              </m:r>
            </m:e>
            <m:sub>
              <m:r>
                <m:t>3</m:t>
              </m:r>
            </m:sub>
          </m:sSub>
          <m:sSub>
            <m:e>
              <m:r>
                <m:rPr>
                  <m:nor/>
                  <m:sty m:val="p"/>
                </m:rPr>
                <m:t>LifeSupport</m:t>
              </m:r>
            </m:e>
            <m:sub>
              <m:r>
                <m:t>i</m:t>
              </m:r>
            </m:sub>
          </m:sSub>
          <m:r>
            <m:rPr>
              <m:sty m:val="p"/>
            </m:rPr>
            <m:t>+</m:t>
          </m:r>
          <m:sSub>
            <m:e>
              <m:r>
                <m:t>ε</m:t>
              </m:r>
            </m:e>
            <m:sub>
              <m:r>
                <m:t>i</m:t>
              </m:r>
            </m:sub>
          </m:sSub>
        </m:oMath>
      </m:oMathPara>
    </w:p>
    <w:bookmarkStart w:id="21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-19.0151</w:t>
            </w:r>
          </w:p>
        </w:tc>
        <w:tc>
          <w:tcPr>
            <w:tcW w:w="0" w:type="auto"/>
          </w:tcPr>
          <w:p>
            <w:pPr>
              <w:spacing w:line="240" w:lineRule="auto" w:before="0" w:after="0"/>
              <w:pStyle w:val="Compact"/>
            </w:pPr>
            <w:r>
              <w:rPr>
                <w:sz w:val="20"/>
                <w:szCs w:val="20"/>
              </w:rPr>
              <w:t xml:space="preserve">14.0755</w:t>
            </w:r>
          </w:p>
        </w:tc>
        <w:tc>
          <w:tcPr>
            <w:tcW w:w="0" w:type="auto"/>
          </w:tcPr>
          <w:p>
            <w:pPr>
              <w:spacing w:line="240" w:lineRule="auto" w:before="0" w:after="0"/>
              <w:pStyle w:val="Compact"/>
            </w:pPr>
            <w:r>
              <w:rPr>
                <w:sz w:val="20"/>
                <w:szCs w:val="20"/>
              </w:rPr>
              <w:t xml:space="preserve">-1.3509</w:t>
            </w:r>
          </w:p>
        </w:tc>
        <w:tc>
          <w:tcPr>
            <w:tcW w:w="0" w:type="auto"/>
          </w:tcPr>
          <w:p>
            <w:pPr>
              <w:spacing w:line="240" w:lineRule="auto" w:before="0" w:after="0"/>
              <w:pStyle w:val="Compact"/>
            </w:pPr>
            <w:r>
              <w:rPr>
                <w:sz w:val="20"/>
                <w:szCs w:val="20"/>
              </w:rPr>
              <w:t xml:space="preserve">0.1767</w:t>
            </w:r>
          </w:p>
        </w:tc>
        <w:tc>
          <w:tcPr>
            <w:tcW w:w="0" w:type="auto"/>
          </w:tcPr>
          <w:p>
            <w:pPr>
              <w:spacing w:line="240" w:lineRule="auto" w:before="0" w:after="0"/>
              <w:pStyle w:val="Compact"/>
            </w:pPr>
            <w:r>
              <w:rPr>
                <w:sz w:val="20"/>
                <w:szCs w:val="20"/>
              </w:rPr>
              <w:t xml:space="preserve">[-46.6025, 8.5723]</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7.6293</w:t>
            </w:r>
          </w:p>
        </w:tc>
        <w:tc>
          <w:tcPr>
            <w:tcW w:w="0" w:type="auto"/>
          </w:tcPr>
          <w:p>
            <w:pPr>
              <w:spacing w:line="240" w:lineRule="auto" w:before="0" w:after="0"/>
              <w:pStyle w:val="Compact"/>
            </w:pPr>
            <w:r>
              <w:rPr>
                <w:sz w:val="20"/>
                <w:szCs w:val="20"/>
              </w:rPr>
              <w:t xml:space="preserve">3.9996</w:t>
            </w:r>
          </w:p>
        </w:tc>
        <w:tc>
          <w:tcPr>
            <w:tcW w:w="0" w:type="auto"/>
          </w:tcPr>
          <w:p>
            <w:pPr>
              <w:spacing w:line="240" w:lineRule="auto" w:before="0" w:after="0"/>
              <w:pStyle w:val="Compact"/>
            </w:pPr>
            <w:r>
              <w:rPr>
                <w:sz w:val="20"/>
                <w:szCs w:val="20"/>
              </w:rPr>
              <w:t xml:space="preserve">1.9075</w:t>
            </w:r>
          </w:p>
        </w:tc>
        <w:tc>
          <w:tcPr>
            <w:tcW w:w="0" w:type="auto"/>
          </w:tcPr>
          <w:p>
            <w:pPr>
              <w:spacing w:line="240" w:lineRule="auto" w:before="0" w:after="0"/>
              <w:pStyle w:val="Compact"/>
            </w:pPr>
            <w:r>
              <w:rPr>
                <w:sz w:val="20"/>
                <w:szCs w:val="20"/>
              </w:rPr>
              <w:t xml:space="preserve">0.0565</w:t>
            </w:r>
          </w:p>
        </w:tc>
        <w:tc>
          <w:tcPr>
            <w:tcW w:w="0" w:type="auto"/>
          </w:tcPr>
          <w:p>
            <w:pPr>
              <w:spacing w:line="240" w:lineRule="auto" w:before="0" w:after="0"/>
              <w:pStyle w:val="Compact"/>
            </w:pPr>
            <w:r>
              <w:rPr>
                <w:sz w:val="20"/>
                <w:szCs w:val="20"/>
              </w:rPr>
              <w:t xml:space="preserve">[-0.2098, 15.4683]</w:t>
            </w:r>
          </w:p>
        </w:tc>
      </w:tr>
      <w:tr>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22.875</w:t>
            </w:r>
          </w:p>
        </w:tc>
        <w:tc>
          <w:tcPr>
            <w:tcW w:w="0" w:type="auto"/>
          </w:tcPr>
          <w:p>
            <w:pPr>
              <w:spacing w:line="240" w:lineRule="auto" w:before="0" w:after="0"/>
              <w:pStyle w:val="Compact"/>
            </w:pPr>
            <w:r>
              <w:rPr>
                <w:sz w:val="20"/>
                <w:szCs w:val="20"/>
              </w:rPr>
              <w:t xml:space="preserve">14.073</w:t>
            </w:r>
          </w:p>
        </w:tc>
        <w:tc>
          <w:tcPr>
            <w:tcW w:w="0" w:type="auto"/>
          </w:tcPr>
          <w:p>
            <w:pPr>
              <w:spacing w:line="240" w:lineRule="auto" w:before="0" w:after="0"/>
              <w:pStyle w:val="Compact"/>
            </w:pPr>
            <w:r>
              <w:rPr>
                <w:sz w:val="20"/>
                <w:szCs w:val="20"/>
              </w:rPr>
              <w:t xml:space="preserve">1.6254</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[-4.7076, 50.4576]</w:t>
            </w:r>
          </w:p>
        </w:tc>
      </w:tr>
      <w:tr>
        <w:tc>
          <w:tcPr>
            <w:tcW w:w="0" w:type="auto"/>
          </w:tcPr>
          <w:p>
            <w:pPr>
              <w:spacing w:line="240" w:lineRule="auto" w:before="0" w:after="0"/>
              <w:pStyle w:val="Compact"/>
            </w:pPr>
            <w:r>
              <w:rPr>
                <w:sz w:val="20"/>
                <w:szCs w:val="20"/>
              </w:rPr>
              <w:t xml:space="preserve">is_life_support</w:t>
            </w:r>
          </w:p>
        </w:tc>
        <w:tc>
          <w:tcPr>
            <w:tcW w:w="0" w:type="auto"/>
          </w:tcPr>
          <w:p>
            <w:pPr>
              <w:spacing w:line="240" w:lineRule="auto" w:before="0" w:after="0"/>
              <w:pStyle w:val="Compact"/>
            </w:pPr>
            <w:r>
              <w:rPr>
                <w:sz w:val="20"/>
                <w:szCs w:val="20"/>
              </w:rPr>
              <w:t xml:space="preserve">-12.3731</w:t>
            </w:r>
          </w:p>
        </w:tc>
        <w:tc>
          <w:tcPr>
            <w:tcW w:w="0" w:type="auto"/>
          </w:tcPr>
          <w:p>
            <w:pPr>
              <w:spacing w:line="240" w:lineRule="auto" w:before="0" w:after="0"/>
              <w:pStyle w:val="Compact"/>
            </w:pPr>
            <w:r>
              <w:rPr>
                <w:sz w:val="20"/>
                <w:szCs w:val="20"/>
              </w:rPr>
              <w:t xml:space="preserve">10.8055</w:t>
            </w:r>
          </w:p>
        </w:tc>
        <w:tc>
          <w:tcPr>
            <w:tcW w:w="0" w:type="auto"/>
          </w:tcPr>
          <w:p>
            <w:pPr>
              <w:spacing w:line="240" w:lineRule="auto" w:before="0" w:after="0"/>
              <w:pStyle w:val="Compact"/>
            </w:pPr>
            <w:r>
              <w:rPr>
                <w:sz w:val="20"/>
                <w:szCs w:val="20"/>
              </w:rPr>
              <w:t xml:space="preserve">-1.1451</w:t>
            </w:r>
          </w:p>
        </w:tc>
        <w:tc>
          <w:tcPr>
            <w:tcW w:w="0" w:type="auto"/>
          </w:tcPr>
          <w:p>
            <w:pPr>
              <w:spacing w:line="240" w:lineRule="auto" w:before="0" w:after="0"/>
              <w:pStyle w:val="Compact"/>
            </w:pPr>
            <w:r>
              <w:rPr>
                <w:sz w:val="20"/>
                <w:szCs w:val="20"/>
              </w:rPr>
              <w:t xml:space="preserve">0.2522</w:t>
            </w:r>
          </w:p>
        </w:tc>
        <w:tc>
          <w:tcPr>
            <w:tcW w:w="0" w:type="auto"/>
          </w:tcPr>
          <w:p>
            <w:pPr>
              <w:spacing w:line="240" w:lineRule="auto" w:before="0" w:after="0"/>
              <w:pStyle w:val="Compact"/>
            </w:pPr>
            <w:r>
              <w:rPr>
                <w:sz w:val="20"/>
                <w:szCs w:val="20"/>
              </w:rPr>
              <w:t xml:space="preserve">[-33.5514, 8.8053]</w:t>
            </w:r>
          </w:p>
        </w:tc>
      </w:tr>
    </w:tbl>
    <w:p>
      <w:pPr>
        <w:pStyle w:val="BodyText"/>
        <w:spacing w:line="480" w:lineRule="auto"/>
        <w:ind w:firstLine="720"/>
      </w:pPr>
      <w:r>
        <w:t xml:space="preserve">Fit: N = 40 R2 = 0.3031 R2_adj = 0.2451 F = 1.2641 F_p = 0.3013</w:t>
      </w:r>
    </w:p>
    <w:bookmarkEnd w:id="217"/>
    <w:bookmarkStart w:id="22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Citation count and paper age in 40 lunar closure-relevant Acta records." title="" id="219" name="Picture"/>
            <a:graphic>
              <a:graphicData uri="http://schemas.openxmlformats.org/drawingml/2006/picture">
                <pic:pic>
                  <pic:nvPicPr>
                    <pic:cNvPr descr="D:/Claude_Code/brain/collegium/candidates/dissertations/CISLUNAR_DEV_09/research_papers/p1/paper_fig1.png" id="220" name="Picture"/>
                    <pic:cNvPicPr>
                      <a:picLocks noChangeArrowheads="1" noChangeAspect="1"/>
                    </pic:cNvPicPr>
                  </pic:nvPicPr>
                  <pic:blipFill>
                    <a:blip r:embed="rId21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Citation count and paper age in 40 lunar closure-relevant Acta records.</w:t>
      </w:r>
    </w:p>
    <w:bookmarkEnd w:id="221"/>
    <w:bookmarkStart w:id="22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paper_id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doi</w:t>
            </w:r>
          </w:p>
        </w:tc>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years_since_2016</w:t>
            </w:r>
          </w:p>
        </w:tc>
        <w:tc>
          <w:tcPr>
            <w:tcW w:w="0" w:type="auto"/>
          </w:tcPr>
          <w:p>
            <w:pPr>
              <w:spacing w:line="240" w:lineRule="auto" w:before="0" w:after="0"/>
              <w:pStyle w:val="Compact"/>
            </w:pPr>
            <w:r>
              <w:rPr>
                <w:sz w:val="20"/>
                <w:szCs w:val="20"/>
              </w:rPr>
              <w:t xml:space="preserve">is_fulltext</w:t>
            </w:r>
          </w:p>
        </w:tc>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is_life_support</w:t>
            </w:r>
          </w:p>
        </w:tc>
        <w:tc>
          <w:tcPr>
            <w:tcW w:w="0" w:type="auto"/>
          </w:tcPr>
          <w:p>
            <w:pPr>
              <w:spacing w:line="240" w:lineRule="auto" w:before="0" w:after="0"/>
              <w:pStyle w:val="Compact"/>
            </w:pPr>
            <w:r>
              <w:rPr>
                <w:sz w:val="20"/>
                <w:szCs w:val="20"/>
              </w:rPr>
              <w:t xml:space="preserve">is_lunar</w:t>
            </w:r>
          </w:p>
        </w:tc>
        <w:tc>
          <w:tcPr>
            <w:tcW w:w="0" w:type="auto"/>
          </w:tcPr>
          <w:p>
            <w:pPr>
              <w:spacing w:line="240" w:lineRule="auto" w:before="0" w:after="0"/>
              <w:pStyle w:val="Compact"/>
            </w:pPr>
            <w:r>
              <w:rPr>
                <w:sz w:val="20"/>
                <w:szCs w:val="20"/>
              </w:rPr>
              <w:t xml:space="preserve">citations_plus_one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In-situ manufacturing of photobioreactors on the Moon using local resources</w:t>
            </w:r>
          </w:p>
        </w:tc>
        <w:tc>
          <w:tcPr>
            <w:tcW w:w="0" w:type="auto"/>
          </w:tcPr>
          <w:p>
            <w:pPr>
              <w:spacing w:line="240" w:lineRule="auto" w:before="0" w:after="0"/>
              <w:pStyle w:val="Compact"/>
            </w:pPr>
            <w:r>
              <w:rPr>
                <w:sz w:val="20"/>
                <w:szCs w:val="20"/>
              </w:rPr>
              <w:t xml:space="preserve">10.1016/j.actaastro.2025.07.033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Hybrid lunar ISRU plant: A comparative analysis with carbothermal reduction and water extraction</w:t>
            </w:r>
          </w:p>
        </w:tc>
        <w:tc>
          <w:tcPr>
            <w:tcW w:w="0" w:type="auto"/>
          </w:tcPr>
          <w:p>
            <w:pPr>
              <w:spacing w:line="240" w:lineRule="auto" w:before="0" w:after="0"/>
              <w:pStyle w:val="Compact"/>
            </w:pPr>
            <w:r>
              <w:rPr>
                <w:sz w:val="20"/>
                <w:szCs w:val="20"/>
              </w:rPr>
              <w:t xml:space="preserve">10.1016/j.actaastro.2025.02.004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Computing-feasibility study of NASA nutrition requirements as applied to a bioregenerative life support system</w:t>
            </w:r>
          </w:p>
        </w:tc>
        <w:tc>
          <w:tcPr>
            <w:tcW w:w="0" w:type="auto"/>
          </w:tcPr>
          <w:p>
            <w:pPr>
              <w:spacing w:line="240" w:lineRule="auto" w:before="0" w:after="0"/>
              <w:pStyle w:val="Compact"/>
            </w:pPr>
            <w:r>
              <w:rPr>
                <w:sz w:val="20"/>
                <w:szCs w:val="20"/>
              </w:rPr>
              <w:t xml:space="preserve">10.1016/j.actaastro.2019.04.001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Where is the plant-space research going: An overview on the last two decades through bibliometric network multi-analysis</w:t>
            </w:r>
          </w:p>
        </w:tc>
        <w:tc>
          <w:tcPr>
            <w:tcW w:w="0" w:type="auto"/>
          </w:tcPr>
          <w:p>
            <w:pPr>
              <w:spacing w:line="240" w:lineRule="auto" w:before="0" w:after="0"/>
              <w:pStyle w:val="Compact"/>
            </w:pPr>
            <w:r>
              <w:rPr>
                <w:sz w:val="20"/>
                <w:szCs w:val="20"/>
              </w:rPr>
              <w:t xml:space="preserve">10.1016/j.actaastro.2024.05.022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Modeling and experimental assessment of Synechococcus nidulans cultivation using simulated Martian medium and astronauts’ urine</w:t>
            </w:r>
          </w:p>
        </w:tc>
        <w:tc>
          <w:tcPr>
            <w:tcW w:w="0" w:type="auto"/>
          </w:tcPr>
          <w:p>
            <w:pPr>
              <w:spacing w:line="240" w:lineRule="auto" w:before="0" w:after="0"/>
              <w:pStyle w:val="Compact"/>
            </w:pPr>
            <w:r>
              <w:rPr>
                <w:sz w:val="20"/>
                <w:szCs w:val="20"/>
              </w:rPr>
              <w:t xml:space="preserve">10.1016/j.actaastro.2023.01.027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Properties of novel LX lunar regolith simulant system : The base simulants: Part 1</w:t>
            </w:r>
          </w:p>
        </w:tc>
        <w:tc>
          <w:tcPr>
            <w:tcW w:w="0" w:type="auto"/>
          </w:tcPr>
          <w:p>
            <w:pPr>
              <w:spacing w:line="240" w:lineRule="auto" w:before="0" w:after="0"/>
              <w:pStyle w:val="Compact"/>
            </w:pPr>
            <w:r>
              <w:rPr>
                <w:sz w:val="20"/>
                <w:szCs w:val="20"/>
              </w:rPr>
              <w:t xml:space="preserve">10.1016/j.actaastro.2025.02.030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Prospecting in-situ resources for future crewed missions to Mars</w:t>
            </w:r>
          </w:p>
        </w:tc>
        <w:tc>
          <w:tcPr>
            <w:tcW w:w="0" w:type="auto"/>
          </w:tcPr>
          <w:p>
            <w:pPr>
              <w:spacing w:line="240" w:lineRule="auto" w:before="0" w:after="0"/>
              <w:pStyle w:val="Compact"/>
            </w:pPr>
            <w:r>
              <w:rPr>
                <w:sz w:val="20"/>
                <w:szCs w:val="20"/>
              </w:rPr>
              <w:t xml:space="preserve">10.1016/j.actaastro.2024.07.003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From production to food systems: A systems-level review of drivers, requirements, and integration for Lunar and Martian food systems</w:t>
            </w:r>
          </w:p>
        </w:tc>
        <w:tc>
          <w:tcPr>
            <w:tcW w:w="0" w:type="auto"/>
          </w:tcPr>
          <w:p>
            <w:pPr>
              <w:spacing w:line="240" w:lineRule="auto" w:before="0" w:after="0"/>
              <w:pStyle w:val="Compact"/>
            </w:pPr>
            <w:r>
              <w:rPr>
                <w:sz w:val="20"/>
                <w:szCs w:val="20"/>
              </w:rPr>
              <w:t xml:space="preserve">10.1016/j.actaastro.2026.02.021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The impact of actual and simulated space conditions on the gut microbiome and the modulatory role of nutrition: A systematic review and meta-analysis</w:t>
            </w:r>
          </w:p>
        </w:tc>
        <w:tc>
          <w:tcPr>
            <w:tcW w:w="0" w:type="auto"/>
          </w:tcPr>
          <w:p>
            <w:pPr>
              <w:spacing w:line="240" w:lineRule="auto" w:before="0" w:after="0"/>
              <w:pStyle w:val="Compact"/>
            </w:pPr>
            <w:r>
              <w:rPr>
                <w:sz w:val="20"/>
                <w:szCs w:val="20"/>
              </w:rPr>
              <w:t xml:space="preserve">10.1016/j.actaastro.2026.01.006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Multi-objective decision-making for flexible design and planning of oxygen production facilities in an uncertain lunar environment</w:t>
            </w:r>
          </w:p>
        </w:tc>
        <w:tc>
          <w:tcPr>
            <w:tcW w:w="0" w:type="auto"/>
          </w:tcPr>
          <w:p>
            <w:pPr>
              <w:spacing w:line="240" w:lineRule="auto" w:before="0" w:after="0"/>
              <w:pStyle w:val="Compact"/>
            </w:pPr>
            <w:r>
              <w:rPr>
                <w:sz w:val="20"/>
                <w:szCs w:val="20"/>
              </w:rPr>
              <w:t xml:space="preserve">10.1016/j.actaastro.2025.07.014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Review of in-situ oxygen extraction from lunar regolith with focus on solar thermal and laser vacuum pyrolysis</w:t>
            </w:r>
          </w:p>
        </w:tc>
        <w:tc>
          <w:tcPr>
            <w:tcW w:w="0" w:type="auto"/>
          </w:tcPr>
          <w:p>
            <w:pPr>
              <w:spacing w:line="240" w:lineRule="auto" w:before="0" w:after="0"/>
              <w:pStyle w:val="Compact"/>
            </w:pPr>
            <w:r>
              <w:rPr>
                <w:sz w:val="20"/>
                <w:szCs w:val="20"/>
              </w:rPr>
              <w:t xml:space="preserve">10.1016/j.actaastro.2025.05.008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ARTHROSPIRA C space flight experiment Validation of biomass an 2025 Acta As</w:t>
            </w:r>
          </w:p>
        </w:tc>
        <w:tc>
          <w:tcPr>
            <w:tcW w:w="0" w:type="auto"/>
          </w:tcPr>
          <w:p>
            <w:pPr>
              <w:spacing w:line="240" w:lineRule="auto" w:before="0" w:after="0"/>
              <w:pStyle w:val="Compact"/>
            </w:pPr>
            <w:r>
              <w:rPr>
                <w:sz w:val="20"/>
                <w:szCs w:val="20"/>
              </w:rPr>
              <w:t xml:space="preserve">10.1016/j.actaastro.2024.11.010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Identifying an efficient endpoint for oxygen extraction from lunar regolith simulant pellets using molten salt electrolysis</w:t>
            </w:r>
          </w:p>
        </w:tc>
        <w:tc>
          <w:tcPr>
            <w:tcW w:w="0" w:type="auto"/>
          </w:tcPr>
          <w:p>
            <w:pPr>
              <w:spacing w:line="240" w:lineRule="auto" w:before="0" w:after="0"/>
              <w:pStyle w:val="Compact"/>
            </w:pPr>
            <w:r>
              <w:rPr>
                <w:sz w:val="20"/>
                <w:szCs w:val="20"/>
              </w:rPr>
              <w:t xml:space="preserve">10.1016/j.actaastro.2025.04.049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Reflections on early lunar base design - From sketch to the first moon landing</w:t>
            </w:r>
          </w:p>
        </w:tc>
        <w:tc>
          <w:tcPr>
            <w:tcW w:w="0" w:type="auto"/>
          </w:tcPr>
          <w:p>
            <w:pPr>
              <w:spacing w:line="240" w:lineRule="auto" w:before="0" w:after="0"/>
              <w:pStyle w:val="Compact"/>
            </w:pPr>
            <w:r>
              <w:rPr>
                <w:sz w:val="20"/>
                <w:szCs w:val="20"/>
              </w:rPr>
              <w:t xml:space="preserve">10.1016/j.actaastro.2022.09.021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Plant cell development and aging may accelerate in microgravity</w:t>
            </w:r>
          </w:p>
        </w:tc>
        <w:tc>
          <w:tcPr>
            <w:tcW w:w="0" w:type="auto"/>
          </w:tcPr>
          <w:p>
            <w:pPr>
              <w:spacing w:line="240" w:lineRule="auto" w:before="0" w:after="0"/>
              <w:pStyle w:val="Compact"/>
            </w:pPr>
            <w:r>
              <w:rPr>
                <w:sz w:val="20"/>
                <w:szCs w:val="20"/>
              </w:rPr>
              <w:t xml:space="preserve">10.1016/j.actaastro.2018.12.036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Oxygen production by solar vapor-phase pyrolysis of lunar regolith simulant</w:t>
            </w:r>
          </w:p>
        </w:tc>
        <w:tc>
          <w:tcPr>
            <w:tcW w:w="0" w:type="auto"/>
          </w:tcPr>
          <w:p>
            <w:pPr>
              <w:spacing w:line="240" w:lineRule="auto" w:before="0" w:after="0"/>
              <w:pStyle w:val="Compact"/>
            </w:pPr>
            <w:r>
              <w:rPr>
                <w:sz w:val="20"/>
                <w:szCs w:val="20"/>
              </w:rPr>
              <w:t xml:space="preserve">10.1016/j.actaastro.2024.08.009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ISRU technology deployment at a lunar outpost in 2040: A Delphi survey</w:t>
            </w:r>
          </w:p>
        </w:tc>
        <w:tc>
          <w:tcPr>
            <w:tcW w:w="0" w:type="auto"/>
          </w:tcPr>
          <w:p>
            <w:pPr>
              <w:spacing w:line="240" w:lineRule="auto" w:before="0" w:after="0"/>
              <w:pStyle w:val="Compact"/>
            </w:pPr>
            <w:r>
              <w:rPr>
                <w:sz w:val="20"/>
                <w:szCs w:val="20"/>
              </w:rPr>
              <w:t xml:space="preserve">10.1016/j.actaastro.2021.01.009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Effect of macronutrient levels on Chlorella vulgaris cultivation for long duration spaceflights and space settlements</w:t>
            </w:r>
          </w:p>
        </w:tc>
        <w:tc>
          <w:tcPr>
            <w:tcW w:w="0" w:type="auto"/>
          </w:tcPr>
          <w:p>
            <w:pPr>
              <w:spacing w:line="240" w:lineRule="auto" w:before="0" w:after="0"/>
              <w:pStyle w:val="Compact"/>
            </w:pPr>
            <w:r>
              <w:rPr>
                <w:sz w:val="20"/>
                <w:szCs w:val="20"/>
              </w:rPr>
              <w:t xml:space="preserve">10.1016/j.actaastro.2023.02.031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Solar 3D printing of lunar regolith</w:t>
            </w:r>
          </w:p>
        </w:tc>
        <w:tc>
          <w:tcPr>
            <w:tcW w:w="0" w:type="auto"/>
          </w:tcPr>
          <w:p>
            <w:pPr>
              <w:spacing w:line="240" w:lineRule="auto" w:before="0" w:after="0"/>
              <w:pStyle w:val="Compact"/>
            </w:pPr>
            <w:r>
              <w:rPr>
                <w:sz w:val="20"/>
                <w:szCs w:val="20"/>
              </w:rPr>
              <w:t xml:space="preserve">10.1016/j.actaastro.2018.06.063</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 novel approach to increase flowability of planetary regolith: Spray drying of Martian simulants for powder-based ISRU fabrication</w:t>
            </w:r>
          </w:p>
        </w:tc>
        <w:tc>
          <w:tcPr>
            <w:tcW w:w="0" w:type="auto"/>
          </w:tcPr>
          <w:p>
            <w:pPr>
              <w:spacing w:line="240" w:lineRule="auto" w:before="0" w:after="0"/>
              <w:pStyle w:val="Compact"/>
            </w:pPr>
            <w:r>
              <w:rPr>
                <w:sz w:val="20"/>
                <w:szCs w:val="20"/>
              </w:rPr>
              <w:t xml:space="preserve">10.1016/j.actaastro.2025.07.054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Development of regolith-resin-composite (RRC) material for lunar construction</w:t>
            </w:r>
          </w:p>
        </w:tc>
        <w:tc>
          <w:tcPr>
            <w:tcW w:w="0" w:type="auto"/>
          </w:tcPr>
          <w:p>
            <w:pPr>
              <w:spacing w:line="240" w:lineRule="auto" w:before="0" w:after="0"/>
              <w:pStyle w:val="Compact"/>
            </w:pPr>
            <w:r>
              <w:rPr>
                <w:sz w:val="20"/>
                <w:szCs w:val="20"/>
              </w:rPr>
              <w:t xml:space="preserve">10.1016/j.actaastro.2024.10.064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Mechanical, electrodynamic, and magnetic particle-size classification of lunar regolith for in-situ resource utilization: A review</w:t>
            </w:r>
          </w:p>
        </w:tc>
        <w:tc>
          <w:tcPr>
            <w:tcW w:w="0" w:type="auto"/>
          </w:tcPr>
          <w:p>
            <w:pPr>
              <w:spacing w:line="240" w:lineRule="auto" w:before="0" w:after="0"/>
              <w:pStyle w:val="Compact"/>
            </w:pPr>
            <w:r>
              <w:rPr>
                <w:sz w:val="20"/>
                <w:szCs w:val="20"/>
              </w:rPr>
              <w:t xml:space="preserve">10.1016/j.actaastro.2025.07.051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Structures for extraterrestrial habitat: A review</w:t>
            </w:r>
          </w:p>
        </w:tc>
        <w:tc>
          <w:tcPr>
            <w:tcW w:w="0" w:type="auto"/>
          </w:tcPr>
          <w:p>
            <w:pPr>
              <w:spacing w:line="240" w:lineRule="auto" w:before="0" w:after="0"/>
              <w:pStyle w:val="Compact"/>
            </w:pPr>
            <w:r>
              <w:rPr>
                <w:sz w:val="20"/>
                <w:szCs w:val="20"/>
              </w:rPr>
              <w:t xml:space="preserve">10.1016/j.actaastro.2025.10.029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Desert cyanobacteria under non-Earth conditions: Implications for astrobiology and sustainable life support</w:t>
            </w:r>
          </w:p>
        </w:tc>
        <w:tc>
          <w:tcPr>
            <w:tcW w:w="0" w:type="auto"/>
          </w:tcPr>
          <w:p>
            <w:pPr>
              <w:spacing w:line="240" w:lineRule="auto" w:before="0" w:after="0"/>
              <w:pStyle w:val="Compact"/>
            </w:pPr>
            <w:r>
              <w:rPr>
                <w:sz w:val="20"/>
                <w:szCs w:val="20"/>
              </w:rPr>
              <w:t xml:space="preserve">10.1016/j.actaastro.2025.09.022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water treatment and recycling in 105-day bioregenerative life support experiment in the Lunar Palace 1</w:t>
            </w:r>
          </w:p>
        </w:tc>
        <w:tc>
          <w:tcPr>
            <w:tcW w:w="0" w:type="auto"/>
          </w:tcPr>
          <w:p>
            <w:pPr>
              <w:spacing w:line="240" w:lineRule="auto" w:before="0" w:after="0"/>
              <w:pStyle w:val="Compact"/>
            </w:pPr>
            <w:r>
              <w:rPr>
                <w:sz w:val="20"/>
                <w:szCs w:val="20"/>
              </w:rPr>
              <w:t xml:space="preserve">10.1016/j.actaastro.2017.08.026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Reliability and lifetime estimation of bioregenerative life support system based on 370-day closed human experiment of lunar palace 1 and Monte Carlo simulation</w:t>
            </w:r>
          </w:p>
        </w:tc>
        <w:tc>
          <w:tcPr>
            <w:tcW w:w="0" w:type="auto"/>
          </w:tcPr>
          <w:p>
            <w:pPr>
              <w:spacing w:line="240" w:lineRule="auto" w:before="0" w:after="0"/>
              <w:pStyle w:val="Compact"/>
            </w:pPr>
            <w:r>
              <w:rPr>
                <w:sz w:val="20"/>
                <w:szCs w:val="20"/>
              </w:rPr>
              <w:t xml:space="preserve">10.1016/j.actaastro.2022.11.021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SIRONA: Sustainable Integration of Regenerative Outer-space Nature and Agriculture. Part 2 : Design Development and Projected Performance</w:t>
            </w:r>
          </w:p>
        </w:tc>
        <w:tc>
          <w:tcPr>
            <w:tcW w:w="0" w:type="auto"/>
          </w:tcPr>
          <w:p>
            <w:pPr>
              <w:spacing w:line="240" w:lineRule="auto" w:before="0" w:after="0"/>
              <w:pStyle w:val="Compact"/>
            </w:pPr>
            <w:r>
              <w:rPr>
                <w:sz w:val="20"/>
                <w:szCs w:val="20"/>
              </w:rPr>
              <w:t xml:space="preserve">10.1016/j.actaastro.2020.07.001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Modelling vibrational segregation of granular materials in lunar gravity using the discrete element method</w:t>
            </w:r>
          </w:p>
        </w:tc>
        <w:tc>
          <w:tcPr>
            <w:tcW w:w="0" w:type="auto"/>
          </w:tcPr>
          <w:p>
            <w:pPr>
              <w:spacing w:line="240" w:lineRule="auto" w:before="0" w:after="0"/>
              <w:pStyle w:val="Compact"/>
            </w:pPr>
            <w:r>
              <w:rPr>
                <w:sz w:val="20"/>
                <w:szCs w:val="20"/>
              </w:rPr>
              <w:t xml:space="preserve">10.1016/j.actaastro.2025.11.073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Phototrophic microorganisms in bioregenerative life support systems for long-term crewed expeditions: Prospects and challenges</w:t>
            </w:r>
          </w:p>
        </w:tc>
        <w:tc>
          <w:tcPr>
            <w:tcW w:w="0" w:type="auto"/>
          </w:tcPr>
          <w:p>
            <w:pPr>
              <w:spacing w:line="240" w:lineRule="auto" w:before="0" w:after="0"/>
              <w:pStyle w:val="Compact"/>
            </w:pPr>
            <w:r>
              <w:rPr>
                <w:sz w:val="20"/>
                <w:szCs w:val="20"/>
              </w:rPr>
              <w:t xml:space="preserve">10.1016/j.actaastro.2023.07.006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Benefits of a rotating - Partial gravity - Spacecraft</w:t>
            </w:r>
          </w:p>
        </w:tc>
        <w:tc>
          <w:tcPr>
            <w:tcW w:w="0" w:type="auto"/>
          </w:tcPr>
          <w:p>
            <w:pPr>
              <w:spacing w:line="240" w:lineRule="auto" w:before="0" w:after="0"/>
              <w:pStyle w:val="Compact"/>
            </w:pPr>
            <w:r>
              <w:rPr>
                <w:sz w:val="20"/>
                <w:szCs w:val="20"/>
              </w:rPr>
              <w:t xml:space="preserve">10.1016/j.actaastro.2024.04.041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 overview of 3D printing Mars habitats using in-situ resources: materials, processing, structural challenges, and prospects</w:t>
            </w:r>
          </w:p>
        </w:tc>
        <w:tc>
          <w:tcPr>
            <w:tcW w:w="0" w:type="auto"/>
          </w:tcPr>
          <w:p>
            <w:pPr>
              <w:spacing w:line="240" w:lineRule="auto" w:before="0" w:after="0"/>
              <w:pStyle w:val="Compact"/>
            </w:pPr>
            <w:r>
              <w:rPr>
                <w:sz w:val="20"/>
                <w:szCs w:val="20"/>
              </w:rPr>
              <w:t xml:space="preserve">10.1016/j.actaastro.2026.05.055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What horticulture and space exploration can learn from each other: The Mission to Mars initiative in the Netherlands</w:t>
            </w:r>
          </w:p>
        </w:tc>
        <w:tc>
          <w:tcPr>
            <w:tcW w:w="0" w:type="auto"/>
          </w:tcPr>
          <w:p>
            <w:pPr>
              <w:spacing w:line="240" w:lineRule="auto" w:before="0" w:after="0"/>
              <w:pStyle w:val="Compact"/>
            </w:pPr>
            <w:r>
              <w:rPr>
                <w:sz w:val="20"/>
                <w:szCs w:val="20"/>
              </w:rPr>
              <w:t xml:space="preserve">10.1016/j.actaastro.2020.05.015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 review towards the design of extraterrestrial structures: From regolith to human outposts</w:t>
            </w:r>
          </w:p>
        </w:tc>
        <w:tc>
          <w:tcPr>
            <w:tcW w:w="0" w:type="auto"/>
          </w:tcPr>
          <w:p>
            <w:pPr>
              <w:spacing w:line="240" w:lineRule="auto" w:before="0" w:after="0"/>
              <w:pStyle w:val="Compact"/>
            </w:pPr>
            <w:r>
              <w:rPr>
                <w:sz w:val="20"/>
                <w:szCs w:val="20"/>
              </w:rPr>
              <w:t xml:space="preserve">10.1016/j.actaastro.2020.05.038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Theoretical bioreactor design to perform microbial mining activities on mars</w:t>
            </w:r>
          </w:p>
        </w:tc>
        <w:tc>
          <w:tcPr>
            <w:tcW w:w="0" w:type="auto"/>
          </w:tcPr>
          <w:p>
            <w:pPr>
              <w:spacing w:line="240" w:lineRule="auto" w:before="0" w:after="0"/>
              <w:pStyle w:val="Compact"/>
            </w:pPr>
            <w:r>
              <w:rPr>
                <w:sz w:val="20"/>
                <w:szCs w:val="20"/>
              </w:rPr>
              <w:t xml:space="preserve">10.1016/j.actaastro.2020.01.036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From extraction to purification: A comprehensive review of oxygen production from lunar regolith for ISRU</w:t>
            </w:r>
          </w:p>
        </w:tc>
        <w:tc>
          <w:tcPr>
            <w:tcW w:w="0" w:type="auto"/>
          </w:tcPr>
          <w:p>
            <w:pPr>
              <w:spacing w:line="240" w:lineRule="auto" w:before="0" w:after="0"/>
              <w:pStyle w:val="Compact"/>
            </w:pPr>
            <w:r>
              <w:rPr>
                <w:sz w:val="20"/>
                <w:szCs w:val="20"/>
              </w:rPr>
              <w:t xml:space="preserve">10.1016/j.actaastro.2026.05.063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Thermodynamic model of Mars Oxygen ISRU Experiment (MOXIE)</w:t>
            </w:r>
          </w:p>
        </w:tc>
        <w:tc>
          <w:tcPr>
            <w:tcW w:w="0" w:type="auto"/>
          </w:tcPr>
          <w:p>
            <w:pPr>
              <w:spacing w:line="240" w:lineRule="auto" w:before="0" w:after="0"/>
              <w:pStyle w:val="Compact"/>
            </w:pPr>
            <w:r>
              <w:rPr>
                <w:sz w:val="20"/>
                <w:szCs w:val="20"/>
              </w:rPr>
              <w:t xml:space="preserve">10.1016/j.actaastro.2016.06.005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Vacuum effects on the angle of repose of lunar soil simulants: Experimental insights</w:t>
            </w:r>
          </w:p>
        </w:tc>
        <w:tc>
          <w:tcPr>
            <w:tcW w:w="0" w:type="auto"/>
          </w:tcPr>
          <w:p>
            <w:pPr>
              <w:spacing w:line="240" w:lineRule="auto" w:before="0" w:after="0"/>
              <w:pStyle w:val="Compact"/>
            </w:pPr>
            <w:r>
              <w:rPr>
                <w:sz w:val="20"/>
                <w:szCs w:val="20"/>
              </w:rPr>
              <w:t xml:space="preserve">10.1016/j.actaastro.2025.11.007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3D printing LDPE/lunar regolith simulant composite: manufacturing with in-situ resources on the moon</w:t>
            </w:r>
          </w:p>
        </w:tc>
        <w:tc>
          <w:tcPr>
            <w:tcW w:w="0" w:type="auto"/>
          </w:tcPr>
          <w:p>
            <w:pPr>
              <w:spacing w:line="240" w:lineRule="auto" w:before="0" w:after="0"/>
              <w:pStyle w:val="Compact"/>
            </w:pPr>
            <w:r>
              <w:rPr>
                <w:sz w:val="20"/>
                <w:szCs w:val="20"/>
              </w:rPr>
              <w:t xml:space="preserve">10.1016/j.actaastro.2025.08.012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 recycle of water and nitrogen from urine in bioregenerative life support system</w:t>
            </w:r>
          </w:p>
        </w:tc>
        <w:tc>
          <w:tcPr>
            <w:tcW w:w="0" w:type="auto"/>
          </w:tcPr>
          <w:p>
            <w:pPr>
              <w:spacing w:line="240" w:lineRule="auto" w:before="0" w:after="0"/>
              <w:pStyle w:val="Compact"/>
            </w:pPr>
            <w:r>
              <w:rPr>
                <w:sz w:val="20"/>
                <w:szCs w:val="20"/>
              </w:rPr>
              <w:t xml:space="preserve">10.1016/j.actaastro.2016.03.007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 virtual 3D printing framework for off-Earth construction</w:t>
            </w:r>
          </w:p>
        </w:tc>
        <w:tc>
          <w:tcPr>
            <w:tcW w:w="0" w:type="auto"/>
          </w:tcPr>
          <w:p>
            <w:pPr>
              <w:spacing w:line="240" w:lineRule="auto" w:before="0" w:after="0"/>
              <w:pStyle w:val="Compact"/>
            </w:pPr>
            <w:r>
              <w:rPr>
                <w:sz w:val="20"/>
                <w:szCs w:val="20"/>
              </w:rPr>
              <w:t xml:space="preserve">10.1016/j.actaastro.2026.02.001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bl>
    <w:bookmarkEnd w:id="222"/>
    <w:bookmarkStart w:id="22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Citation count reported in the Acta metadata export</w:t>
            </w:r>
          </w:p>
        </w:tc>
        <w:tc>
          <w:tcPr>
            <w:tcW w:w="0" w:type="auto"/>
          </w:tcPr>
          <w:p>
            <w:pPr>
              <w:spacing w:line="240" w:lineRule="auto" w:before="0" w:after="0"/>
              <w:pStyle w:val="Compact"/>
            </w:pPr>
            <w:r>
              <w:rPr>
                <w:sz w:val="20"/>
                <w:szCs w:val="20"/>
              </w:rPr>
              <w:t xml:space="preserve">Parsed from the local Acta corpus cites field</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2026 minus publication year plus one</w:t>
            </w:r>
          </w:p>
        </w:tc>
        <w:tc>
          <w:tcPr>
            <w:tcW w:w="0" w:type="auto"/>
          </w:tcPr>
          <w:p>
            <w:pPr>
              <w:spacing w:line="240" w:lineRule="auto" w:before="0" w:after="0"/>
              <w:pStyle w:val="Compact"/>
            </w:pPr>
            <w:r>
              <w:rPr>
                <w:sz w:val="20"/>
                <w:szCs w:val="20"/>
              </w:rPr>
              <w:t xml:space="preserve">Constructed from the Acta publication year</w:t>
            </w:r>
          </w:p>
        </w:tc>
      </w:tr>
      <w:tr>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Indicator for ISRU, in-situ, regolith, oxygen extraction, or resource-utilization terms in title or keywords</w:t>
            </w:r>
          </w:p>
        </w:tc>
        <w:tc>
          <w:tcPr>
            <w:tcW w:w="0" w:type="auto"/>
          </w:tcPr>
          <w:p>
            <w:pPr>
              <w:spacing w:line="240" w:lineRule="auto" w:before="0" w:after="0"/>
              <w:pStyle w:val="Compact"/>
            </w:pPr>
            <w:r>
              <w:rPr>
                <w:sz w:val="20"/>
                <w:szCs w:val="20"/>
              </w:rPr>
              <w:t xml:space="preserve">Constructed from Acta title and keyword fields</w:t>
            </w:r>
          </w:p>
        </w:tc>
      </w:tr>
      <w:tr>
        <w:tc>
          <w:tcPr>
            <w:tcW w:w="0" w:type="auto"/>
          </w:tcPr>
          <w:p>
            <w:pPr>
              <w:spacing w:line="240" w:lineRule="auto" w:before="0" w:after="0"/>
              <w:pStyle w:val="Compact"/>
            </w:pPr>
            <w:r>
              <w:rPr>
                <w:sz w:val="20"/>
                <w:szCs w:val="20"/>
              </w:rPr>
              <w:t xml:space="preserve">is_life_support</w:t>
            </w:r>
          </w:p>
        </w:tc>
        <w:tc>
          <w:tcPr>
            <w:tcW w:w="0" w:type="auto"/>
          </w:tcPr>
          <w:p>
            <w:pPr>
              <w:spacing w:line="240" w:lineRule="auto" w:before="0" w:after="0"/>
              <w:pStyle w:val="Compact"/>
            </w:pPr>
            <w:r>
              <w:rPr>
                <w:sz w:val="20"/>
                <w:szCs w:val="20"/>
              </w:rPr>
              <w:t xml:space="preserve">Indicator for life-support, bioregenerative, photobioreactor, food, plant, nutrition, urine, microorganism, or microbiome terms</w:t>
            </w:r>
          </w:p>
        </w:tc>
        <w:tc>
          <w:tcPr>
            <w:tcW w:w="0" w:type="auto"/>
          </w:tcPr>
          <w:p>
            <w:pPr>
              <w:spacing w:line="240" w:lineRule="auto" w:before="0" w:after="0"/>
              <w:pStyle w:val="Compact"/>
            </w:pPr>
            <w:r>
              <w:rPr>
                <w:sz w:val="20"/>
                <w:szCs w:val="20"/>
              </w:rPr>
              <w:t xml:space="preserve">Constructed from Acta title and keyword fields</w:t>
            </w:r>
          </w:p>
        </w:tc>
      </w:tr>
    </w:tbl>
    <w:bookmarkEnd w:id="223"/>
    <w:bookmarkEnd w:id="224"/>
    <w:bookmarkStart w:id="232" w:name="X37b33b83612f3342aa63bef3b2a6ce642cd918a"/>
    <w:p>
      <w:pPr>
        <w:pStyle w:val="Heading2"/>
        <w:spacing w:line="480" w:lineRule="auto"/>
      </w:pPr>
      <w:r>
        <w:t xml:space="preserve">A.2 Citation Accumulation in Lunar Closure Literature: A Log-Log Learning Curve from Acta Metadata</w:t>
      </w:r>
    </w:p>
    <w:p>
      <w:pPr>
        <w:pStyle w:val="FirstParagraph"/>
        <w:spacing w:line="480" w:lineRule="auto"/>
      </w:pPr>
      <m:oMathPara>
        <m:oMathParaPr>
          <m:jc m:val="center"/>
        </m:oMathParaPr>
        <m:oMath>
          <m:r>
            <m:rPr>
              <m:sty m:val="p"/>
            </m:rPr>
            <m:t>log</m:t>
          </m:r>
          <m:r>
            <m:rPr>
              <m:sty m:val="p"/>
            </m:rPr>
            <m:t>(</m:t>
          </m:r>
          <m:sSub>
            <m:e>
              <m:r>
                <m:rPr>
                  <m:nor/>
                  <m:sty m:val="p"/>
                </m:rPr>
                <m:t>CitationsPlusOne</m:t>
              </m:r>
            </m:e>
            <m:sub>
              <m:r>
                <m:t>i</m:t>
              </m:r>
            </m:sub>
          </m:sSub>
          <m:r>
            <m:rPr>
              <m:sty m:val="p"/>
            </m:rPr>
            <m:t>)</m:t>
          </m:r>
          <m:r>
            <m:rPr>
              <m:sty m:val="p"/>
            </m:rPr>
            <m:t>=</m:t>
          </m:r>
          <m:r>
            <m:t>α</m:t>
          </m:r>
          <m:r>
            <m:rPr>
              <m:sty m:val="p"/>
            </m:rPr>
            <m:t>+</m:t>
          </m:r>
          <m:r>
            <m:t>b</m:t>
          </m:r>
          <m:r>
            <m:rPr>
              <m:sty m:val="p"/>
            </m:rPr>
            <m:t>log</m:t>
          </m:r>
          <m:r>
            <m:rPr>
              <m:sty m:val="p"/>
            </m:rPr>
            <m:t>(</m:t>
          </m:r>
          <m:sSub>
            <m:e>
              <m:r>
                <m:rPr>
                  <m:nor/>
                  <m:sty m:val="p"/>
                </m:rPr>
                <m:t>AgePlusOne</m:t>
              </m:r>
            </m:e>
            <m:sub>
              <m:r>
                <m:t>i</m:t>
              </m:r>
            </m:sub>
          </m:sSub>
          <m:r>
            <m:rPr>
              <m:sty m:val="p"/>
            </m:rPr>
            <m:t>)</m:t>
          </m:r>
          <m:r>
            <m:rPr>
              <m:sty m:val="p"/>
            </m:rPr>
            <m:t>+</m:t>
          </m:r>
          <m:sSub>
            <m:e>
              <m:r>
                <m:t>ε</m:t>
              </m:r>
            </m:e>
            <m:sub>
              <m:r>
                <m:t>i</m:t>
              </m:r>
            </m:sub>
          </m:sSub>
        </m:oMath>
      </m:oMathPara>
    </w:p>
    <w:bookmarkStart w:id="22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0.1342</w:t>
            </w:r>
          </w:p>
        </w:tc>
        <w:tc>
          <w:tcPr>
            <w:tcW w:w="0" w:type="auto"/>
          </w:tcPr>
          <w:p>
            <w:pPr>
              <w:spacing w:line="240" w:lineRule="auto" w:before="0" w:after="0"/>
              <w:pStyle w:val="Compact"/>
            </w:pPr>
            <w:r>
              <w:rPr>
                <w:sz w:val="20"/>
                <w:szCs w:val="20"/>
              </w:rPr>
              <w:t xml:space="preserve">0.2095</w:t>
            </w:r>
          </w:p>
        </w:tc>
        <w:tc>
          <w:tcPr>
            <w:tcW w:w="0" w:type="auto"/>
          </w:tcPr>
          <w:p>
            <w:pPr>
              <w:spacing w:line="240" w:lineRule="auto" w:before="0" w:after="0"/>
              <w:pStyle w:val="Compact"/>
            </w:pPr>
            <w:r>
              <w:rPr>
                <w:sz w:val="20"/>
                <w:szCs w:val="20"/>
              </w:rPr>
              <w:t xml:space="preserve">0.6405</w:t>
            </w:r>
          </w:p>
        </w:tc>
        <w:tc>
          <w:tcPr>
            <w:tcW w:w="0" w:type="auto"/>
          </w:tcPr>
          <w:p>
            <w:pPr>
              <w:spacing w:line="240" w:lineRule="auto" w:before="0" w:after="0"/>
              <w:pStyle w:val="Compact"/>
            </w:pPr>
            <w:r>
              <w:rPr>
                <w:sz w:val="20"/>
                <w:szCs w:val="20"/>
              </w:rPr>
              <w:t xml:space="preserve">0.5219</w:t>
            </w:r>
          </w:p>
        </w:tc>
        <w:tc>
          <w:tcPr>
            <w:tcW w:w="0" w:type="auto"/>
          </w:tcPr>
          <w:p>
            <w:pPr>
              <w:spacing w:line="240" w:lineRule="auto" w:before="0" w:after="0"/>
              <w:pStyle w:val="Compact"/>
            </w:pPr>
            <w:r>
              <w:rPr>
                <w:sz w:val="20"/>
                <w:szCs w:val="20"/>
              </w:rPr>
              <w:t xml:space="preserve">[-0.2765, 0.5448]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1.4931</w:t>
            </w:r>
          </w:p>
        </w:tc>
        <w:tc>
          <w:tcPr>
            <w:tcW w:w="0" w:type="auto"/>
          </w:tcPr>
          <w:p>
            <w:pPr>
              <w:spacing w:line="240" w:lineRule="auto" w:before="0" w:after="0"/>
              <w:pStyle w:val="Compact"/>
            </w:pPr>
            <w:r>
              <w:rPr>
                <w:sz w:val="20"/>
                <w:szCs w:val="20"/>
              </w:rPr>
              <w:t xml:space="preserve">0.1766</w:t>
            </w:r>
          </w:p>
        </w:tc>
        <w:tc>
          <w:tcPr>
            <w:tcW w:w="0" w:type="auto"/>
          </w:tcPr>
          <w:p>
            <w:pPr>
              <w:spacing w:line="240" w:lineRule="auto" w:before="0" w:after="0"/>
              <w:pStyle w:val="Compact"/>
            </w:pPr>
            <w:r>
              <w:rPr>
                <w:sz w:val="20"/>
                <w:szCs w:val="20"/>
              </w:rPr>
              <w:t xml:space="preserve">8.4534</w:t>
            </w:r>
          </w:p>
        </w:tc>
        <w:tc>
          <w:tcPr>
            <w:tcW w:w="0" w:type="auto"/>
          </w:tcPr>
          <w:p>
            <w:pPr>
              <w:spacing w:line="240" w:lineRule="auto" w:before="0" w:after="0"/>
              <w:pStyle w:val="Compact"/>
            </w:pPr>
            <w:r>
              <w:rPr>
                <w:sz w:val="20"/>
                <w:szCs w:val="20"/>
              </w:rPr>
              <w:t xml:space="preserve">2.83e-17</w:t>
            </w:r>
          </w:p>
        </w:tc>
        <w:tc>
          <w:tcPr>
            <w:tcW w:w="0" w:type="auto"/>
          </w:tcPr>
          <w:p>
            <w:pPr>
              <w:spacing w:line="240" w:lineRule="auto" w:before="0" w:after="0"/>
              <w:pStyle w:val="Compact"/>
            </w:pPr>
            <w:r>
              <w:rPr>
                <w:sz w:val="20"/>
                <w:szCs w:val="20"/>
              </w:rPr>
              <w:t xml:space="preserve">[1.1469, 1.8393]</w:t>
            </w:r>
          </w:p>
        </w:tc>
      </w:tr>
    </w:tbl>
    <w:p>
      <w:pPr>
        <w:pStyle w:val="BodyText"/>
        <w:spacing w:line="480" w:lineRule="auto"/>
        <w:ind w:firstLine="720"/>
      </w:pPr>
      <w:r>
        <w:t xml:space="preserve">Fit: N = 40 R2 = 0.6223 elasticity_b = 1.4931 progress_ratio_2^b = 2.8149</w:t>
      </w:r>
    </w:p>
    <w:bookmarkEnd w:id="225"/>
    <w:bookmarkStart w:id="22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Log-log citation accumulation in the lunar closure-relevant Acta metadata sample." title="" id="227" name="Picture"/>
            <a:graphic>
              <a:graphicData uri="http://schemas.openxmlformats.org/drawingml/2006/picture">
                <pic:pic>
                  <pic:nvPicPr>
                    <pic:cNvPr descr="D:/Claude_Code/brain/collegium/candidates/dissertations/CISLUNAR_DEV_09/research_papers/p2/paper_fig1.png" id="228" name="Picture"/>
                    <pic:cNvPicPr>
                      <a:picLocks noChangeArrowheads="1" noChangeAspect="1"/>
                    </pic:cNvPicPr>
                  </pic:nvPicPr>
                  <pic:blipFill>
                    <a:blip r:embed="rId22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Log-log citation accumulation in the lunar closure-relevant Acta metadata sample.</w:t>
      </w:r>
    </w:p>
    <w:bookmarkEnd w:id="229"/>
    <w:bookmarkStart w:id="23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paper_id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doi</w:t>
            </w:r>
          </w:p>
        </w:tc>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years_since_2016</w:t>
            </w:r>
          </w:p>
        </w:tc>
        <w:tc>
          <w:tcPr>
            <w:tcW w:w="0" w:type="auto"/>
          </w:tcPr>
          <w:p>
            <w:pPr>
              <w:spacing w:line="240" w:lineRule="auto" w:before="0" w:after="0"/>
              <w:pStyle w:val="Compact"/>
            </w:pPr>
            <w:r>
              <w:rPr>
                <w:sz w:val="20"/>
                <w:szCs w:val="20"/>
              </w:rPr>
              <w:t xml:space="preserve">is_fulltext</w:t>
            </w:r>
          </w:p>
        </w:tc>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is_life_support</w:t>
            </w:r>
          </w:p>
        </w:tc>
        <w:tc>
          <w:tcPr>
            <w:tcW w:w="0" w:type="auto"/>
          </w:tcPr>
          <w:p>
            <w:pPr>
              <w:spacing w:line="240" w:lineRule="auto" w:before="0" w:after="0"/>
              <w:pStyle w:val="Compact"/>
            </w:pPr>
            <w:r>
              <w:rPr>
                <w:sz w:val="20"/>
                <w:szCs w:val="20"/>
              </w:rPr>
              <w:t xml:space="preserve">is_lunar</w:t>
            </w:r>
          </w:p>
        </w:tc>
        <w:tc>
          <w:tcPr>
            <w:tcW w:w="0" w:type="auto"/>
          </w:tcPr>
          <w:p>
            <w:pPr>
              <w:spacing w:line="240" w:lineRule="auto" w:before="0" w:after="0"/>
              <w:pStyle w:val="Compact"/>
            </w:pPr>
            <w:r>
              <w:rPr>
                <w:sz w:val="20"/>
                <w:szCs w:val="20"/>
              </w:rPr>
              <w:t xml:space="preserve">citations_plus_one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In-situ manufacturing of photobioreactors on the Moon using local resources</w:t>
            </w:r>
          </w:p>
        </w:tc>
        <w:tc>
          <w:tcPr>
            <w:tcW w:w="0" w:type="auto"/>
          </w:tcPr>
          <w:p>
            <w:pPr>
              <w:spacing w:line="240" w:lineRule="auto" w:before="0" w:after="0"/>
              <w:pStyle w:val="Compact"/>
            </w:pPr>
            <w:r>
              <w:rPr>
                <w:sz w:val="20"/>
                <w:szCs w:val="20"/>
              </w:rPr>
              <w:t xml:space="preserve">10.1016/j.actaastro.2025.07.033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Hybrid lunar ISRU plant: A comparative analysis with carbothermal reduction and water extraction</w:t>
            </w:r>
          </w:p>
        </w:tc>
        <w:tc>
          <w:tcPr>
            <w:tcW w:w="0" w:type="auto"/>
          </w:tcPr>
          <w:p>
            <w:pPr>
              <w:spacing w:line="240" w:lineRule="auto" w:before="0" w:after="0"/>
              <w:pStyle w:val="Compact"/>
            </w:pPr>
            <w:r>
              <w:rPr>
                <w:sz w:val="20"/>
                <w:szCs w:val="20"/>
              </w:rPr>
              <w:t xml:space="preserve">10.1016/j.actaastro.2025.02.004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Computing-feasibility study of NASA nutrition requirements as applied to a bioregenerative life support system</w:t>
            </w:r>
          </w:p>
        </w:tc>
        <w:tc>
          <w:tcPr>
            <w:tcW w:w="0" w:type="auto"/>
          </w:tcPr>
          <w:p>
            <w:pPr>
              <w:spacing w:line="240" w:lineRule="auto" w:before="0" w:after="0"/>
              <w:pStyle w:val="Compact"/>
            </w:pPr>
            <w:r>
              <w:rPr>
                <w:sz w:val="20"/>
                <w:szCs w:val="20"/>
              </w:rPr>
              <w:t xml:space="preserve">10.1016/j.actaastro.2019.04.001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Where is the plant-space research going: An overview on the last two decades through bibliometric network multi-analysis</w:t>
            </w:r>
          </w:p>
        </w:tc>
        <w:tc>
          <w:tcPr>
            <w:tcW w:w="0" w:type="auto"/>
          </w:tcPr>
          <w:p>
            <w:pPr>
              <w:spacing w:line="240" w:lineRule="auto" w:before="0" w:after="0"/>
              <w:pStyle w:val="Compact"/>
            </w:pPr>
            <w:r>
              <w:rPr>
                <w:sz w:val="20"/>
                <w:szCs w:val="20"/>
              </w:rPr>
              <w:t xml:space="preserve">10.1016/j.actaastro.2024.05.022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Modeling and experimental assessment of Synechococcus nidulans cultivation using simulated Martian medium and astronauts’ urine</w:t>
            </w:r>
          </w:p>
        </w:tc>
        <w:tc>
          <w:tcPr>
            <w:tcW w:w="0" w:type="auto"/>
          </w:tcPr>
          <w:p>
            <w:pPr>
              <w:spacing w:line="240" w:lineRule="auto" w:before="0" w:after="0"/>
              <w:pStyle w:val="Compact"/>
            </w:pPr>
            <w:r>
              <w:rPr>
                <w:sz w:val="20"/>
                <w:szCs w:val="20"/>
              </w:rPr>
              <w:t xml:space="preserve">10.1016/j.actaastro.2023.01.027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Properties of novel LX lunar regolith simulant system : The base simulants: Part 1</w:t>
            </w:r>
          </w:p>
        </w:tc>
        <w:tc>
          <w:tcPr>
            <w:tcW w:w="0" w:type="auto"/>
          </w:tcPr>
          <w:p>
            <w:pPr>
              <w:spacing w:line="240" w:lineRule="auto" w:before="0" w:after="0"/>
              <w:pStyle w:val="Compact"/>
            </w:pPr>
            <w:r>
              <w:rPr>
                <w:sz w:val="20"/>
                <w:szCs w:val="20"/>
              </w:rPr>
              <w:t xml:space="preserve">10.1016/j.actaastro.2025.02.030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Prospecting in-situ resources for future crewed missions to Mars</w:t>
            </w:r>
          </w:p>
        </w:tc>
        <w:tc>
          <w:tcPr>
            <w:tcW w:w="0" w:type="auto"/>
          </w:tcPr>
          <w:p>
            <w:pPr>
              <w:spacing w:line="240" w:lineRule="auto" w:before="0" w:after="0"/>
              <w:pStyle w:val="Compact"/>
            </w:pPr>
            <w:r>
              <w:rPr>
                <w:sz w:val="20"/>
                <w:szCs w:val="20"/>
              </w:rPr>
              <w:t xml:space="preserve">10.1016/j.actaastro.2024.07.003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From production to food systems: A systems-level review of drivers, requirements, and integration for Lunar and Martian food systems</w:t>
            </w:r>
          </w:p>
        </w:tc>
        <w:tc>
          <w:tcPr>
            <w:tcW w:w="0" w:type="auto"/>
          </w:tcPr>
          <w:p>
            <w:pPr>
              <w:spacing w:line="240" w:lineRule="auto" w:before="0" w:after="0"/>
              <w:pStyle w:val="Compact"/>
            </w:pPr>
            <w:r>
              <w:rPr>
                <w:sz w:val="20"/>
                <w:szCs w:val="20"/>
              </w:rPr>
              <w:t xml:space="preserve">10.1016/j.actaastro.2026.02.021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The impact of actual and simulated space conditions on the gut microbiome and the modulatory role of nutrition: A systematic review and meta-analysis</w:t>
            </w:r>
          </w:p>
        </w:tc>
        <w:tc>
          <w:tcPr>
            <w:tcW w:w="0" w:type="auto"/>
          </w:tcPr>
          <w:p>
            <w:pPr>
              <w:spacing w:line="240" w:lineRule="auto" w:before="0" w:after="0"/>
              <w:pStyle w:val="Compact"/>
            </w:pPr>
            <w:r>
              <w:rPr>
                <w:sz w:val="20"/>
                <w:szCs w:val="20"/>
              </w:rPr>
              <w:t xml:space="preserve">10.1016/j.actaastro.2026.01.006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Multi-objective decision-making for flexible design and planning of oxygen production facilities in an uncertain lunar environment</w:t>
            </w:r>
          </w:p>
        </w:tc>
        <w:tc>
          <w:tcPr>
            <w:tcW w:w="0" w:type="auto"/>
          </w:tcPr>
          <w:p>
            <w:pPr>
              <w:spacing w:line="240" w:lineRule="auto" w:before="0" w:after="0"/>
              <w:pStyle w:val="Compact"/>
            </w:pPr>
            <w:r>
              <w:rPr>
                <w:sz w:val="20"/>
                <w:szCs w:val="20"/>
              </w:rPr>
              <w:t xml:space="preserve">10.1016/j.actaastro.2025.07.014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Review of in-situ oxygen extraction from lunar regolith with focus on solar thermal and laser vacuum pyrolysis</w:t>
            </w:r>
          </w:p>
        </w:tc>
        <w:tc>
          <w:tcPr>
            <w:tcW w:w="0" w:type="auto"/>
          </w:tcPr>
          <w:p>
            <w:pPr>
              <w:spacing w:line="240" w:lineRule="auto" w:before="0" w:after="0"/>
              <w:pStyle w:val="Compact"/>
            </w:pPr>
            <w:r>
              <w:rPr>
                <w:sz w:val="20"/>
                <w:szCs w:val="20"/>
              </w:rPr>
              <w:t xml:space="preserve">10.1016/j.actaastro.2025.05.008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ARTHROSPIRA C space flight experiment Validation of biomass an 2025 Acta As</w:t>
            </w:r>
          </w:p>
        </w:tc>
        <w:tc>
          <w:tcPr>
            <w:tcW w:w="0" w:type="auto"/>
          </w:tcPr>
          <w:p>
            <w:pPr>
              <w:spacing w:line="240" w:lineRule="auto" w:before="0" w:after="0"/>
              <w:pStyle w:val="Compact"/>
            </w:pPr>
            <w:r>
              <w:rPr>
                <w:sz w:val="20"/>
                <w:szCs w:val="20"/>
              </w:rPr>
              <w:t xml:space="preserve">10.1016/j.actaastro.2024.11.010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Identifying an efficient endpoint for oxygen extraction from lunar regolith simulant pellets using molten salt electrolysis</w:t>
            </w:r>
          </w:p>
        </w:tc>
        <w:tc>
          <w:tcPr>
            <w:tcW w:w="0" w:type="auto"/>
          </w:tcPr>
          <w:p>
            <w:pPr>
              <w:spacing w:line="240" w:lineRule="auto" w:before="0" w:after="0"/>
              <w:pStyle w:val="Compact"/>
            </w:pPr>
            <w:r>
              <w:rPr>
                <w:sz w:val="20"/>
                <w:szCs w:val="20"/>
              </w:rPr>
              <w:t xml:space="preserve">10.1016/j.actaastro.2025.04.049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Reflections on early lunar base design - From sketch to the first moon landing</w:t>
            </w:r>
          </w:p>
        </w:tc>
        <w:tc>
          <w:tcPr>
            <w:tcW w:w="0" w:type="auto"/>
          </w:tcPr>
          <w:p>
            <w:pPr>
              <w:spacing w:line="240" w:lineRule="auto" w:before="0" w:after="0"/>
              <w:pStyle w:val="Compact"/>
            </w:pPr>
            <w:r>
              <w:rPr>
                <w:sz w:val="20"/>
                <w:szCs w:val="20"/>
              </w:rPr>
              <w:t xml:space="preserve">10.1016/j.actaastro.2022.09.021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Plant cell development and aging may accelerate in microgravity</w:t>
            </w:r>
          </w:p>
        </w:tc>
        <w:tc>
          <w:tcPr>
            <w:tcW w:w="0" w:type="auto"/>
          </w:tcPr>
          <w:p>
            <w:pPr>
              <w:spacing w:line="240" w:lineRule="auto" w:before="0" w:after="0"/>
              <w:pStyle w:val="Compact"/>
            </w:pPr>
            <w:r>
              <w:rPr>
                <w:sz w:val="20"/>
                <w:szCs w:val="20"/>
              </w:rPr>
              <w:t xml:space="preserve">10.1016/j.actaastro.2018.12.036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Oxygen production by solar vapor-phase pyrolysis of lunar regolith simulant</w:t>
            </w:r>
          </w:p>
        </w:tc>
        <w:tc>
          <w:tcPr>
            <w:tcW w:w="0" w:type="auto"/>
          </w:tcPr>
          <w:p>
            <w:pPr>
              <w:spacing w:line="240" w:lineRule="auto" w:before="0" w:after="0"/>
              <w:pStyle w:val="Compact"/>
            </w:pPr>
            <w:r>
              <w:rPr>
                <w:sz w:val="20"/>
                <w:szCs w:val="20"/>
              </w:rPr>
              <w:t xml:space="preserve">10.1016/j.actaastro.2024.08.009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ISRU technology deployment at a lunar outpost in 2040: A Delphi survey</w:t>
            </w:r>
          </w:p>
        </w:tc>
        <w:tc>
          <w:tcPr>
            <w:tcW w:w="0" w:type="auto"/>
          </w:tcPr>
          <w:p>
            <w:pPr>
              <w:spacing w:line="240" w:lineRule="auto" w:before="0" w:after="0"/>
              <w:pStyle w:val="Compact"/>
            </w:pPr>
            <w:r>
              <w:rPr>
                <w:sz w:val="20"/>
                <w:szCs w:val="20"/>
              </w:rPr>
              <w:t xml:space="preserve">10.1016/j.actaastro.2021.01.009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Effect of macronutrient levels on Chlorella vulgaris cultivation for long duration spaceflights and space settlements</w:t>
            </w:r>
          </w:p>
        </w:tc>
        <w:tc>
          <w:tcPr>
            <w:tcW w:w="0" w:type="auto"/>
          </w:tcPr>
          <w:p>
            <w:pPr>
              <w:spacing w:line="240" w:lineRule="auto" w:before="0" w:after="0"/>
              <w:pStyle w:val="Compact"/>
            </w:pPr>
            <w:r>
              <w:rPr>
                <w:sz w:val="20"/>
                <w:szCs w:val="20"/>
              </w:rPr>
              <w:t xml:space="preserve">10.1016/j.actaastro.2023.02.031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Solar 3D printing of lunar regolith</w:t>
            </w:r>
          </w:p>
        </w:tc>
        <w:tc>
          <w:tcPr>
            <w:tcW w:w="0" w:type="auto"/>
          </w:tcPr>
          <w:p>
            <w:pPr>
              <w:spacing w:line="240" w:lineRule="auto" w:before="0" w:after="0"/>
              <w:pStyle w:val="Compact"/>
            </w:pPr>
            <w:r>
              <w:rPr>
                <w:sz w:val="20"/>
                <w:szCs w:val="20"/>
              </w:rPr>
              <w:t xml:space="preserve">10.1016/j.actaastro.2018.06.063</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 novel approach to increase flowability of planetary regolith: Spray drying of Martian simulants for powder-based ISRU fabrication</w:t>
            </w:r>
          </w:p>
        </w:tc>
        <w:tc>
          <w:tcPr>
            <w:tcW w:w="0" w:type="auto"/>
          </w:tcPr>
          <w:p>
            <w:pPr>
              <w:spacing w:line="240" w:lineRule="auto" w:before="0" w:after="0"/>
              <w:pStyle w:val="Compact"/>
            </w:pPr>
            <w:r>
              <w:rPr>
                <w:sz w:val="20"/>
                <w:szCs w:val="20"/>
              </w:rPr>
              <w:t xml:space="preserve">10.1016/j.actaastro.2025.07.054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Development of regolith-resin-composite (RRC) material for lunar construction</w:t>
            </w:r>
          </w:p>
        </w:tc>
        <w:tc>
          <w:tcPr>
            <w:tcW w:w="0" w:type="auto"/>
          </w:tcPr>
          <w:p>
            <w:pPr>
              <w:spacing w:line="240" w:lineRule="auto" w:before="0" w:after="0"/>
              <w:pStyle w:val="Compact"/>
            </w:pPr>
            <w:r>
              <w:rPr>
                <w:sz w:val="20"/>
                <w:szCs w:val="20"/>
              </w:rPr>
              <w:t xml:space="preserve">10.1016/j.actaastro.2024.10.064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Mechanical, electrodynamic, and magnetic particle-size classification of lunar regolith for in-situ resource utilization: A review</w:t>
            </w:r>
          </w:p>
        </w:tc>
        <w:tc>
          <w:tcPr>
            <w:tcW w:w="0" w:type="auto"/>
          </w:tcPr>
          <w:p>
            <w:pPr>
              <w:spacing w:line="240" w:lineRule="auto" w:before="0" w:after="0"/>
              <w:pStyle w:val="Compact"/>
            </w:pPr>
            <w:r>
              <w:rPr>
                <w:sz w:val="20"/>
                <w:szCs w:val="20"/>
              </w:rPr>
              <w:t xml:space="preserve">10.1016/j.actaastro.2025.07.051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Structures for extraterrestrial habitat: A review</w:t>
            </w:r>
          </w:p>
        </w:tc>
        <w:tc>
          <w:tcPr>
            <w:tcW w:w="0" w:type="auto"/>
          </w:tcPr>
          <w:p>
            <w:pPr>
              <w:spacing w:line="240" w:lineRule="auto" w:before="0" w:after="0"/>
              <w:pStyle w:val="Compact"/>
            </w:pPr>
            <w:r>
              <w:rPr>
                <w:sz w:val="20"/>
                <w:szCs w:val="20"/>
              </w:rPr>
              <w:t xml:space="preserve">10.1016/j.actaastro.2025.10.029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Desert cyanobacteria under non-Earth conditions: Implications for astrobiology and sustainable life support</w:t>
            </w:r>
          </w:p>
        </w:tc>
        <w:tc>
          <w:tcPr>
            <w:tcW w:w="0" w:type="auto"/>
          </w:tcPr>
          <w:p>
            <w:pPr>
              <w:spacing w:line="240" w:lineRule="auto" w:before="0" w:after="0"/>
              <w:pStyle w:val="Compact"/>
            </w:pPr>
            <w:r>
              <w:rPr>
                <w:sz w:val="20"/>
                <w:szCs w:val="20"/>
              </w:rPr>
              <w:t xml:space="preserve">10.1016/j.actaastro.2025.09.022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water treatment and recycling in 105-day bioregenerative life support experiment in the Lunar Palace 1</w:t>
            </w:r>
          </w:p>
        </w:tc>
        <w:tc>
          <w:tcPr>
            <w:tcW w:w="0" w:type="auto"/>
          </w:tcPr>
          <w:p>
            <w:pPr>
              <w:spacing w:line="240" w:lineRule="auto" w:before="0" w:after="0"/>
              <w:pStyle w:val="Compact"/>
            </w:pPr>
            <w:r>
              <w:rPr>
                <w:sz w:val="20"/>
                <w:szCs w:val="20"/>
              </w:rPr>
              <w:t xml:space="preserve">10.1016/j.actaastro.2017.08.026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Reliability and lifetime estimation of bioregenerative life support system based on 370-day closed human experiment of lunar palace 1 and Monte Carlo simulation</w:t>
            </w:r>
          </w:p>
        </w:tc>
        <w:tc>
          <w:tcPr>
            <w:tcW w:w="0" w:type="auto"/>
          </w:tcPr>
          <w:p>
            <w:pPr>
              <w:spacing w:line="240" w:lineRule="auto" w:before="0" w:after="0"/>
              <w:pStyle w:val="Compact"/>
            </w:pPr>
            <w:r>
              <w:rPr>
                <w:sz w:val="20"/>
                <w:szCs w:val="20"/>
              </w:rPr>
              <w:t xml:space="preserve">10.1016/j.actaastro.2022.11.021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SIRONA: Sustainable Integration of Regenerative Outer-space Nature and Agriculture. Part 2 : Design Development and Projected Performance</w:t>
            </w:r>
          </w:p>
        </w:tc>
        <w:tc>
          <w:tcPr>
            <w:tcW w:w="0" w:type="auto"/>
          </w:tcPr>
          <w:p>
            <w:pPr>
              <w:spacing w:line="240" w:lineRule="auto" w:before="0" w:after="0"/>
              <w:pStyle w:val="Compact"/>
            </w:pPr>
            <w:r>
              <w:rPr>
                <w:sz w:val="20"/>
                <w:szCs w:val="20"/>
              </w:rPr>
              <w:t xml:space="preserve">10.1016/j.actaastro.2020.07.001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Modelling vibrational segregation of granular materials in lunar gravity using the discrete element method</w:t>
            </w:r>
          </w:p>
        </w:tc>
        <w:tc>
          <w:tcPr>
            <w:tcW w:w="0" w:type="auto"/>
          </w:tcPr>
          <w:p>
            <w:pPr>
              <w:spacing w:line="240" w:lineRule="auto" w:before="0" w:after="0"/>
              <w:pStyle w:val="Compact"/>
            </w:pPr>
            <w:r>
              <w:rPr>
                <w:sz w:val="20"/>
                <w:szCs w:val="20"/>
              </w:rPr>
              <w:t xml:space="preserve">10.1016/j.actaastro.2025.11.073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Phototrophic microorganisms in bioregenerative life support systems for long-term crewed expeditions: Prospects and challenges</w:t>
            </w:r>
          </w:p>
        </w:tc>
        <w:tc>
          <w:tcPr>
            <w:tcW w:w="0" w:type="auto"/>
          </w:tcPr>
          <w:p>
            <w:pPr>
              <w:spacing w:line="240" w:lineRule="auto" w:before="0" w:after="0"/>
              <w:pStyle w:val="Compact"/>
            </w:pPr>
            <w:r>
              <w:rPr>
                <w:sz w:val="20"/>
                <w:szCs w:val="20"/>
              </w:rPr>
              <w:t xml:space="preserve">10.1016/j.actaastro.2023.07.006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Benefits of a rotating - Partial gravity - Spacecraft</w:t>
            </w:r>
          </w:p>
        </w:tc>
        <w:tc>
          <w:tcPr>
            <w:tcW w:w="0" w:type="auto"/>
          </w:tcPr>
          <w:p>
            <w:pPr>
              <w:spacing w:line="240" w:lineRule="auto" w:before="0" w:after="0"/>
              <w:pStyle w:val="Compact"/>
            </w:pPr>
            <w:r>
              <w:rPr>
                <w:sz w:val="20"/>
                <w:szCs w:val="20"/>
              </w:rPr>
              <w:t xml:space="preserve">10.1016/j.actaastro.2024.04.041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 overview of 3D printing Mars habitats using in-situ resources: materials, processing, structural challenges, and prospects</w:t>
            </w:r>
          </w:p>
        </w:tc>
        <w:tc>
          <w:tcPr>
            <w:tcW w:w="0" w:type="auto"/>
          </w:tcPr>
          <w:p>
            <w:pPr>
              <w:spacing w:line="240" w:lineRule="auto" w:before="0" w:after="0"/>
              <w:pStyle w:val="Compact"/>
            </w:pPr>
            <w:r>
              <w:rPr>
                <w:sz w:val="20"/>
                <w:szCs w:val="20"/>
              </w:rPr>
              <w:t xml:space="preserve">10.1016/j.actaastro.2026.05.055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What horticulture and space exploration can learn from each other: The Mission to Mars initiative in the Netherlands</w:t>
            </w:r>
          </w:p>
        </w:tc>
        <w:tc>
          <w:tcPr>
            <w:tcW w:w="0" w:type="auto"/>
          </w:tcPr>
          <w:p>
            <w:pPr>
              <w:spacing w:line="240" w:lineRule="auto" w:before="0" w:after="0"/>
              <w:pStyle w:val="Compact"/>
            </w:pPr>
            <w:r>
              <w:rPr>
                <w:sz w:val="20"/>
                <w:szCs w:val="20"/>
              </w:rPr>
              <w:t xml:space="preserve">10.1016/j.actaastro.2020.05.015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 review towards the design of extraterrestrial structures: From regolith to human outposts</w:t>
            </w:r>
          </w:p>
        </w:tc>
        <w:tc>
          <w:tcPr>
            <w:tcW w:w="0" w:type="auto"/>
          </w:tcPr>
          <w:p>
            <w:pPr>
              <w:spacing w:line="240" w:lineRule="auto" w:before="0" w:after="0"/>
              <w:pStyle w:val="Compact"/>
            </w:pPr>
            <w:r>
              <w:rPr>
                <w:sz w:val="20"/>
                <w:szCs w:val="20"/>
              </w:rPr>
              <w:t xml:space="preserve">10.1016/j.actaastro.2020.05.038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Theoretical bioreactor design to perform microbial mining activities on mars</w:t>
            </w:r>
          </w:p>
        </w:tc>
        <w:tc>
          <w:tcPr>
            <w:tcW w:w="0" w:type="auto"/>
          </w:tcPr>
          <w:p>
            <w:pPr>
              <w:spacing w:line="240" w:lineRule="auto" w:before="0" w:after="0"/>
              <w:pStyle w:val="Compact"/>
            </w:pPr>
            <w:r>
              <w:rPr>
                <w:sz w:val="20"/>
                <w:szCs w:val="20"/>
              </w:rPr>
              <w:t xml:space="preserve">10.1016/j.actaastro.2020.01.036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From extraction to purification: A comprehensive review of oxygen production from lunar regolith for ISRU</w:t>
            </w:r>
          </w:p>
        </w:tc>
        <w:tc>
          <w:tcPr>
            <w:tcW w:w="0" w:type="auto"/>
          </w:tcPr>
          <w:p>
            <w:pPr>
              <w:spacing w:line="240" w:lineRule="auto" w:before="0" w:after="0"/>
              <w:pStyle w:val="Compact"/>
            </w:pPr>
            <w:r>
              <w:rPr>
                <w:sz w:val="20"/>
                <w:szCs w:val="20"/>
              </w:rPr>
              <w:t xml:space="preserve">10.1016/j.actaastro.2026.05.063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Thermodynamic model of Mars Oxygen ISRU Experiment (MOXIE)</w:t>
            </w:r>
          </w:p>
        </w:tc>
        <w:tc>
          <w:tcPr>
            <w:tcW w:w="0" w:type="auto"/>
          </w:tcPr>
          <w:p>
            <w:pPr>
              <w:spacing w:line="240" w:lineRule="auto" w:before="0" w:after="0"/>
              <w:pStyle w:val="Compact"/>
            </w:pPr>
            <w:r>
              <w:rPr>
                <w:sz w:val="20"/>
                <w:szCs w:val="20"/>
              </w:rPr>
              <w:t xml:space="preserve">10.1016/j.actaastro.2016.06.005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Vacuum effects on the angle of repose of lunar soil simulants: Experimental insights</w:t>
            </w:r>
          </w:p>
        </w:tc>
        <w:tc>
          <w:tcPr>
            <w:tcW w:w="0" w:type="auto"/>
          </w:tcPr>
          <w:p>
            <w:pPr>
              <w:spacing w:line="240" w:lineRule="auto" w:before="0" w:after="0"/>
              <w:pStyle w:val="Compact"/>
            </w:pPr>
            <w:r>
              <w:rPr>
                <w:sz w:val="20"/>
                <w:szCs w:val="20"/>
              </w:rPr>
              <w:t xml:space="preserve">10.1016/j.actaastro.2025.11.007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3D printing LDPE/lunar regolith simulant composite: manufacturing with in-situ resources on the moon</w:t>
            </w:r>
          </w:p>
        </w:tc>
        <w:tc>
          <w:tcPr>
            <w:tcW w:w="0" w:type="auto"/>
          </w:tcPr>
          <w:p>
            <w:pPr>
              <w:spacing w:line="240" w:lineRule="auto" w:before="0" w:after="0"/>
              <w:pStyle w:val="Compact"/>
            </w:pPr>
            <w:r>
              <w:rPr>
                <w:sz w:val="20"/>
                <w:szCs w:val="20"/>
              </w:rPr>
              <w:t xml:space="preserve">10.1016/j.actaastro.2025.08.012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 recycle of water and nitrogen from urine in bioregenerative life support system</w:t>
            </w:r>
          </w:p>
        </w:tc>
        <w:tc>
          <w:tcPr>
            <w:tcW w:w="0" w:type="auto"/>
          </w:tcPr>
          <w:p>
            <w:pPr>
              <w:spacing w:line="240" w:lineRule="auto" w:before="0" w:after="0"/>
              <w:pStyle w:val="Compact"/>
            </w:pPr>
            <w:r>
              <w:rPr>
                <w:sz w:val="20"/>
                <w:szCs w:val="20"/>
              </w:rPr>
              <w:t xml:space="preserve">10.1016/j.actaastro.2016.03.007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 virtual 3D printing framework for off-Earth construction</w:t>
            </w:r>
          </w:p>
        </w:tc>
        <w:tc>
          <w:tcPr>
            <w:tcW w:w="0" w:type="auto"/>
          </w:tcPr>
          <w:p>
            <w:pPr>
              <w:spacing w:line="240" w:lineRule="auto" w:before="0" w:after="0"/>
              <w:pStyle w:val="Compact"/>
            </w:pPr>
            <w:r>
              <w:rPr>
                <w:sz w:val="20"/>
                <w:szCs w:val="20"/>
              </w:rPr>
              <w:t xml:space="preserve">10.1016/j.actaastro.2026.02.001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Acta Astronautica local metadata corpus, search query lunar OR life OR support OR ISRU OR bioregenerative OR photobioreactor OR regolith OR oxygen OR food OR habitat OR settlement, exported 2026-06-27; DOI and citation count retained</w:t>
            </w:r>
          </w:p>
        </w:tc>
      </w:tr>
    </w:tbl>
    <w:bookmarkEnd w:id="230"/>
    <w:bookmarkStart w:id="23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citations_plus_one</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Acta metadata citation count plus one to permit log transformation</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2026 minus publication year plus one</w:t>
            </w:r>
          </w:p>
        </w:tc>
        <w:tc>
          <w:tcPr>
            <w:tcW w:w="0" w:type="auto"/>
          </w:tcPr>
          <w:p>
            <w:pPr>
              <w:spacing w:line="240" w:lineRule="auto" w:before="0" w:after="0"/>
              <w:pStyle w:val="Compact"/>
            </w:pPr>
            <w:r>
              <w:rPr>
                <w:sz w:val="20"/>
                <w:szCs w:val="20"/>
              </w:rPr>
              <w:t xml:space="preserve">Constructed from the Acta publication year</w:t>
            </w:r>
          </w:p>
        </w:tc>
      </w:tr>
    </w:tbl>
    <w:bookmarkEnd w:id="231"/>
    <w:bookmarkEnd w:id="232"/>
    <w:bookmarkEnd w:id="23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8" Type="http://schemas.openxmlformats.org/officeDocument/2006/relationships/image" Target="media/rId218.png"/><Relationship Id="rId226" Type="http://schemas.openxmlformats.org/officeDocument/2006/relationships/image" Target="media/rId226.png"/><Relationship Id="rId169" Type="http://schemas.openxmlformats.org/officeDocument/2006/relationships/hyperlink" Target="https://doi.org/10.1016/j.actaastro.2016.03.007" TargetMode="External"/><Relationship Id="rId210" Type="http://schemas.openxmlformats.org/officeDocument/2006/relationships/hyperlink" Target="https://doi.org/10.1016/j.actaastro.2018.04.052" TargetMode="External"/><Relationship Id="rId177" Type="http://schemas.openxmlformats.org/officeDocument/2006/relationships/hyperlink" Target="https://doi.org/10.1016/j.actaastro.2018.06.063" TargetMode="External"/><Relationship Id="rId173" Type="http://schemas.openxmlformats.org/officeDocument/2006/relationships/hyperlink" Target="https://doi.org/10.1016/j.actaastro.2021.01.009" TargetMode="External"/><Relationship Id="rId200" Type="http://schemas.openxmlformats.org/officeDocument/2006/relationships/hyperlink" Target="https://doi.org/10.1016/j.actaastro.2021.06.017" TargetMode="External"/><Relationship Id="rId206" Type="http://schemas.openxmlformats.org/officeDocument/2006/relationships/hyperlink" Target="https://doi.org/10.1016/j.actaastro.2022.04.001" TargetMode="External"/><Relationship Id="rId165" Type="http://schemas.openxmlformats.org/officeDocument/2006/relationships/hyperlink" Target="https://doi.org/10.1016/j.actaastro.2023.07.006" TargetMode="External"/><Relationship Id="rId167" Type="http://schemas.openxmlformats.org/officeDocument/2006/relationships/hyperlink" Target="https://doi.org/10.1016/j.actaastro.2024.04.041" TargetMode="External"/><Relationship Id="rId175" Type="http://schemas.openxmlformats.org/officeDocument/2006/relationships/hyperlink" Target="https://doi.org/10.1016/j.actaastro.2024.05.022" TargetMode="External"/><Relationship Id="rId214" Type="http://schemas.openxmlformats.org/officeDocument/2006/relationships/hyperlink" Target="https://doi.org/10.1016/j.actaastro.2024.05.026" TargetMode="External"/><Relationship Id="rId208" Type="http://schemas.openxmlformats.org/officeDocument/2006/relationships/hyperlink" Target="https://doi.org/10.1016/j.actaastro.2024.09.023" TargetMode="External"/><Relationship Id="rId212" Type="http://schemas.openxmlformats.org/officeDocument/2006/relationships/hyperlink" Target="https://doi.org/10.1016/j.actaastro.2025.01.069" TargetMode="External"/><Relationship Id="rId187" Type="http://schemas.openxmlformats.org/officeDocument/2006/relationships/hyperlink" Target="https://doi.org/10.1016/j.actaastro.2025.02.004" TargetMode="External"/><Relationship Id="rId202" Type="http://schemas.openxmlformats.org/officeDocument/2006/relationships/hyperlink" Target="https://doi.org/10.1016/j.actaastro.2025.02.046" TargetMode="External"/><Relationship Id="rId171" Type="http://schemas.openxmlformats.org/officeDocument/2006/relationships/hyperlink" Target="https://doi.org/10.1016/j.actaastro.2025.05.008" TargetMode="External"/><Relationship Id="rId161" Type="http://schemas.openxmlformats.org/officeDocument/2006/relationships/hyperlink" Target="https://doi.org/10.1016/j.actaastro.2025.07.033" TargetMode="External"/><Relationship Id="rId163" Type="http://schemas.openxmlformats.org/officeDocument/2006/relationships/hyperlink" Target="https://doi.org/10.1016/j.actaastro.2025.07.051" TargetMode="External"/><Relationship Id="rId204" Type="http://schemas.openxmlformats.org/officeDocument/2006/relationships/hyperlink" Target="https://doi.org/10.1016/j.actaastro.2025.10.072" TargetMode="External"/><Relationship Id="rId189" Type="http://schemas.openxmlformats.org/officeDocument/2006/relationships/hyperlink" Target="https://doi.org/10.1016/j.actaastro.2026.02.021" TargetMode="External"/><Relationship Id="rId197" Type="http://schemas.openxmlformats.org/officeDocument/2006/relationships/hyperlink" Target="https://doi.org/10.64861/ZFDQ4641" TargetMode="External"/></Relationships>
</file>

<file path=word/_rels/footnotes.xml.rels><?xml version='1.0' encoding='UTF-8' standalone='yes'?>
<Relationships xmlns="http://schemas.openxmlformats.org/package/2006/relationships"><Relationship Id="rId169" Type="http://schemas.openxmlformats.org/officeDocument/2006/relationships/hyperlink" Target="https://doi.org/10.1016/j.actaastro.2016.03.007" TargetMode="External"/><Relationship Id="rId210" Type="http://schemas.openxmlformats.org/officeDocument/2006/relationships/hyperlink" Target="https://doi.org/10.1016/j.actaastro.2018.04.052" TargetMode="External"/><Relationship Id="rId177" Type="http://schemas.openxmlformats.org/officeDocument/2006/relationships/hyperlink" Target="https://doi.org/10.1016/j.actaastro.2018.06.063" TargetMode="External"/><Relationship Id="rId173" Type="http://schemas.openxmlformats.org/officeDocument/2006/relationships/hyperlink" Target="https://doi.org/10.1016/j.actaastro.2021.01.009" TargetMode="External"/><Relationship Id="rId200" Type="http://schemas.openxmlformats.org/officeDocument/2006/relationships/hyperlink" Target="https://doi.org/10.1016/j.actaastro.2021.06.017" TargetMode="External"/><Relationship Id="rId206" Type="http://schemas.openxmlformats.org/officeDocument/2006/relationships/hyperlink" Target="https://doi.org/10.1016/j.actaastro.2022.04.001" TargetMode="External"/><Relationship Id="rId165" Type="http://schemas.openxmlformats.org/officeDocument/2006/relationships/hyperlink" Target="https://doi.org/10.1016/j.actaastro.2023.07.006" TargetMode="External"/><Relationship Id="rId167" Type="http://schemas.openxmlformats.org/officeDocument/2006/relationships/hyperlink" Target="https://doi.org/10.1016/j.actaastro.2024.04.041" TargetMode="External"/><Relationship Id="rId175" Type="http://schemas.openxmlformats.org/officeDocument/2006/relationships/hyperlink" Target="https://doi.org/10.1016/j.actaastro.2024.05.022" TargetMode="External"/><Relationship Id="rId214" Type="http://schemas.openxmlformats.org/officeDocument/2006/relationships/hyperlink" Target="https://doi.org/10.1016/j.actaastro.2024.05.026" TargetMode="External"/><Relationship Id="rId208" Type="http://schemas.openxmlformats.org/officeDocument/2006/relationships/hyperlink" Target="https://doi.org/10.1016/j.actaastro.2024.09.023" TargetMode="External"/><Relationship Id="rId212" Type="http://schemas.openxmlformats.org/officeDocument/2006/relationships/hyperlink" Target="https://doi.org/10.1016/j.actaastro.2025.01.069" TargetMode="External"/><Relationship Id="rId187" Type="http://schemas.openxmlformats.org/officeDocument/2006/relationships/hyperlink" Target="https://doi.org/10.1016/j.actaastro.2025.02.004" TargetMode="External"/><Relationship Id="rId202" Type="http://schemas.openxmlformats.org/officeDocument/2006/relationships/hyperlink" Target="https://doi.org/10.1016/j.actaastro.2025.02.046" TargetMode="External"/><Relationship Id="rId171" Type="http://schemas.openxmlformats.org/officeDocument/2006/relationships/hyperlink" Target="https://doi.org/10.1016/j.actaastro.2025.05.008" TargetMode="External"/><Relationship Id="rId161" Type="http://schemas.openxmlformats.org/officeDocument/2006/relationships/hyperlink" Target="https://doi.org/10.1016/j.actaastro.2025.07.033" TargetMode="External"/><Relationship Id="rId163" Type="http://schemas.openxmlformats.org/officeDocument/2006/relationships/hyperlink" Target="https://doi.org/10.1016/j.actaastro.2025.07.051" TargetMode="External"/><Relationship Id="rId204" Type="http://schemas.openxmlformats.org/officeDocument/2006/relationships/hyperlink" Target="https://doi.org/10.1016/j.actaastro.2025.10.072" TargetMode="External"/><Relationship Id="rId189" Type="http://schemas.openxmlformats.org/officeDocument/2006/relationships/hyperlink" Target="https://doi.org/10.1016/j.actaastro.2026.02.021" TargetMode="External"/><Relationship Id="rId197" Type="http://schemas.openxmlformats.org/officeDocument/2006/relationships/hyperlink" Target="https://doi.org/10.64861/ZFDQ4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Carrying Capacity of a Lunar Settlement: An Empirical Closure-Rate Model for Life Support</dc:title>
  <dc:creator>Lena Nair (1B-LUN-142)</dc:creator>
  <cp:keywords/>
  <dcterms:created xsi:type="dcterms:W3CDTF">2026-07-03T21:39:01Z</dcterms:created>
  <dcterms:modified xsi:type="dcterms:W3CDTF">2026-07-03T21:39:01Z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