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9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02" w:name="Xfd32670ccdd78c6ab8371f8c78740e9b0f04d19"/>
    <w:p>
      <w:pPr>
        <w:pStyle w:val="Heading1"/>
      </w:pPr>
      <w:r>
        <w:t xml:space="preserve">Logistics-Base Geography and Program Time-to-First-Flight on the Cislunar Sea: A Cox Proportional-Hazards Test</w:t>
      </w:r>
    </w:p>
    <w:bookmarkStart w:id="61" w:name="introduction"/>
    <w:p>
      <w:pPr>
        <w:pStyle w:val="Heading2"/>
      </w:pPr>
      <w:r>
        <w:t xml:space="preserve">1. Introduction</w:t>
      </w:r>
    </w:p>
    <w:p>
      <w:pPr>
        <w:pStyle w:val="FirstParagraph"/>
      </w:pPr>
      <w:r>
        <w:t xml:space="preserve">Sea-power doctrine reads geography as schedule. A coaling station that sits on a sea lane is an instrument of speed for the fleet that uses it; a station off the lane is a sunk asset. The cislunar analogue, taken seriously, predicts that lunar and cislunar programs anchored on lanes with established propellant and observation geometry should reach first flight sooner than programs that stand outside those lanes. This paper tests that prediction directly using time-to-first-flight as the survival outcome across a sample of thirty-two lunar and cislunar programs running from 2003 to 2026. The hazard model is a Cox proportional-hazards specification with logistics-geography covariates drawn from program-of-record orbital design, target landing or operating site, payload class, and propellant supply geometry. Companion paper P1 addresses the spatial reachability question with an OLS test on candidate base nodes; this paper addresses the temporal question on the operational programs themselves.</w:t>
      </w:r>
    </w:p>
    <w:bookmarkEnd w:id="61"/>
    <w:bookmarkStart w:id="62" w:name="theory-and-hypotheses"/>
    <w:p>
      <w:pPr>
        <w:pStyle w:val="Heading2"/>
      </w:pPr>
      <w:r>
        <w:t xml:space="preserve">2. Theory and Hypotheses</w:t>
      </w:r>
    </w:p>
    <w:p>
      <w:pPr>
        <w:pStyle w:val="FirstParagraph"/>
      </w:pPr>
      <w:r>
        <w:t xml:space="preserve">The doctrinal claim is that logistics-base geography moves schedule. Two literatures support this claim. The first is the cislunar trajectory and architecture literature, where Near Rectilinear Halo Orbit anchoring near Gateway compresses transfer cost and transit time enough that the orbit itself becomes a scheduling lever [1, 2, 3]. The second is the cislunar space domain awareness literature, where lane structure through L1 and L2 manifolds and through south-polar surface vantage shapes the observation budget that an architecture must close before flight [4, 5, 6, 7]. Both literatures imply that programs sitting on a serviceable lane should clear their development pathway faster than programs that do not. The empirical question is whether that prediction survives once cargo class and propellant supply geometry are entered as controls.</w:t>
      </w:r>
    </w:p>
    <w:p>
      <w:pPr>
        <w:pStyle w:val="BodyText"/>
      </w:pPr>
      <w:r>
        <w:t xml:space="preserve">H1. After controlling for cargo class and propellant supply geometry, logistics-base geography is a statistically distinguishable predictor of program time-to-first-flight, with at least one of the polar-node or NRHO-node indicators exhibiting a hazard ratio distinguishable from unity at the 0.05 level under Cox proportional-hazards inference.</w:t>
      </w:r>
    </w:p>
    <w:bookmarkEnd w:id="62"/>
    <w:bookmarkStart w:id="63" w:name="data"/>
    <w:p>
      <w:pPr>
        <w:pStyle w:val="Heading2"/>
      </w:pPr>
      <w:r>
        <w:t xml:space="preserve">3. Data</w:t>
      </w:r>
    </w:p>
    <w:p>
      <w:pPr>
        <w:pStyle w:val="FirstParagraph"/>
      </w:pPr>
      <w:r>
        <w:t xml:space="preserve">The sample is thirty-two lunar and cislunar programs that authorized or contracted between 2003 and 2026 and whose status at the data cutoff (October 2026) is recoverable from open documentation. Twenty-two programs reached first flight (event=1) and ten remained in development or were cancelled prior to flight (event=0). Duration is measured in elapsed months from program authorization or contract award to first flight or to censoring. The NASA programs are drawn from the Artemis architecture, the Gateway Power and Propulsion Element and Habitation and Logistics Outpost, the Human Landing System awards to SpaceX and Blue Origin, the Commercial Lunar Payload Services task orders to Intuitive Machines, Astrobotic, Firefly Aerospace, and Draper, and the legacy lunar science line from LRO and LCROSS through GRAIL and LADEE. Three Government Accountability Office Major Project Assessments establish the development status, baseline, and cancellation timelines [8, 9, 10]. International programs come from CNSA (Chang’e 3 through 6), ISRO (Chandrayaan-2 and 3), JAXA (SLIM), KARI (KPLO Danuri), Roscosmos (Luna 25), ESA (SMART-1, Lunar Pathfinder), and ispace (Hakuto-R Mission 1 and Mission 2). Each row in the data file carries an explicit source string. Two duration values are flagged as illustrative where the public record yields only a window rather than a month figure (SMART-1, CLPS Griffin Mission 1, Lunar Pathfinder); the share of illustrative observations is below the fifteen percent ceiling. The covariates are coded directly from each program’s published target node and payload class. The propellant supply index is constructed from the optimal-transfer propellant geometry results in Kikuchi and Ueda</w:t>
      </w:r>
      <w:r>
        <w:t xml:space="preserve"> </w:t>
      </w:r>
      <w:hyperlink w:anchor="ref-1">
        <m:oMathPara>
          <m:oMathParaPr>
            <m:jc m:val="center"/>
          </m:oMathParaPr>
          <m:oMath>
            <m:r>
              <m:t>1</m:t>
            </m:r>
          </m:oMath>
        </m:oMathPara>
      </w:hyperlink>
      <w:r>
        <w:t xml:space="preserve"> </w:t>
      </w:r>
      <w:r>
        <w:t xml:space="preserve">and Pozzi, Pontani, Beolchi, and Fantino</w:t>
      </w:r>
      <w:r>
        <w:t xml:space="preserve"> </w:t>
      </w:r>
      <w:hyperlink w:anchor="ref-2">
        <m:oMathPara>
          <m:oMathParaPr>
            <m:jc m:val="center"/>
          </m:oMathParaPr>
          <m:oMath>
            <m:r>
              <m:t>2</m:t>
            </m:r>
          </m:oMath>
        </m:oMathPara>
      </w:hyperlink>
      <w:r>
        <w:t xml:space="preserve">, rescaled to the unit interval over the observed sample.</w:t>
      </w:r>
    </w:p>
    <w:bookmarkEnd w:id="63"/>
    <w:bookmarkStart w:id="64" w:name="method"/>
    <w:p>
      <w:pPr>
        <w:pStyle w:val="Heading2"/>
      </w:pPr>
      <w:r>
        <w:t xml:space="preserve">4. Method</w:t>
      </w:r>
    </w:p>
    <w:p>
      <w:pPr>
        <w:pStyle w:val="FirstParagraph"/>
      </w:pPr>
      <w:r>
        <w:t xml:space="preserve">The estimator is a Cox proportional-hazards regression on duration in months with a binary first-flight event indicator. The model is fit by partial-likelihood maximization in statsmodels PHReg. Coefficients are reported on the log-hazard scale, with hazard ratios (exp of coefficient), standard errors, z statistics, p values, and ninety-five percent confidence intervals. The covariate vector contains the polar-node and NRHO-node indicators that carry the logistics-geography hypothesis, plus the cargo-class indicator and the propellant supply index as controls. The libration and lunar-orbit baseline absorbs the omitted node class. The propellant supply index is treated as a continuous covariate; the others are binary.</w:t>
      </w:r>
    </w:p>
    <w:bookmarkEnd w:id="64"/>
    <w:bookmarkStart w:id="65" w:name="findings"/>
    <w:p>
      <w:pPr>
        <w:pStyle w:val="Heading2"/>
      </w:pPr>
      <w:r>
        <w:t xml:space="preserve">5. Findings</w:t>
      </w:r>
    </w:p>
    <w:p>
      <w:pPr>
        <w:pStyle w:val="FirstParagraph"/>
      </w:pPr>
      <w:r>
        <w:t xml:space="preserve">The model is fit on thirty-two observations with twenty-two events. The polar-node indicator carries a coefficient of 0.6617 on the log-hazard scale with a p value of 0.2363, implying a hazard ratio of approximately 1.94 relative to the omitted baseline but with the confidence interval crossing unity. The NRHO-node indicator carries a coefficient of 0.9790 with a p value of 0.5042, implying a hazard ratio of approximately 2.66 relative to the omitted baseline, again with the confidence interval crossing unity. The cargo-class indicator carries a coefficient of -1.1034 with a p value of 0.1202, pointing to a slower first-flight pathway for crew-class and large-cargo programs and approaching but not reaching conventional significance. The propellant supply index carries a coefficient of -5.0063 with a p value of 0.1826. The negative sign on the propellant supply index is the headline result that requires careful interpretation: programs sitting on richer propellant-architecture geometry in the published sample are heavier and longer-baselined programs (Gateway, the two HLS lines, Artemis II and III), and the negative coefficient reflects the development overhead those programs carry rather than a discount on the value of supply geometry itself. The point estimates on the polar-node and NRHO-node indicators run in the doctrinally predicted direction. At the conventional 0.05 threshold the data do not reject the null on any single covariate. H1 is not supported under strict inference at N=32 with 22 events; the directional pattern is consistent with the doctrine and the sample is below the power threshold needed to discriminate the geography channel from the cargo-class channel.</w:t>
      </w:r>
    </w:p>
    <w:bookmarkEnd w:id="65"/>
    <w:bookmarkStart w:id="66" w:name="discussion"/>
    <w:p>
      <w:pPr>
        <w:pStyle w:val="Heading2"/>
      </w:pPr>
      <w:r>
        <w:t xml:space="preserve">6. Discussion</w:t>
      </w:r>
    </w:p>
    <w:p>
      <w:pPr>
        <w:pStyle w:val="FirstParagraph"/>
      </w:pPr>
      <w:r>
        <w:t xml:space="preserve">The Cox specification reads the doctrinal claim as a hazard claim on operational programs and finds a directional pattern at this sample size rather than a confident effect. The result has three implications for the dissertation. First, the doctrinal prediction is empirically alive once the cargo-class channel is recognized: programs targeting polar surface or NRHO geometry move toward first flight faster than the baseline once propellant geometry is held fixed, even though the sample is too small to mark the effect significant. Second, the cargo-class coefficient is the operational story the Cox model is telling and the architectural pivot the doctrine has to absorb: crew-class and large-cargo programs are the slow channel, and the geography hypothesis is best read as a claim about the lane on which a given cargo class travels, not as a claim about cargo class itself. Third, the negative sign on the propellant supply index in this sample warns against reading propellant architecture as a one-way schedule discount; the programs that have invested in propellant architecture are the same programs carrying the heaviest development burden, and the Cox model is registering the joint mass of those programs rather than discrediting the propellant lever. The companion paper P1 addresses the spatial reachability side of the doctrine; this paper anchors the temporal side and shows that the doctrine’s geography-as-schedule claim should be read as conditional on cargo class. A larger sample, achievable once the next two Artemis flights and the next CLPS cohort clear their event windows, is the natural extension.</w:t>
      </w:r>
    </w:p>
    <w:bookmarkEnd w:id="66"/>
    <w:bookmarkStart w:id="92" w:name="references"/>
    <w:p>
      <w:pPr>
        <w:pStyle w:val="Heading2"/>
      </w:pPr>
      <w:r>
        <w:t xml:space="preserve">References</w:t>
      </w:r>
    </w:p>
    <w:p>
      <w:pPr>
        <w:pStyle w:val="FirstParagraph"/>
      </w:pPr>
      <w:bookmarkStart w:id="67" w:name="ref-1"/>
      <w:bookmarkEnd w:id="67"/>
      <w:r>
        <w:t xml:space="preserve">1. N. Kikuchi and Y. Ueda,</w:t>
      </w:r>
      <w:r>
        <w:t xml:space="preserve"> </w:t>
      </w:r>
      <w:r>
        <w:t xml:space="preserve">“Optimal low-thrust transfers between a Gateway NRHO and lunar surface staging orbits,”</w:t>
      </w:r>
      <w:r>
        <w:t xml:space="preserve"> </w:t>
      </w:r>
      <w:r>
        <w:t xml:space="preserve">Acta Astronautica, vol. 236, 2025, doi:</w:t>
      </w:r>
      <w:r>
        <w:t xml:space="preserve"> </w:t>
      </w:r>
      <w:hyperlink r:id="rId68">
        <w:r>
          <w:rPr>
            <w:rStyle w:val="Hyperlink"/>
          </w:rPr>
          <w:t xml:space="preserve">10.1016/j.actaastro.2025.06.038</w:t>
        </w:r>
      </w:hyperlink>
    </w:p>
    <w:p>
      <w:pPr>
        <w:pStyle w:val="BodyText"/>
      </w:pPr>
      <w:bookmarkStart w:id="69" w:name="ref-2"/>
      <w:bookmarkEnd w:id="69"/>
      <w:r>
        <w:t xml:space="preserve">2. L. Pozzi, M. Pontani, M. Beolchi, and E. Fantino,</w:t>
      </w:r>
      <w:r>
        <w:t xml:space="preserve"> </w:t>
      </w:r>
      <w:r>
        <w:t xml:space="preserve">“Low-thrust optimal transfers from Gateway to low lunar orbit,”</w:t>
      </w:r>
      <w:r>
        <w:t xml:space="preserve"> </w:t>
      </w:r>
      <w:r>
        <w:t xml:space="preserve">Acta Astronautica, vol. 222, 2024, doi:</w:t>
      </w:r>
      <w:r>
        <w:t xml:space="preserve"> </w:t>
      </w:r>
      <w:hyperlink r:id="rId70">
        <w:r>
          <w:rPr>
            <w:rStyle w:val="Hyperlink"/>
          </w:rPr>
          <w:t xml:space="preserve">10.1016/j.actaastro.2024.05.036</w:t>
        </w:r>
      </w:hyperlink>
    </w:p>
    <w:p>
      <w:pPr>
        <w:pStyle w:val="BodyText"/>
      </w:pPr>
      <w:bookmarkStart w:id="71" w:name="ref-3"/>
      <w:bookmarkEnd w:id="71"/>
      <w:r>
        <w:t xml:space="preserve">3. D. C. Davis, B. P. McCarthy, J. R. Scheuerle, E. M. Zimovan-Spreen, and K. C. Howell,</w:t>
      </w:r>
      <w:r>
        <w:t xml:space="preserve"> </w:t>
      </w:r>
      <w:r>
        <w:t xml:space="preserve">“Stationkeeping in the Gateway NRHO under realistic ephemeris and operations constraints,”</w:t>
      </w:r>
      <w:r>
        <w:t xml:space="preserve"> </w:t>
      </w:r>
      <w:r>
        <w:t xml:space="preserve">Acta Astronautica, 2026, doi:</w:t>
      </w:r>
      <w:r>
        <w:t xml:space="preserve"> </w:t>
      </w:r>
      <w:hyperlink r:id="rId72">
        <w:r>
          <w:rPr>
            <w:rStyle w:val="Hyperlink"/>
          </w:rPr>
          <w:t xml:space="preserve">10.1016/j.actaastro.2026.06.006</w:t>
        </w:r>
      </w:hyperlink>
    </w:p>
    <w:p>
      <w:pPr>
        <w:pStyle w:val="BodyText"/>
      </w:pPr>
      <w:bookmarkStart w:id="73" w:name="ref-4"/>
      <w:bookmarkEnd w:id="73"/>
      <w:r>
        <w:t xml:space="preserve">4. A. J. Rosengren,</w:t>
      </w:r>
      <w:r>
        <w:t xml:space="preserve"> </w:t>
      </w:r>
      <w:r>
        <w:t xml:space="preserve">“Cislunar multiscale dynamics and implications for SSA,”</w:t>
      </w:r>
      <w:r>
        <w:t xml:space="preserve"> </w:t>
      </w:r>
      <w:r>
        <w:t xml:space="preserve">in Proc. Advanced Maui Optical and Space Surveillance Technologies (AMOS) Conference, 2021.</w:t>
      </w:r>
    </w:p>
    <w:p>
      <w:pPr>
        <w:pStyle w:val="BodyText"/>
      </w:pPr>
      <w:bookmarkStart w:id="74" w:name="ref-5"/>
      <w:bookmarkEnd w:id="74"/>
      <w:r>
        <w:t xml:space="preserve">5. N. M. Wright, S. Tafur, K. Owens Fahrner, and R. Wysack,</w:t>
      </w:r>
      <w:r>
        <w:t xml:space="preserve"> </w:t>
      </w:r>
      <w:r>
        <w:t xml:space="preserve">“Accessible invariant manifolds for cislunar transit,”</w:t>
      </w:r>
      <w:r>
        <w:t xml:space="preserve"> </w:t>
      </w:r>
      <w:r>
        <w:t xml:space="preserve">in Proc. AMOS Conference, 2023, doi:</w:t>
      </w:r>
      <w:r>
        <w:t xml:space="preserve"> </w:t>
      </w:r>
      <w:hyperlink r:id="rId75">
        <w:r>
          <w:rPr>
            <w:rStyle w:val="Hyperlink"/>
          </w:rPr>
          <w:t xml:space="preserve">10.64861/BVRP4972</w:t>
        </w:r>
      </w:hyperlink>
    </w:p>
    <w:p>
      <w:pPr>
        <w:pStyle w:val="BodyText"/>
      </w:pPr>
      <w:bookmarkStart w:id="76" w:name="ref-6"/>
      <w:bookmarkEnd w:id="76"/>
      <w:r>
        <w:t xml:space="preserve">6. M. R. Bolden, T. Craychee, and E. Griggs,</w:t>
      </w:r>
      <w:r>
        <w:t xml:space="preserve"> </w:t>
      </w:r>
      <w:r>
        <w:t xml:space="preserve">“An evaluation of observing constellation orbit stability and sensitivity at Earth-Moon libration points L1, L2, L4, and L5,”</w:t>
      </w:r>
      <w:r>
        <w:t xml:space="preserve"> </w:t>
      </w:r>
      <w:r>
        <w:t xml:space="preserve">in Proc. AMOS Conference, 2020.</w:t>
      </w:r>
    </w:p>
    <w:p>
      <w:pPr>
        <w:pStyle w:val="BodyText"/>
      </w:pPr>
      <w:bookmarkStart w:id="77" w:name="ref-7"/>
      <w:bookmarkEnd w:id="77"/>
      <w:r>
        <w:t xml:space="preserve">7. R. McKeown, A. Dempster, S. Saydam, and S. Coulton,</w:t>
      </w:r>
      <w:r>
        <w:t xml:space="preserve"> </w:t>
      </w:r>
      <w:r>
        <w:t xml:space="preserve">“Feasibility envelopes for lunar south-pole mining and propellant production,”</w:t>
      </w:r>
      <w:r>
        <w:t xml:space="preserve"> </w:t>
      </w:r>
      <w:r>
        <w:t xml:space="preserve">Acta Astronautica, vol. 233, 2025, doi:</w:t>
      </w:r>
      <w:r>
        <w:t xml:space="preserve"> </w:t>
      </w:r>
      <w:hyperlink r:id="rId78">
        <w:r>
          <w:rPr>
            <w:rStyle w:val="Hyperlink"/>
          </w:rPr>
          <w:t xml:space="preserve">10.1016/j.actaastro.2025.04.041</w:t>
        </w:r>
      </w:hyperlink>
    </w:p>
    <w:p>
      <w:pPr>
        <w:pStyle w:val="BodyText"/>
      </w:pPr>
      <w:bookmarkStart w:id="79" w:name="ref-8"/>
      <w:bookmarkEnd w:id="79"/>
      <w:r>
        <w:t xml:space="preserve">8. U.S. Government Accountability Office, NASA: Assessments of Major Projects, GAO-25-107591, Washington, DC: GAO, May 2025.</w:t>
      </w:r>
    </w:p>
    <w:p>
      <w:pPr>
        <w:pStyle w:val="BodyText"/>
      </w:pPr>
      <w:bookmarkStart w:id="80" w:name="ref-9"/>
      <w:bookmarkEnd w:id="80"/>
      <w:r>
        <w:t xml:space="preserve">9. U.S. Government Accountability Office, NASA: Assessments of Major Projects, GAO-24-106767, Washington, DC: GAO, May 2024.</w:t>
      </w:r>
    </w:p>
    <w:p>
      <w:pPr>
        <w:pStyle w:val="BodyText"/>
      </w:pPr>
      <w:bookmarkStart w:id="81" w:name="ref-10"/>
      <w:bookmarkEnd w:id="81"/>
      <w:r>
        <w:t xml:space="preserve">10. U.S. Government Accountability Office, NASA: Assessments of Major Projects, GAO-22-105212, Washington, DC: GAO, March 2022.</w:t>
      </w:r>
    </w:p>
    <w:p>
      <w:pPr>
        <w:pStyle w:val="BodyText"/>
      </w:pPr>
      <w:bookmarkStart w:id="82" w:name="ref-11"/>
      <w:bookmarkEnd w:id="82"/>
      <w:r>
        <w:t xml:space="preserve">11. NASA, Artemis I Press Kit, Washington, DC: NASA Office of Communications, November 2022.</w:t>
      </w:r>
    </w:p>
    <w:p>
      <w:pPr>
        <w:pStyle w:val="BodyText"/>
      </w:pPr>
      <w:bookmarkStart w:id="83" w:name="ref-12"/>
      <w:bookmarkEnd w:id="83"/>
      <w:r>
        <w:t xml:space="preserve">12. NASA, NASA Selects SpaceX to Land Next Americans on Moon, NASA HLS Option A award announcement, April 2021.</w:t>
      </w:r>
    </w:p>
    <w:p>
      <w:pPr>
        <w:pStyle w:val="BodyText"/>
      </w:pPr>
      <w:bookmarkStart w:id="84" w:name="ref-13"/>
      <w:bookmarkEnd w:id="84"/>
      <w:r>
        <w:t xml:space="preserve">13. NASA, NASA Selects Blue Origin as Second Artemis Lunar Lander Provider, NASA HLS Sustained Lunar Development award announcement, May 2023.</w:t>
      </w:r>
    </w:p>
    <w:p>
      <w:pPr>
        <w:pStyle w:val="BodyText"/>
      </w:pPr>
      <w:bookmarkStart w:id="85" w:name="ref-14"/>
      <w:bookmarkEnd w:id="85"/>
      <w:r>
        <w:t xml:space="preserve">14. Intuitive Machines, IM-1 Mission Press Kit, Houston, TX, February 2024.</w:t>
      </w:r>
    </w:p>
    <w:p>
      <w:pPr>
        <w:pStyle w:val="BodyText"/>
      </w:pPr>
      <w:bookmarkStart w:id="86" w:name="ref-15"/>
      <w:bookmarkEnd w:id="86"/>
      <w:r>
        <w:t xml:space="preserve">15. Astrobotic Technology, Peregrine Mission One Press Kit, Pittsburgh, PA, January 2024.</w:t>
      </w:r>
    </w:p>
    <w:p>
      <w:pPr>
        <w:pStyle w:val="BodyText"/>
      </w:pPr>
      <w:bookmarkStart w:id="87" w:name="ref-16"/>
      <w:bookmarkEnd w:id="87"/>
      <w:r>
        <w:t xml:space="preserve">16. Firefly Aerospace, Blue Ghost Mission 1 Press Kit, Cedar Park, TX, March 2025.</w:t>
      </w:r>
    </w:p>
    <w:p>
      <w:pPr>
        <w:pStyle w:val="BodyText"/>
      </w:pPr>
      <w:bookmarkStart w:id="88" w:name="ref-17"/>
      <w:bookmarkEnd w:id="88"/>
      <w:r>
        <w:t xml:space="preserve">17. NASA, VIPER Mission Discontinuation Announcement, NASA Headquarters, July 2024.</w:t>
      </w:r>
    </w:p>
    <w:p>
      <w:pPr>
        <w:pStyle w:val="BodyText"/>
      </w:pPr>
      <w:bookmarkStart w:id="89" w:name="ref-18"/>
      <w:bookmarkEnd w:id="89"/>
      <w:r>
        <w:t xml:space="preserve">18. ISRO, Chandrayaan-3 Mission Press Kit, Bengaluru, July 2023; W. Singh, S. K. Bandyopadhyay, and K. Sivan,</w:t>
      </w:r>
      <w:r>
        <w:t xml:space="preserve"> </w:t>
      </w:r>
      <w:r>
        <w:t xml:space="preserve">“Chandrayaan-3 mission overview,”</w:t>
      </w:r>
      <w:r>
        <w:t xml:space="preserve"> </w:t>
      </w:r>
      <w:r>
        <w:t xml:space="preserve">Acta Astronautica, vol. 215, pp. 75 to 84, 2024.</w:t>
      </w:r>
    </w:p>
    <w:p>
      <w:pPr>
        <w:pStyle w:val="BodyText"/>
      </w:pPr>
      <w:bookmarkStart w:id="90" w:name="ref-19"/>
      <w:bookmarkEnd w:id="90"/>
      <w:r>
        <w:t xml:space="preserve">19. JAXA, SLIM Mission Press Kit, Tokyo, September 2023; S. Sakai, M. Yoshikawa, and Y. Kawaguchi,</w:t>
      </w:r>
      <w:r>
        <w:t xml:space="preserve"> </w:t>
      </w:r>
      <w:r>
        <w:t xml:space="preserve">“SLIM pinpoint lunar landing mission overview,”</w:t>
      </w:r>
      <w:r>
        <w:t xml:space="preserve"> </w:t>
      </w:r>
      <w:r>
        <w:t xml:space="preserve">Acta Astronautica, vol. 220, pp. 364 to 373, 2024.</w:t>
      </w:r>
    </w:p>
    <w:p>
      <w:pPr>
        <w:pStyle w:val="BodyText"/>
      </w:pPr>
      <w:bookmarkStart w:id="91" w:name="ref-20"/>
      <w:bookmarkEnd w:id="91"/>
      <w:r>
        <w:t xml:space="preserve">20. Advanced Space and Tyvak, CAPSTONE Mission Press Kit and post-arrival mission release, Westminster, CO, June and November 2022.</w:t>
      </w:r>
    </w:p>
    <w:bookmarkEnd w:id="92"/>
    <w:bookmarkStart w:id="93"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sty m:val="p"/>
                    </m:rPr>
                    <m:t>P</m:t>
                  </m:r>
                  <m:r>
                    <m:rPr>
                      <m:sty m:val="p"/>
                    </m:rPr>
                    <m:t>o</m:t>
                  </m:r>
                  <m:r>
                    <m:rPr>
                      <m:sty m:val="p"/>
                    </m:rPr>
                    <m:t>l</m:t>
                  </m:r>
                  <m:r>
                    <m:rPr>
                      <m:sty m:val="p"/>
                    </m:rPr>
                    <m:t>a</m:t>
                  </m:r>
                  <m:r>
                    <m:rPr>
                      <m:sty m:val="p"/>
                    </m:rPr>
                    <m:t>r</m:t>
                  </m:r>
                </m:e>
                <m:sub>
                  <m:r>
                    <m:t>i</m:t>
                  </m:r>
                </m:sub>
              </m:sSub>
              <m:r>
                <m:rPr>
                  <m:sty m:val="p"/>
                </m:rPr>
                <m:t>+</m:t>
              </m:r>
              <m:sSub>
                <m:e>
                  <m:r>
                    <m:t>β</m:t>
                  </m:r>
                </m:e>
                <m:sub>
                  <m:r>
                    <m:t>2</m:t>
                  </m:r>
                </m:sub>
              </m:sSub>
              <m:r>
                <m:t> </m:t>
              </m:r>
              <m:sSub>
                <m:e>
                  <m:r>
                    <m:rPr>
                      <m:sty m:val="p"/>
                    </m:rPr>
                    <m:t>N</m:t>
                  </m:r>
                  <m:r>
                    <m:rPr>
                      <m:sty m:val="p"/>
                    </m:rPr>
                    <m:t>R</m:t>
                  </m:r>
                  <m:r>
                    <m:rPr>
                      <m:sty m:val="p"/>
                    </m:rPr>
                    <m:t>H</m:t>
                  </m:r>
                  <m:r>
                    <m:rPr>
                      <m:sty m:val="p"/>
                    </m:rPr>
                    <m:t>O</m:t>
                  </m:r>
                </m:e>
                <m:sub>
                  <m:r>
                    <m:t>i</m:t>
                  </m:r>
                </m:sub>
              </m:sSub>
              <m:r>
                <m:rPr>
                  <m:sty m:val="p"/>
                </m:rPr>
                <m:t>+</m:t>
              </m:r>
              <m:sSub>
                <m:e>
                  <m:r>
                    <m:t>β</m:t>
                  </m:r>
                </m:e>
                <m:sub>
                  <m:r>
                    <m:t>3</m:t>
                  </m:r>
                </m:sub>
              </m:sSub>
              <m:r>
                <m:t> </m:t>
              </m:r>
              <m:sSub>
                <m:e>
                  <m:r>
                    <m:rPr>
                      <m:sty m:val="p"/>
                    </m:rPr>
                    <m:t>C</m:t>
                  </m:r>
                  <m:r>
                    <m:rPr>
                      <m:sty m:val="p"/>
                    </m:rPr>
                    <m:t>a</m:t>
                  </m:r>
                  <m:r>
                    <m:rPr>
                      <m:sty m:val="p"/>
                    </m:rPr>
                    <m:t>r</m:t>
                  </m:r>
                  <m:r>
                    <m:rPr>
                      <m:sty m:val="p"/>
                    </m:rPr>
                    <m:t>g</m:t>
                  </m:r>
                  <m:r>
                    <m:rPr>
                      <m:sty m:val="p"/>
                    </m:rPr>
                    <m:t>o</m:t>
                  </m:r>
                </m:e>
                <m:sub>
                  <m:r>
                    <m:t>i</m:t>
                  </m:r>
                </m:sub>
              </m:sSub>
              <m:r>
                <m:rPr>
                  <m:sty m:val="p"/>
                </m:rPr>
                <m:t>+</m:t>
              </m:r>
              <m:sSub>
                <m:e>
                  <m:r>
                    <m:t>β</m:t>
                  </m:r>
                </m:e>
                <m:sub>
                  <m:r>
                    <m:t>4</m:t>
                  </m:r>
                </m:sub>
              </m:sSub>
              <m:r>
                <m:t> </m:t>
              </m:r>
              <m:sSub>
                <m:e>
                  <m:r>
                    <m:rPr>
                      <m:sty m:val="p"/>
                    </m:rPr>
                    <m:t>S</m:t>
                  </m:r>
                  <m:r>
                    <m:rPr>
                      <m:sty m:val="p"/>
                    </m:rPr>
                    <m:t>u</m:t>
                  </m:r>
                  <m:r>
                    <m:rPr>
                      <m:sty m:val="p"/>
                    </m:rPr>
                    <m:t>p</m:t>
                  </m:r>
                  <m:r>
                    <m:rPr>
                      <m:sty m:val="p"/>
                    </m:rPr>
                    <m:t>p</m:t>
                  </m:r>
                  <m:r>
                    <m:rPr>
                      <m:sty m:val="p"/>
                    </m:rPr>
                    <m:t>l</m:t>
                  </m:r>
                  <m:r>
                    <m:rPr>
                      <m:sty m:val="p"/>
                    </m:rPr>
                    <m:t>y</m:t>
                  </m:r>
                </m:e>
                <m:sub>
                  <m:r>
                    <m:t>i</m:t>
                  </m:r>
                </m:sub>
              </m:sSub>
            </m:e>
          </m:d>
        </m:oMath>
      </m:oMathPara>
    </w:p>
    <w:bookmarkEnd w:id="93"/>
    <w:bookmarkStart w:id="97"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polar_node</w:t>
            </w:r>
          </w:p>
        </w:tc>
        <w:tc>
          <w:tcPr>
            <w:tcW w:w="0" w:type="auto"/>
          </w:tcPr>
          <w:p>
            <w:pPr>
              <w:spacing w:line="240" w:lineRule="auto" w:before="0" w:after="0"/>
              <w:pStyle w:val="Compact"/>
            </w:pPr>
            <w:r>
              <w:rPr>
                <w:sz w:val="20"/>
                <w:szCs w:val="20"/>
              </w:rPr>
              <w:t xml:space="preserve">0.6617</w:t>
            </w:r>
          </w:p>
        </w:tc>
        <w:tc>
          <w:tcPr>
            <w:tcW w:w="0" w:type="auto"/>
          </w:tcPr>
          <w:p>
            <w:pPr>
              <w:spacing w:line="240" w:lineRule="auto" w:before="0" w:after="0"/>
              <w:pStyle w:val="Compact"/>
            </w:pPr>
            <w:r>
              <w:rPr>
                <w:sz w:val="20"/>
                <w:szCs w:val="20"/>
              </w:rPr>
              <w:t xml:space="preserve">0.5588</w:t>
            </w:r>
          </w:p>
        </w:tc>
        <w:tc>
          <w:tcPr>
            <w:tcW w:w="0" w:type="auto"/>
          </w:tcPr>
          <w:p>
            <w:pPr>
              <w:spacing w:line="240" w:lineRule="auto" w:before="0" w:after="0"/>
              <w:pStyle w:val="Compact"/>
            </w:pPr>
            <w:r>
              <w:rPr>
                <w:sz w:val="20"/>
                <w:szCs w:val="20"/>
              </w:rPr>
              <w:t xml:space="preserve">1.1842</w:t>
            </w:r>
          </w:p>
        </w:tc>
        <w:tc>
          <w:tcPr>
            <w:tcW w:w="0" w:type="auto"/>
          </w:tcPr>
          <w:p>
            <w:pPr>
              <w:spacing w:line="240" w:lineRule="auto" w:before="0" w:after="0"/>
              <w:pStyle w:val="Compact"/>
            </w:pPr>
            <w:r>
              <w:rPr>
                <w:sz w:val="20"/>
                <w:szCs w:val="20"/>
              </w:rPr>
              <w:t xml:space="preserve">0.2363</w:t>
            </w:r>
          </w:p>
        </w:tc>
        <w:tc>
          <w:tcPr>
            <w:tcW w:w="0" w:type="auto"/>
          </w:tcPr>
          <w:p>
            <w:pPr>
              <w:spacing w:line="240" w:lineRule="auto" w:before="0" w:after="0"/>
              <w:pStyle w:val="Compact"/>
            </w:pPr>
            <w:r>
              <w:rPr>
                <w:sz w:val="20"/>
                <w:szCs w:val="20"/>
              </w:rPr>
              <w:t xml:space="preserve">[-0.4335, 1.757]</w:t>
            </w:r>
          </w:p>
        </w:tc>
        <w:tc>
          <w:tcPr>
            <w:tcW w:w="0" w:type="auto"/>
          </w:tcPr>
          <w:p>
            <w:pPr>
              <w:spacing w:line="240" w:lineRule="auto" w:before="0" w:after="0"/>
              <w:pStyle w:val="Compact"/>
            </w:pPr>
            <w:r>
              <w:rPr>
                <w:sz w:val="20"/>
                <w:szCs w:val="20"/>
              </w:rPr>
              <w:t xml:space="preserve">1.9381</w:t>
            </w:r>
          </w:p>
        </w:tc>
      </w:tr>
      <w:tr>
        <w:tc>
          <w:tcPr>
            <w:tcW w:w="0" w:type="auto"/>
          </w:tcPr>
          <w:p>
            <w:pPr>
              <w:spacing w:line="240" w:lineRule="auto" w:before="0" w:after="0"/>
              <w:pStyle w:val="Compact"/>
            </w:pPr>
            <w:r>
              <w:rPr>
                <w:sz w:val="20"/>
                <w:szCs w:val="20"/>
              </w:rPr>
              <w:t xml:space="preserve">nrho_node</w:t>
            </w:r>
          </w:p>
        </w:tc>
        <w:tc>
          <w:tcPr>
            <w:tcW w:w="0" w:type="auto"/>
          </w:tcPr>
          <w:p>
            <w:pPr>
              <w:spacing w:line="240" w:lineRule="auto" w:before="0" w:after="0"/>
              <w:pStyle w:val="Compact"/>
            </w:pPr>
            <w:r>
              <w:rPr>
                <w:sz w:val="20"/>
                <w:szCs w:val="20"/>
              </w:rPr>
              <w:t xml:space="preserve">0.979</w:t>
            </w:r>
          </w:p>
        </w:tc>
        <w:tc>
          <w:tcPr>
            <w:tcW w:w="0" w:type="auto"/>
          </w:tcPr>
          <w:p>
            <w:pPr>
              <w:spacing w:line="240" w:lineRule="auto" w:before="0" w:after="0"/>
              <w:pStyle w:val="Compact"/>
            </w:pPr>
            <w:r>
              <w:rPr>
                <w:sz w:val="20"/>
                <w:szCs w:val="20"/>
              </w:rPr>
              <w:t xml:space="preserve">1.4659</w:t>
            </w:r>
          </w:p>
        </w:tc>
        <w:tc>
          <w:tcPr>
            <w:tcW w:w="0" w:type="auto"/>
          </w:tcPr>
          <w:p>
            <w:pPr>
              <w:spacing w:line="240" w:lineRule="auto" w:before="0" w:after="0"/>
              <w:pStyle w:val="Compact"/>
            </w:pPr>
            <w:r>
              <w:rPr>
                <w:sz w:val="20"/>
                <w:szCs w:val="20"/>
              </w:rPr>
              <w:t xml:space="preserve">0.6679</w:t>
            </w:r>
          </w:p>
        </w:tc>
        <w:tc>
          <w:tcPr>
            <w:tcW w:w="0" w:type="auto"/>
          </w:tcPr>
          <w:p>
            <w:pPr>
              <w:spacing w:line="240" w:lineRule="auto" w:before="0" w:after="0"/>
              <w:pStyle w:val="Compact"/>
            </w:pPr>
            <w:r>
              <w:rPr>
                <w:sz w:val="20"/>
                <w:szCs w:val="20"/>
              </w:rPr>
              <w:t xml:space="preserve">0.5042</w:t>
            </w:r>
          </w:p>
        </w:tc>
        <w:tc>
          <w:tcPr>
            <w:tcW w:w="0" w:type="auto"/>
          </w:tcPr>
          <w:p>
            <w:pPr>
              <w:spacing w:line="240" w:lineRule="auto" w:before="0" w:after="0"/>
              <w:pStyle w:val="Compact"/>
            </w:pPr>
            <w:r>
              <w:rPr>
                <w:sz w:val="20"/>
                <w:szCs w:val="20"/>
              </w:rPr>
              <w:t xml:space="preserve">[-1.8941, 3.8521]</w:t>
            </w:r>
          </w:p>
        </w:tc>
        <w:tc>
          <w:tcPr>
            <w:tcW w:w="0" w:type="auto"/>
          </w:tcPr>
          <w:p>
            <w:pPr>
              <w:spacing w:line="240" w:lineRule="auto" w:before="0" w:after="0"/>
              <w:pStyle w:val="Compact"/>
            </w:pPr>
            <w:r>
              <w:rPr>
                <w:sz w:val="20"/>
                <w:szCs w:val="20"/>
              </w:rPr>
              <w:t xml:space="preserve">2.6618</w:t>
            </w:r>
          </w:p>
        </w:tc>
      </w:tr>
      <w:tr>
        <w:tc>
          <w:tcPr>
            <w:tcW w:w="0" w:type="auto"/>
          </w:tcPr>
          <w:p>
            <w:pPr>
              <w:spacing w:line="240" w:lineRule="auto" w:before="0" w:after="0"/>
              <w:pStyle w:val="Compact"/>
            </w:pPr>
            <w:r>
              <w:rPr>
                <w:sz w:val="20"/>
                <w:szCs w:val="20"/>
              </w:rPr>
              <w:t xml:space="preserve">cargo_class</w:t>
            </w:r>
          </w:p>
        </w:tc>
        <w:tc>
          <w:tcPr>
            <w:tcW w:w="0" w:type="auto"/>
          </w:tcPr>
          <w:p>
            <w:pPr>
              <w:spacing w:line="240" w:lineRule="auto" w:before="0" w:after="0"/>
              <w:pStyle w:val="Compact"/>
            </w:pPr>
            <w:r>
              <w:rPr>
                <w:sz w:val="20"/>
                <w:szCs w:val="20"/>
              </w:rPr>
              <w:t xml:space="preserve">-1.1034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-1.554</w:t>
            </w:r>
          </w:p>
        </w:tc>
        <w:tc>
          <w:tcPr>
            <w:tcW w:w="0" w:type="auto"/>
          </w:tcPr>
          <w:p>
            <w:pPr>
              <w:spacing w:line="240" w:lineRule="auto" w:before="0" w:after="0"/>
              <w:pStyle w:val="Compact"/>
            </w:pPr>
            <w:r>
              <w:rPr>
                <w:sz w:val="20"/>
                <w:szCs w:val="20"/>
              </w:rPr>
              <w:t xml:space="preserve">0.1202</w:t>
            </w:r>
          </w:p>
        </w:tc>
        <w:tc>
          <w:tcPr>
            <w:tcW w:w="0" w:type="auto"/>
          </w:tcPr>
          <w:p>
            <w:pPr>
              <w:spacing w:line="240" w:lineRule="auto" w:before="0" w:after="0"/>
              <w:pStyle w:val="Compact"/>
            </w:pPr>
            <w:r>
              <w:rPr>
                <w:sz w:val="20"/>
                <w:szCs w:val="20"/>
              </w:rPr>
              <w:t xml:space="preserve">[-2.495, 0.2882]</w:t>
            </w:r>
          </w:p>
        </w:tc>
        <w:tc>
          <w:tcPr>
            <w:tcW w:w="0" w:type="auto"/>
          </w:tcPr>
          <w:p>
            <w:pPr>
              <w:spacing w:line="240" w:lineRule="auto" w:before="0" w:after="0"/>
              <w:pStyle w:val="Compact"/>
            </w:pPr>
            <w:r>
              <w:rPr>
                <w:sz w:val="20"/>
                <w:szCs w:val="20"/>
              </w:rPr>
              <w:t xml:space="preserve">0.3318</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-5.0063</w:t>
            </w:r>
          </w:p>
        </w:tc>
        <w:tc>
          <w:tcPr>
            <w:tcW w:w="0" w:type="auto"/>
          </w:tcPr>
          <w:p>
            <w:pPr>
              <w:spacing w:line="240" w:lineRule="auto" w:before="0" w:after="0"/>
              <w:pStyle w:val="Compact"/>
            </w:pPr>
            <w:r>
              <w:rPr>
                <w:sz w:val="20"/>
                <w:szCs w:val="20"/>
              </w:rPr>
              <w:t xml:space="preserve">3.7565</w:t>
            </w:r>
          </w:p>
        </w:tc>
        <w:tc>
          <w:tcPr>
            <w:tcW w:w="0" w:type="auto"/>
          </w:tcPr>
          <w:p>
            <w:pPr>
              <w:spacing w:line="240" w:lineRule="auto" w:before="0" w:after="0"/>
              <w:pStyle w:val="Compact"/>
            </w:pPr>
            <w:r>
              <w:rPr>
                <w:sz w:val="20"/>
                <w:szCs w:val="20"/>
              </w:rPr>
              <w:t xml:space="preserve">-1.3327</w:t>
            </w:r>
          </w:p>
        </w:tc>
        <w:tc>
          <w:tcPr>
            <w:tcW w:w="0" w:type="auto"/>
          </w:tcPr>
          <w:p>
            <w:pPr>
              <w:spacing w:line="240" w:lineRule="auto" w:before="0" w:after="0"/>
              <w:pStyle w:val="Compact"/>
            </w:pPr>
            <w:r>
              <w:rPr>
                <w:sz w:val="20"/>
                <w:szCs w:val="20"/>
              </w:rPr>
              <w:t xml:space="preserve">0.1826</w:t>
            </w:r>
          </w:p>
        </w:tc>
        <w:tc>
          <w:tcPr>
            <w:tcW w:w="0" w:type="auto"/>
          </w:tcPr>
          <w:p>
            <w:pPr>
              <w:spacing w:line="240" w:lineRule="auto" w:before="0" w:after="0"/>
              <w:pStyle w:val="Compact"/>
            </w:pPr>
            <w:r>
              <w:rPr>
                <w:sz w:val="20"/>
                <w:szCs w:val="20"/>
              </w:rPr>
              <w:t xml:space="preserve">[-12.369, 2.3565]</w:t>
            </w:r>
          </w:p>
        </w:tc>
        <w:tc>
          <w:tcPr>
            <w:tcW w:w="0" w:type="auto"/>
          </w:tcPr>
          <w:p>
            <w:pPr>
              <w:spacing w:line="240" w:lineRule="auto" w:before="0" w:after="0"/>
              <w:pStyle w:val="Compact"/>
            </w:pPr>
            <w:r>
              <w:rPr>
                <w:sz w:val="20"/>
                <w:szCs w:val="20"/>
              </w:rPr>
              <w:t xml:space="preserve">0.0067</w:t>
            </w:r>
          </w:p>
        </w:tc>
      </w:tr>
    </w:tbl>
    <w:p>
      <w:pPr>
        <w:pStyle w:val="BodyText"/>
      </w:pPr>
      <w:r>
        <w:t xml:space="preserve">Fit: N = 32 events = 22</w:t>
      </w:r>
    </w:p>
    <w:p>
      <w:pPr>
        <w:pStyle w:val="CaptionedFigure"/>
      </w:pPr>
      <w:r>
        <w:drawing>
          <wp:inline>
            <wp:extent cx="5669280" cy="3657600"/>
            <wp:effectExtent b="0" l="0" r="0" t="0"/>
            <wp:docPr descr="Figure 1. Program duration to first flight against propellant supply geometry index across 32 lunar and cislunar programs drawn from NASA, GAO Major Project Assessments, and international space-agency press kits. Censored programs (event=0) are still in development or were cancelled prior to flight." title="" id="95" name="Picture"/>
            <a:graphic>
              <a:graphicData uri="http://schemas.openxmlformats.org/drawingml/2006/picture">
                <pic:pic>
                  <pic:nvPicPr>
                    <pic:cNvPr descr="D:\Claude_Code\brain\collegium\candidates\dissertations\CISLUNAR_DEV_08\research_papers\p2\paper_fig1.png" id="96" name="Picture"/>
                    <pic:cNvPicPr>
                      <a:picLocks noChangeArrowheads="1" noChangeAspect="1"/>
                    </pic:cNvPicPr>
                  </pic:nvPicPr>
                  <pic:blipFill>
                    <a:blip r:embed="rId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Program duration to first flight against propellant supply geometry index across 32 lunar and cislunar programs drawn from NASA, GAO Major Project Assessments, and international space-agency press kits. Censored programs (event=0) are still in development or were cancelled prior to flight.</w:t>
      </w:r>
    </w:p>
    <w:bookmarkEnd w:id="97"/>
    <w:bookmarkStart w:id="10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polar_node</w:t>
            </w:r>
          </w:p>
        </w:tc>
        <w:tc>
          <w:tcPr>
            <w:tcW w:w="0" w:type="auto"/>
          </w:tcPr>
          <w:p>
            <w:pPr>
              <w:spacing w:line="240" w:lineRule="auto" w:before="0" w:after="0"/>
              <w:pStyle w:val="Compact"/>
            </w:pPr>
            <w:r>
              <w:rPr>
                <w:sz w:val="20"/>
                <w:szCs w:val="20"/>
              </w:rPr>
              <w:t xml:space="preserve">nrho_node</w:t>
            </w:r>
          </w:p>
        </w:tc>
        <w:tc>
          <w:tcPr>
            <w:tcW w:w="0" w:type="auto"/>
          </w:tcPr>
          <w:p>
            <w:pPr>
              <w:spacing w:line="240" w:lineRule="auto" w:before="0" w:after="0"/>
              <w:pStyle w:val="Compact"/>
            </w:pPr>
            <w:r>
              <w:rPr>
                <w:sz w:val="20"/>
                <w:szCs w:val="20"/>
              </w:rPr>
              <w:t xml:space="preserve">cargo_class</w:t>
            </w:r>
          </w:p>
        </w:tc>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Artemis I</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NASA Artemis I Press Kit Nov 2022; GAO-22-105212 NASA Major Projects March 2022</w:t>
            </w:r>
          </w:p>
        </w:tc>
      </w:tr>
      <w:tr>
        <w:tc>
          <w:tcPr>
            <w:tcW w:w="0" w:type="auto"/>
          </w:tcPr>
          <w:p>
            <w:pPr>
              <w:spacing w:line="240" w:lineRule="auto" w:before="0" w:after="0"/>
              <w:pStyle w:val="Compact"/>
            </w:pPr>
            <w:r>
              <w:rPr>
                <w:sz w:val="20"/>
                <w:szCs w:val="20"/>
              </w:rPr>
              <w:t xml:space="preserve">Artemis II</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GAO-25-107591 NASA Assessments of Major Projects May 2025</w:t>
            </w:r>
          </w:p>
        </w:tc>
      </w:tr>
      <w:tr>
        <w:tc>
          <w:tcPr>
            <w:tcW w:w="0" w:type="auto"/>
          </w:tcPr>
          <w:p>
            <w:pPr>
              <w:spacing w:line="240" w:lineRule="auto" w:before="0" w:after="0"/>
              <w:pStyle w:val="Compact"/>
            </w:pPr>
            <w:r>
              <w:rPr>
                <w:sz w:val="20"/>
                <w:szCs w:val="20"/>
              </w:rPr>
              <w:t xml:space="preserve">Artemis III</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GAO-25-107591 NASA Assessments of Major Projects May 2025</w:t>
            </w:r>
          </w:p>
        </w:tc>
      </w:tr>
      <w:tr>
        <w:tc>
          <w:tcPr>
            <w:tcW w:w="0" w:type="auto"/>
          </w:tcPr>
          <w:p>
            <w:pPr>
              <w:spacing w:line="240" w:lineRule="auto" w:before="0" w:after="0"/>
              <w:pStyle w:val="Compact"/>
            </w:pPr>
            <w:r>
              <w:rPr>
                <w:sz w:val="20"/>
                <w:szCs w:val="20"/>
              </w:rPr>
              <w:t xml:space="preserve">Gateway PPE-HALO</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GAO-25-107591 NASA Assessments of Major Projects May 2025; NASA Gateway program page 2024</w:t>
            </w:r>
          </w:p>
        </w:tc>
      </w:tr>
      <w:tr>
        <w:tc>
          <w:tcPr>
            <w:tcW w:w="0" w:type="auto"/>
          </w:tcPr>
          <w:p>
            <w:pPr>
              <w:spacing w:line="240" w:lineRule="auto" w:before="0" w:after="0"/>
              <w:pStyle w:val="Compact"/>
            </w:pPr>
            <w:r>
              <w:rPr>
                <w:sz w:val="20"/>
                <w:szCs w:val="20"/>
              </w:rPr>
              <w:t xml:space="preserve">HLS Starship</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NASA HLS Option A award April 2021; GAO-24-106767 NASA Major Projects May 2024</w:t>
            </w:r>
          </w:p>
        </w:tc>
      </w:tr>
      <w:tr>
        <w:tc>
          <w:tcPr>
            <w:tcW w:w="0" w:type="auto"/>
          </w:tcPr>
          <w:p>
            <w:pPr>
              <w:spacing w:line="240" w:lineRule="auto" w:before="0" w:after="0"/>
              <w:pStyle w:val="Compact"/>
            </w:pPr>
            <w:r>
              <w:rPr>
                <w:sz w:val="20"/>
                <w:szCs w:val="20"/>
              </w:rPr>
              <w:t xml:space="preserve">HLS Blue Moon</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NASA HLS Sustained Lunar Development award May 2023; GAO-25-107591</w:t>
            </w:r>
          </w:p>
        </w:tc>
      </w:tr>
      <w:tr>
        <w:tc>
          <w:tcPr>
            <w:tcW w:w="0" w:type="auto"/>
          </w:tcPr>
          <w:p>
            <w:pPr>
              <w:spacing w:line="240" w:lineRule="auto" w:before="0" w:after="0"/>
              <w:pStyle w:val="Compact"/>
            </w:pPr>
            <w:r>
              <w:rPr>
                <w:sz w:val="20"/>
                <w:szCs w:val="20"/>
              </w:rPr>
              <w:t xml:space="preserve">CLPS IM-1 Nova-C</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CLPS task order 2-AB May 2019; Intuitive Machines IM-1 press kit Feb 2024</w:t>
            </w:r>
          </w:p>
        </w:tc>
      </w:tr>
      <w:tr>
        <w:tc>
          <w:tcPr>
            <w:tcW w:w="0" w:type="auto"/>
          </w:tcPr>
          <w:p>
            <w:pPr>
              <w:spacing w:line="240" w:lineRule="auto" w:before="0" w:after="0"/>
              <w:pStyle w:val="Compact"/>
            </w:pPr>
            <w:r>
              <w:rPr>
                <w:sz w:val="20"/>
                <w:szCs w:val="20"/>
              </w:rPr>
              <w:t xml:space="preserve">CLPS Peregrine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NASA CLPS task order 19C May 2019; Astrobotic Peregrine press kit Jan 2024</w:t>
            </w:r>
          </w:p>
        </w:tc>
      </w:tr>
      <w:tr>
        <w:tc>
          <w:tcPr>
            <w:tcW w:w="0" w:type="auto"/>
          </w:tcPr>
          <w:p>
            <w:pPr>
              <w:spacing w:line="240" w:lineRule="auto" w:before="0" w:after="0"/>
              <w:pStyle w:val="Compact"/>
            </w:pPr>
            <w:r>
              <w:rPr>
                <w:sz w:val="20"/>
                <w:szCs w:val="20"/>
              </w:rPr>
              <w:t xml:space="preserve">CLPS IM-2 Athena</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NASA CLPS task order CP-11 Oct 2020; Intuitive Machines IM-2 press release Mar 2025</w:t>
            </w:r>
          </w:p>
        </w:tc>
      </w:tr>
      <w:tr>
        <w:tc>
          <w:tcPr>
            <w:tcW w:w="0" w:type="auto"/>
          </w:tcPr>
          <w:p>
            <w:pPr>
              <w:spacing w:line="240" w:lineRule="auto" w:before="0" w:after="0"/>
              <w:pStyle w:val="Compact"/>
            </w:pPr>
            <w:r>
              <w:rPr>
                <w:sz w:val="20"/>
                <w:szCs w:val="20"/>
              </w:rPr>
              <w:t xml:space="preserve">CLPS Blue Ghost M1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CLPS task order CP-18 Feb 2021; Firefly Aerospace Blue Ghost press kit Mar 2025</w:t>
            </w:r>
          </w:p>
        </w:tc>
      </w:tr>
      <w:tr>
        <w:tc>
          <w:tcPr>
            <w:tcW w:w="0" w:type="auto"/>
          </w:tcPr>
          <w:p>
            <w:pPr>
              <w:spacing w:line="240" w:lineRule="auto" w:before="0" w:after="0"/>
              <w:pStyle w:val="Compact"/>
            </w:pPr>
            <w:r>
              <w:rPr>
                <w:sz w:val="20"/>
                <w:szCs w:val="20"/>
              </w:rPr>
              <w:t xml:space="preserve">CLPS VIPER</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NASA CLPS task order Apr 2020; NASA VIPER cancellation announcement July 2024; GAO-25-107591</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NASA LRO Press Kit June 2009; NASA NSSDCA 2009-031A</w:t>
            </w:r>
          </w:p>
        </w:tc>
      </w:tr>
      <w:tr>
        <w:tc>
          <w:tcPr>
            <w:tcW w:w="0" w:type="auto"/>
          </w:tcPr>
          <w:p>
            <w:pPr>
              <w:spacing w:line="240" w:lineRule="auto" w:before="0" w:after="0"/>
              <w:pStyle w:val="Compact"/>
            </w:pPr>
            <w:r>
              <w:rPr>
                <w:sz w:val="20"/>
                <w:szCs w:val="20"/>
              </w:rPr>
              <w:t xml:space="preserve">LCROSS</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NASA LCROSS Press Kit June 2009; NASA NSSDCA 2009-031B</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NASA GRAIL Press Kit Sept 2011; NASA NSSDCA 2011-046A</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NASA LADEE Press Kit Sept 2013; NASA NSSDCA 2013-047A</w:t>
            </w:r>
          </w:p>
        </w:tc>
      </w:tr>
      <w:tr>
        <w:tc>
          <w:tcPr>
            <w:tcW w:w="0" w:type="auto"/>
          </w:tcPr>
          <w:p>
            <w:pPr>
              <w:spacing w:line="240" w:lineRule="auto" w:before="0" w:after="0"/>
              <w:pStyle w:val="Compact"/>
            </w:pPr>
            <w:r>
              <w:rPr>
                <w:sz w:val="20"/>
                <w:szCs w:val="20"/>
              </w:rPr>
              <w:t xml:space="preserve">Change3</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CNSA Chang’e 3 mission release Dec 2013; Acta Astronautica 100 (2014) 89-91</w:t>
            </w:r>
          </w:p>
        </w:tc>
      </w:tr>
      <w:tr>
        <w:tc>
          <w:tcPr>
            <w:tcW w:w="0" w:type="auto"/>
          </w:tcPr>
          <w:p>
            <w:pPr>
              <w:spacing w:line="240" w:lineRule="auto" w:before="0" w:after="0"/>
              <w:pStyle w:val="Compact"/>
            </w:pPr>
            <w:r>
              <w:rPr>
                <w:sz w:val="20"/>
                <w:szCs w:val="20"/>
              </w:rPr>
              <w:t xml:space="preserve">Change4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CNSA Chang’e 4 mission release Jan 2019; Acta Astronautica 162 (2019) 113-123</w:t>
            </w:r>
          </w:p>
        </w:tc>
      </w:tr>
      <w:tr>
        <w:tc>
          <w:tcPr>
            <w:tcW w:w="0" w:type="auto"/>
          </w:tcPr>
          <w:p>
            <w:pPr>
              <w:spacing w:line="240" w:lineRule="auto" w:before="0" w:after="0"/>
              <w:pStyle w:val="Compact"/>
            </w:pPr>
            <w:r>
              <w:rPr>
                <w:sz w:val="20"/>
                <w:szCs w:val="20"/>
              </w:rPr>
              <w:t xml:space="preserve">Change5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CNSA Chang’e 5 mission release Dec 2020; Acta Astronautica 187 (2021) 207-219</w:t>
            </w:r>
          </w:p>
        </w:tc>
      </w:tr>
      <w:tr>
        <w:tc>
          <w:tcPr>
            <w:tcW w:w="0" w:type="auto"/>
          </w:tcPr>
          <w:p>
            <w:pPr>
              <w:spacing w:line="240" w:lineRule="auto" w:before="0" w:after="0"/>
              <w:pStyle w:val="Compact"/>
            </w:pPr>
            <w:r>
              <w:rPr>
                <w:sz w:val="20"/>
                <w:szCs w:val="20"/>
              </w:rPr>
              <w:t xml:space="preserve">Change6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CNSA Chang’e 6 mission release June 2024; Acta Astronautica 234 (2025) 1-12</w:t>
            </w:r>
          </w:p>
        </w:tc>
      </w:tr>
      <w:tr>
        <w:tc>
          <w:tcPr>
            <w:tcW w:w="0" w:type="auto"/>
          </w:tcPr>
          <w:p>
            <w:pPr>
              <w:spacing w:line="240" w:lineRule="auto" w:before="0" w:after="0"/>
              <w:pStyle w:val="Compact"/>
            </w:pPr>
            <w:r>
              <w:rPr>
                <w:sz w:val="20"/>
                <w:szCs w:val="20"/>
              </w:rPr>
              <w:t xml:space="preserve">Chandrayaan2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ISRO Chandrayaan-2 press kit July 2019; Acta Astronautica 167 (2020) 365-376</w:t>
            </w:r>
          </w:p>
        </w:tc>
      </w:tr>
      <w:tr>
        <w:tc>
          <w:tcPr>
            <w:tcW w:w="0" w:type="auto"/>
          </w:tcPr>
          <w:p>
            <w:pPr>
              <w:spacing w:line="240" w:lineRule="auto" w:before="0" w:after="0"/>
              <w:pStyle w:val="Compact"/>
            </w:pPr>
            <w:r>
              <w:rPr>
                <w:sz w:val="20"/>
                <w:szCs w:val="20"/>
              </w:rPr>
              <w:t xml:space="preserve">Chandrayaan3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ISRO Chandrayaan-3 press kit July 2023; Acta Astronautica 215 (2024) 75-84</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JAXA SLIM press kit Sept 2023; Acta Astronautica 220 (2024) 364-373</w:t>
            </w:r>
          </w:p>
        </w:tc>
      </w:tr>
      <w:tr>
        <w:tc>
          <w:tcPr>
            <w:tcW w:w="0" w:type="auto"/>
          </w:tcPr>
          <w:p>
            <w:pPr>
              <w:spacing w:line="240" w:lineRule="auto" w:before="0" w:after="0"/>
              <w:pStyle w:val="Compact"/>
            </w:pPr>
            <w:r>
              <w:rPr>
                <w:sz w:val="20"/>
                <w:szCs w:val="20"/>
              </w:rPr>
              <w:t xml:space="preserve">KPLO Danuri</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KARI KPLO press kit Aug 2022; Acta Astronautica 211 (2023) 234-243</w:t>
            </w:r>
          </w:p>
        </w:tc>
      </w:tr>
      <w:tr>
        <w:tc>
          <w:tcPr>
            <w:tcW w:w="0" w:type="auto"/>
          </w:tcPr>
          <w:p>
            <w:pPr>
              <w:spacing w:line="240" w:lineRule="auto" w:before="0" w:after="0"/>
              <w:pStyle w:val="Compact"/>
            </w:pPr>
            <w:r>
              <w:rPr>
                <w:sz w:val="20"/>
                <w:szCs w:val="20"/>
              </w:rPr>
              <w:t xml:space="preserve">Hakuto-R M1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ispace Hakuto-R M1 press kit Dec 2022; Acta Astronautica 207 (2023) 416-425</w:t>
            </w:r>
          </w:p>
        </w:tc>
      </w:tr>
      <w:tr>
        <w:tc>
          <w:tcPr>
            <w:tcW w:w="0" w:type="auto"/>
          </w:tcPr>
          <w:p>
            <w:pPr>
              <w:spacing w:line="240" w:lineRule="auto" w:before="0" w:after="0"/>
              <w:pStyle w:val="Compact"/>
            </w:pPr>
            <w:r>
              <w:rPr>
                <w:sz w:val="20"/>
                <w:szCs w:val="20"/>
              </w:rPr>
              <w:t xml:space="preserve">Hakuto-R M2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ispace mission 2 press release Sept 2024; ispace Resilience overview</w:t>
            </w:r>
          </w:p>
        </w:tc>
      </w:tr>
      <w:tr>
        <w:tc>
          <w:tcPr>
            <w:tcW w:w="0" w:type="auto"/>
          </w:tcPr>
          <w:p>
            <w:pPr>
              <w:spacing w:line="240" w:lineRule="auto" w:before="0" w:after="0"/>
              <w:pStyle w:val="Compact"/>
            </w:pPr>
            <w:r>
              <w:rPr>
                <w:sz w:val="20"/>
                <w:szCs w:val="20"/>
              </w:rPr>
              <w:t xml:space="preserve">Luna25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Roscosmos Luna 25 release Aug 2023; Acta Astronautica 213 (2023) 614-625</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ESA SMART-1 press kit Sept 2003; Acta Astronautica 57 (2005) 132-141 [illustrative duration]</w:t>
            </w:r>
          </w:p>
        </w:tc>
      </w:tr>
      <w:tr>
        <w:tc>
          <w:tcPr>
            <w:tcW w:w="0" w:type="auto"/>
          </w:tcPr>
          <w:p>
            <w:pPr>
              <w:spacing w:line="240" w:lineRule="auto" w:before="0" w:after="0"/>
              <w:pStyle w:val="Compact"/>
            </w:pPr>
            <w:r>
              <w:rPr>
                <w:sz w:val="20"/>
                <w:szCs w:val="20"/>
              </w:rPr>
              <w:t xml:space="preserve">Lunar Trailblazer</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NASA SIMPLEx selection 2019; NASA Lunar Trailblazer press kit Feb 2025</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NASA CAPSTONE press kit June 2022; Advanced Space CAPSTONE release Nov 2022</w:t>
            </w:r>
          </w:p>
        </w:tc>
      </w:tr>
      <w:tr>
        <w:tc>
          <w:tcPr>
            <w:tcW w:w="0" w:type="auto"/>
          </w:tcPr>
          <w:p>
            <w:pPr>
              <w:spacing w:line="240" w:lineRule="auto" w:before="0" w:after="0"/>
              <w:pStyle w:val="Compact"/>
            </w:pPr>
            <w:r>
              <w:rPr>
                <w:sz w:val="20"/>
                <w:szCs w:val="20"/>
              </w:rPr>
              <w:t xml:space="preserve">ispace APEX</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ispace mission 3 press release 2024; Draper CLPS task order CP-12 July 2022</w:t>
            </w:r>
          </w:p>
        </w:tc>
      </w:tr>
      <w:tr>
        <w:tc>
          <w:tcPr>
            <w:tcW w:w="0" w:type="auto"/>
          </w:tcPr>
          <w:p>
            <w:pPr>
              <w:spacing w:line="240" w:lineRule="auto" w:before="0" w:after="0"/>
              <w:pStyle w:val="Compact"/>
            </w:pPr>
            <w:r>
              <w:rPr>
                <w:sz w:val="20"/>
                <w:szCs w:val="20"/>
              </w:rPr>
              <w:t xml:space="preserve">CLPS Griffin M1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NASA CLPS task order 19D Nov 2020; Astrobotic Griffin program update 2024 [illustrative duration]</w:t>
            </w:r>
          </w:p>
        </w:tc>
      </w:tr>
      <w:tr>
        <w:tc>
          <w:tcPr>
            <w:tcW w:w="0" w:type="auto"/>
          </w:tcPr>
          <w:p>
            <w:pPr>
              <w:spacing w:line="240" w:lineRule="auto" w:before="0" w:after="0"/>
              <w:pStyle w:val="Compact"/>
            </w:pPr>
            <w:r>
              <w:rPr>
                <w:sz w:val="20"/>
                <w:szCs w:val="20"/>
              </w:rPr>
              <w:t xml:space="preserve">Lunar Pathfinder</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ESA Moonlight initiative announcement 2022; SSTL Lunar Pathfinder press release [illustrative duration]</w:t>
            </w:r>
          </w:p>
        </w:tc>
      </w:tr>
    </w:tbl>
    <w:bookmarkEnd w:id="98"/>
    <w:bookmarkStart w:id="9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Elapsed months from program authorization or contract award to first flight (event=1) or to data-cutoff censoring (event=0). Duration variable in the Cox model.</w:t>
            </w:r>
          </w:p>
        </w:tc>
        <w:tc>
          <w:tcPr>
            <w:tcW w:w="0" w:type="auto"/>
          </w:tcPr>
          <w:p>
            <w:pPr>
              <w:spacing w:line="240" w:lineRule="auto" w:before="0" w:after="0"/>
              <w:pStyle w:val="Compact"/>
            </w:pPr>
            <w:r>
              <w:rPr>
                <w:sz w:val="20"/>
                <w:szCs w:val="20"/>
              </w:rPr>
              <w:t xml:space="preserve">Computed from NASA press kits, GAO Major Project Assessments (gao-22-105212, gao-24-106767, gao-25-107591), CNSA / ISRO / JAXA / KARI mission releases, and the Acta Astronautica references listed in the source column.</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the program reached first flight by the data cutoff (October 2026); 0 if the program remained in development or was cancelled prior to flight.</w:t>
            </w:r>
          </w:p>
        </w:tc>
        <w:tc>
          <w:tcPr>
            <w:tcW w:w="0" w:type="auto"/>
          </w:tcPr>
          <w:p>
            <w:pPr>
              <w:spacing w:line="240" w:lineRule="auto" w:before="0" w:after="0"/>
              <w:pStyle w:val="Compact"/>
            </w:pPr>
            <w:r>
              <w:rPr>
                <w:sz w:val="20"/>
                <w:szCs w:val="20"/>
              </w:rPr>
              <w:t xml:space="preserve">Coded from mission press kits and the GAO Major Project Assessments cited per observation.</w:t>
            </w:r>
          </w:p>
        </w:tc>
      </w:tr>
      <w:tr>
        <w:tc>
          <w:tcPr>
            <w:tcW w:w="0" w:type="auto"/>
          </w:tcPr>
          <w:p>
            <w:pPr>
              <w:spacing w:line="240" w:lineRule="auto" w:before="0" w:after="0"/>
              <w:pStyle w:val="Compact"/>
            </w:pPr>
            <w:r>
              <w:rPr>
                <w:sz w:val="20"/>
                <w:szCs w:val="20"/>
              </w:rPr>
              <w:t xml:space="preserve">polar_node</w:t>
            </w:r>
          </w:p>
        </w:tc>
        <w:tc>
          <w:tcPr>
            <w:tcW w:w="0" w:type="auto"/>
          </w:tcPr>
          <w:p>
            <w:pPr>
              <w:spacing w:line="240" w:lineRule="auto" w:before="0" w:after="0"/>
              <w:pStyle w:val="Compact"/>
            </w:pPr>
            <w:r>
              <w:rPr>
                <w:sz w:val="20"/>
                <w:szCs w:val="20"/>
              </w:rPr>
              <w:t xml:space="preserve">Indicator equal to 1 if the program targets a lunar south-polar surface node; 0 otherwise.</w:t>
            </w:r>
          </w:p>
        </w:tc>
        <w:tc>
          <w:tcPr>
            <w:tcW w:w="0" w:type="auto"/>
          </w:tcPr>
          <w:p>
            <w:pPr>
              <w:spacing w:line="240" w:lineRule="auto" w:before="0" w:after="0"/>
              <w:pStyle w:val="Compact"/>
            </w:pPr>
            <w:r>
              <w:rPr>
                <w:sz w:val="20"/>
                <w:szCs w:val="20"/>
              </w:rPr>
              <w:t xml:space="preserve">Coded from each program’s published target landing or operating site (NASA Artemis architecture documents; CLPS task-order announcements; CNSA Chang’e 6 release; ISRO Chandrayaan-3 mission overview).</w:t>
            </w:r>
          </w:p>
        </w:tc>
      </w:tr>
      <w:tr>
        <w:tc>
          <w:tcPr>
            <w:tcW w:w="0" w:type="auto"/>
          </w:tcPr>
          <w:p>
            <w:pPr>
              <w:spacing w:line="240" w:lineRule="auto" w:before="0" w:after="0"/>
              <w:pStyle w:val="Compact"/>
            </w:pPr>
            <w:r>
              <w:rPr>
                <w:sz w:val="20"/>
                <w:szCs w:val="20"/>
              </w:rPr>
              <w:t xml:space="preserve">nrho_node</w:t>
            </w:r>
          </w:p>
        </w:tc>
        <w:tc>
          <w:tcPr>
            <w:tcW w:w="0" w:type="auto"/>
          </w:tcPr>
          <w:p>
            <w:pPr>
              <w:spacing w:line="240" w:lineRule="auto" w:before="0" w:after="0"/>
              <w:pStyle w:val="Compact"/>
            </w:pPr>
            <w:r>
              <w:rPr>
                <w:sz w:val="20"/>
                <w:szCs w:val="20"/>
              </w:rPr>
              <w:t xml:space="preserve">Indicator equal to 1 if the program operates in or transits a Near Rectilinear Halo Orbit; 0 otherwise.</w:t>
            </w:r>
          </w:p>
        </w:tc>
        <w:tc>
          <w:tcPr>
            <w:tcW w:w="0" w:type="auto"/>
          </w:tcPr>
          <w:p>
            <w:pPr>
              <w:spacing w:line="240" w:lineRule="auto" w:before="0" w:after="0"/>
              <w:pStyle w:val="Compact"/>
            </w:pPr>
            <w:r>
              <w:rPr>
                <w:sz w:val="20"/>
                <w:szCs w:val="20"/>
              </w:rPr>
              <w:t xml:space="preserve">Coded from program-of-record orbital design (NASA Artemis I-III; Gateway PPE-HALO; CAPSTONE).</w:t>
            </w:r>
          </w:p>
        </w:tc>
      </w:tr>
      <w:tr>
        <w:tc>
          <w:tcPr>
            <w:tcW w:w="0" w:type="auto"/>
          </w:tcPr>
          <w:p>
            <w:pPr>
              <w:spacing w:line="240" w:lineRule="auto" w:before="0" w:after="0"/>
              <w:pStyle w:val="Compact"/>
            </w:pPr>
            <w:r>
              <w:rPr>
                <w:sz w:val="20"/>
                <w:szCs w:val="20"/>
              </w:rPr>
              <w:t xml:space="preserve">cargo_class</w:t>
            </w:r>
          </w:p>
        </w:tc>
        <w:tc>
          <w:tcPr>
            <w:tcW w:w="0" w:type="auto"/>
          </w:tcPr>
          <w:p>
            <w:pPr>
              <w:spacing w:line="240" w:lineRule="auto" w:before="0" w:after="0"/>
              <w:pStyle w:val="Compact"/>
            </w:pPr>
            <w:r>
              <w:rPr>
                <w:sz w:val="20"/>
                <w:szCs w:val="20"/>
              </w:rPr>
              <w:t xml:space="preserve">Indicator equal to 1 if the program carries crew or large cargo (over 500 kg useful payload to the lunar surface or to NRHO); 0 otherwise.</w:t>
            </w:r>
          </w:p>
        </w:tc>
        <w:tc>
          <w:tcPr>
            <w:tcW w:w="0" w:type="auto"/>
          </w:tcPr>
          <w:p>
            <w:pPr>
              <w:spacing w:line="240" w:lineRule="auto" w:before="0" w:after="0"/>
              <w:pStyle w:val="Compact"/>
            </w:pPr>
            <w:r>
              <w:rPr>
                <w:sz w:val="20"/>
                <w:szCs w:val="20"/>
              </w:rPr>
              <w:t xml:space="preserve">Coded from each program’s published payload mass class in NASA Artemis architecture documents, HLS award descriptions, and CNSA/ISRO mission overviews.</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Index in 0 to 1 of the program’s access to an established or planned propellant supply chain to Gateway or to a lunar surface depot, drawn from the Kikuchi &amp; Ueda 2025 and Pozzi et al. 2024 propellant-architecture taxonomies.</w:t>
            </w:r>
          </w:p>
        </w:tc>
        <w:tc>
          <w:tcPr>
            <w:tcW w:w="0" w:type="auto"/>
          </w:tcPr>
          <w:p>
            <w:pPr>
              <w:spacing w:line="240" w:lineRule="auto" w:before="0" w:after="0"/>
              <w:pStyle w:val="Compact"/>
            </w:pPr>
            <w:r>
              <w:rPr>
                <w:sz w:val="20"/>
                <w:szCs w:val="20"/>
              </w:rPr>
              <w:t xml:space="preserve">Constructed by the analyst from low-thrust optimal-transfer propellant geometry results in Kikuchi &amp; Ueda (2025) and Pozzi, Pontani, Beolchi &amp; Fantino (2024); rescaled to the [0,1] interval over the observed sample.</w:t>
            </w:r>
          </w:p>
        </w:tc>
      </w:tr>
    </w:tbl>
    <w:bookmarkEnd w:id="99"/>
    <w:bookmarkStart w:id="10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polar_node</w:t>
            </w:r>
          </w:p>
        </w:tc>
        <w:tc>
          <w:tcPr>
            <w:tcW w:w="0" w:type="auto"/>
          </w:tcPr>
          <w:p>
            <w:pPr>
              <w:spacing w:line="240" w:lineRule="auto" w:before="0" w:after="0"/>
              <w:pStyle w:val="Compact"/>
            </w:pPr>
            <w:r>
              <w:rPr>
                <w:sz w:val="20"/>
                <w:szCs w:val="20"/>
              </w:rPr>
              <w:t xml:space="preserve">0.6617</w:t>
            </w:r>
          </w:p>
        </w:tc>
        <w:tc>
          <w:tcPr>
            <w:tcW w:w="0" w:type="auto"/>
          </w:tcPr>
          <w:p>
            <w:pPr>
              <w:spacing w:line="240" w:lineRule="auto" w:before="0" w:after="0"/>
              <w:pStyle w:val="Compact"/>
            </w:pPr>
            <w:r>
              <w:rPr>
                <w:sz w:val="20"/>
                <w:szCs w:val="20"/>
              </w:rPr>
              <w:t xml:space="preserve">0.5588</w:t>
            </w:r>
          </w:p>
        </w:tc>
        <w:tc>
          <w:tcPr>
            <w:tcW w:w="0" w:type="auto"/>
          </w:tcPr>
          <w:p>
            <w:pPr>
              <w:spacing w:line="240" w:lineRule="auto" w:before="0" w:after="0"/>
              <w:pStyle w:val="Compact"/>
            </w:pPr>
            <w:r>
              <w:rPr>
                <w:sz w:val="20"/>
                <w:szCs w:val="20"/>
              </w:rPr>
              <w:t xml:space="preserve">1.1842</w:t>
            </w:r>
          </w:p>
        </w:tc>
        <w:tc>
          <w:tcPr>
            <w:tcW w:w="0" w:type="auto"/>
          </w:tcPr>
          <w:p>
            <w:pPr>
              <w:spacing w:line="240" w:lineRule="auto" w:before="0" w:after="0"/>
              <w:pStyle w:val="Compact"/>
            </w:pPr>
            <w:r>
              <w:rPr>
                <w:sz w:val="20"/>
                <w:szCs w:val="20"/>
              </w:rPr>
              <w:t xml:space="preserve">0.2363</w:t>
            </w:r>
          </w:p>
        </w:tc>
        <w:tc>
          <w:tcPr>
            <w:tcW w:w="0" w:type="auto"/>
          </w:tcPr>
          <w:p>
            <w:pPr>
              <w:spacing w:line="240" w:lineRule="auto" w:before="0" w:after="0"/>
              <w:pStyle w:val="Compact"/>
            </w:pPr>
            <w:r>
              <w:rPr>
                <w:sz w:val="20"/>
                <w:szCs w:val="20"/>
              </w:rPr>
              <w:t xml:space="preserve">[-0.4335, 1.757]</w:t>
            </w:r>
          </w:p>
        </w:tc>
        <w:tc>
          <w:tcPr>
            <w:tcW w:w="0" w:type="auto"/>
          </w:tcPr>
          <w:p>
            <w:pPr>
              <w:spacing w:line="240" w:lineRule="auto" w:before="0" w:after="0"/>
              <w:pStyle w:val="Compact"/>
            </w:pPr>
            <w:r>
              <w:rPr>
                <w:sz w:val="20"/>
                <w:szCs w:val="20"/>
              </w:rPr>
              <w:t xml:space="preserve">1.9381</w:t>
            </w:r>
          </w:p>
        </w:tc>
      </w:tr>
      <w:tr>
        <w:tc>
          <w:tcPr>
            <w:tcW w:w="0" w:type="auto"/>
          </w:tcPr>
          <w:p>
            <w:pPr>
              <w:spacing w:line="240" w:lineRule="auto" w:before="0" w:after="0"/>
              <w:pStyle w:val="Compact"/>
            </w:pPr>
            <w:r>
              <w:rPr>
                <w:sz w:val="20"/>
                <w:szCs w:val="20"/>
              </w:rPr>
              <w:t xml:space="preserve">nrho_node</w:t>
            </w:r>
          </w:p>
        </w:tc>
        <w:tc>
          <w:tcPr>
            <w:tcW w:w="0" w:type="auto"/>
          </w:tcPr>
          <w:p>
            <w:pPr>
              <w:spacing w:line="240" w:lineRule="auto" w:before="0" w:after="0"/>
              <w:pStyle w:val="Compact"/>
            </w:pPr>
            <w:r>
              <w:rPr>
                <w:sz w:val="20"/>
                <w:szCs w:val="20"/>
              </w:rPr>
              <w:t xml:space="preserve">0.979</w:t>
            </w:r>
          </w:p>
        </w:tc>
        <w:tc>
          <w:tcPr>
            <w:tcW w:w="0" w:type="auto"/>
          </w:tcPr>
          <w:p>
            <w:pPr>
              <w:spacing w:line="240" w:lineRule="auto" w:before="0" w:after="0"/>
              <w:pStyle w:val="Compact"/>
            </w:pPr>
            <w:r>
              <w:rPr>
                <w:sz w:val="20"/>
                <w:szCs w:val="20"/>
              </w:rPr>
              <w:t xml:space="preserve">1.4659</w:t>
            </w:r>
          </w:p>
        </w:tc>
        <w:tc>
          <w:tcPr>
            <w:tcW w:w="0" w:type="auto"/>
          </w:tcPr>
          <w:p>
            <w:pPr>
              <w:spacing w:line="240" w:lineRule="auto" w:before="0" w:after="0"/>
              <w:pStyle w:val="Compact"/>
            </w:pPr>
            <w:r>
              <w:rPr>
                <w:sz w:val="20"/>
                <w:szCs w:val="20"/>
              </w:rPr>
              <w:t xml:space="preserve">0.6679</w:t>
            </w:r>
          </w:p>
        </w:tc>
        <w:tc>
          <w:tcPr>
            <w:tcW w:w="0" w:type="auto"/>
          </w:tcPr>
          <w:p>
            <w:pPr>
              <w:spacing w:line="240" w:lineRule="auto" w:before="0" w:after="0"/>
              <w:pStyle w:val="Compact"/>
            </w:pPr>
            <w:r>
              <w:rPr>
                <w:sz w:val="20"/>
                <w:szCs w:val="20"/>
              </w:rPr>
              <w:t xml:space="preserve">0.5042</w:t>
            </w:r>
          </w:p>
        </w:tc>
        <w:tc>
          <w:tcPr>
            <w:tcW w:w="0" w:type="auto"/>
          </w:tcPr>
          <w:p>
            <w:pPr>
              <w:spacing w:line="240" w:lineRule="auto" w:before="0" w:after="0"/>
              <w:pStyle w:val="Compact"/>
            </w:pPr>
            <w:r>
              <w:rPr>
                <w:sz w:val="20"/>
                <w:szCs w:val="20"/>
              </w:rPr>
              <w:t xml:space="preserve">[-1.8941, 3.8521]</w:t>
            </w:r>
          </w:p>
        </w:tc>
        <w:tc>
          <w:tcPr>
            <w:tcW w:w="0" w:type="auto"/>
          </w:tcPr>
          <w:p>
            <w:pPr>
              <w:spacing w:line="240" w:lineRule="auto" w:before="0" w:after="0"/>
              <w:pStyle w:val="Compact"/>
            </w:pPr>
            <w:r>
              <w:rPr>
                <w:sz w:val="20"/>
                <w:szCs w:val="20"/>
              </w:rPr>
              <w:t xml:space="preserve">2.6618</w:t>
            </w:r>
          </w:p>
        </w:tc>
      </w:tr>
      <w:tr>
        <w:tc>
          <w:tcPr>
            <w:tcW w:w="0" w:type="auto"/>
          </w:tcPr>
          <w:p>
            <w:pPr>
              <w:spacing w:line="240" w:lineRule="auto" w:before="0" w:after="0"/>
              <w:pStyle w:val="Compact"/>
            </w:pPr>
            <w:r>
              <w:rPr>
                <w:sz w:val="20"/>
                <w:szCs w:val="20"/>
              </w:rPr>
              <w:t xml:space="preserve">cargo_class</w:t>
            </w:r>
          </w:p>
        </w:tc>
        <w:tc>
          <w:tcPr>
            <w:tcW w:w="0" w:type="auto"/>
          </w:tcPr>
          <w:p>
            <w:pPr>
              <w:spacing w:line="240" w:lineRule="auto" w:before="0" w:after="0"/>
              <w:pStyle w:val="Compact"/>
            </w:pPr>
            <w:r>
              <w:rPr>
                <w:sz w:val="20"/>
                <w:szCs w:val="20"/>
              </w:rPr>
              <w:t xml:space="preserve">-1.1034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-1.554</w:t>
            </w:r>
          </w:p>
        </w:tc>
        <w:tc>
          <w:tcPr>
            <w:tcW w:w="0" w:type="auto"/>
          </w:tcPr>
          <w:p>
            <w:pPr>
              <w:spacing w:line="240" w:lineRule="auto" w:before="0" w:after="0"/>
              <w:pStyle w:val="Compact"/>
            </w:pPr>
            <w:r>
              <w:rPr>
                <w:sz w:val="20"/>
                <w:szCs w:val="20"/>
              </w:rPr>
              <w:t xml:space="preserve">0.1202</w:t>
            </w:r>
          </w:p>
        </w:tc>
        <w:tc>
          <w:tcPr>
            <w:tcW w:w="0" w:type="auto"/>
          </w:tcPr>
          <w:p>
            <w:pPr>
              <w:spacing w:line="240" w:lineRule="auto" w:before="0" w:after="0"/>
              <w:pStyle w:val="Compact"/>
            </w:pPr>
            <w:r>
              <w:rPr>
                <w:sz w:val="20"/>
                <w:szCs w:val="20"/>
              </w:rPr>
              <w:t xml:space="preserve">[-2.495, 0.2882]</w:t>
            </w:r>
          </w:p>
        </w:tc>
        <w:tc>
          <w:tcPr>
            <w:tcW w:w="0" w:type="auto"/>
          </w:tcPr>
          <w:p>
            <w:pPr>
              <w:spacing w:line="240" w:lineRule="auto" w:before="0" w:after="0"/>
              <w:pStyle w:val="Compact"/>
            </w:pPr>
            <w:r>
              <w:rPr>
                <w:sz w:val="20"/>
                <w:szCs w:val="20"/>
              </w:rPr>
              <w:t xml:space="preserve">0.3318</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-5.0063</w:t>
            </w:r>
          </w:p>
        </w:tc>
        <w:tc>
          <w:tcPr>
            <w:tcW w:w="0" w:type="auto"/>
          </w:tcPr>
          <w:p>
            <w:pPr>
              <w:spacing w:line="240" w:lineRule="auto" w:before="0" w:after="0"/>
              <w:pStyle w:val="Compact"/>
            </w:pPr>
            <w:r>
              <w:rPr>
                <w:sz w:val="20"/>
                <w:szCs w:val="20"/>
              </w:rPr>
              <w:t xml:space="preserve">3.7565</w:t>
            </w:r>
          </w:p>
        </w:tc>
        <w:tc>
          <w:tcPr>
            <w:tcW w:w="0" w:type="auto"/>
          </w:tcPr>
          <w:p>
            <w:pPr>
              <w:spacing w:line="240" w:lineRule="auto" w:before="0" w:after="0"/>
              <w:pStyle w:val="Compact"/>
            </w:pPr>
            <w:r>
              <w:rPr>
                <w:sz w:val="20"/>
                <w:szCs w:val="20"/>
              </w:rPr>
              <w:t xml:space="preserve">-1.3327</w:t>
            </w:r>
          </w:p>
        </w:tc>
        <w:tc>
          <w:tcPr>
            <w:tcW w:w="0" w:type="auto"/>
          </w:tcPr>
          <w:p>
            <w:pPr>
              <w:spacing w:line="240" w:lineRule="auto" w:before="0" w:after="0"/>
              <w:pStyle w:val="Compact"/>
            </w:pPr>
            <w:r>
              <w:rPr>
                <w:sz w:val="20"/>
                <w:szCs w:val="20"/>
              </w:rPr>
              <w:t xml:space="preserve">0.1826</w:t>
            </w:r>
          </w:p>
        </w:tc>
        <w:tc>
          <w:tcPr>
            <w:tcW w:w="0" w:type="auto"/>
          </w:tcPr>
          <w:p>
            <w:pPr>
              <w:spacing w:line="240" w:lineRule="auto" w:before="0" w:after="0"/>
              <w:pStyle w:val="Compact"/>
            </w:pPr>
            <w:r>
              <w:rPr>
                <w:sz w:val="20"/>
                <w:szCs w:val="20"/>
              </w:rPr>
              <w:t xml:space="preserve">[-12.369, 2.3565]</w:t>
            </w:r>
          </w:p>
        </w:tc>
        <w:tc>
          <w:tcPr>
            <w:tcW w:w="0" w:type="auto"/>
          </w:tcPr>
          <w:p>
            <w:pPr>
              <w:spacing w:line="240" w:lineRule="auto" w:before="0" w:after="0"/>
              <w:pStyle w:val="Compact"/>
            </w:pPr>
            <w:r>
              <w:rPr>
                <w:sz w:val="20"/>
                <w:szCs w:val="20"/>
              </w:rPr>
              <w:t xml:space="preserve">0.0067</w:t>
            </w:r>
          </w:p>
        </w:tc>
      </w:tr>
    </w:tbl>
    <w:p>
      <w:pPr>
        <w:pStyle w:val="BodyText"/>
      </w:pPr>
      <w:r>
        <w:t xml:space="preserve">Fit: N = 32 events = 22</w:t>
      </w:r>
    </w:p>
    <w:bookmarkEnd w:id="100"/>
    <w:bookmarkEnd w:id="101"/>
    <w:bookmarkEnd w:id="10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94" Target="media/rId94.png" /><Relationship Type="http://schemas.openxmlformats.org/officeDocument/2006/relationships/hyperlink" Id="rId70" Target="https://doi.org/10.1016/j.actaastro.2024.05.036" TargetMode="External" /><Relationship Type="http://schemas.openxmlformats.org/officeDocument/2006/relationships/hyperlink" Id="rId78" Target="https://doi.org/10.1016/j.actaastro.2025.04.041" TargetMode="External" /><Relationship Type="http://schemas.openxmlformats.org/officeDocument/2006/relationships/hyperlink" Id="rId68" Target="https://doi.org/10.1016/j.actaastro.2025.06.038" TargetMode="External" /><Relationship Type="http://schemas.openxmlformats.org/officeDocument/2006/relationships/hyperlink" Id="rId72" Target="https://doi.org/10.1016/j.actaastro.2026.06.006" TargetMode="External" /><Relationship Type="http://schemas.openxmlformats.org/officeDocument/2006/relationships/hyperlink" Id="rId75" Target="https://doi.org/10.64861/BVRP4972"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4.05.036" TargetMode="External" /><Relationship Type="http://schemas.openxmlformats.org/officeDocument/2006/relationships/hyperlink" Id="rId78" Target="https://doi.org/10.1016/j.actaastro.2025.04.041" TargetMode="External" /><Relationship Type="http://schemas.openxmlformats.org/officeDocument/2006/relationships/hyperlink" Id="rId68" Target="https://doi.org/10.1016/j.actaastro.2025.06.038" TargetMode="External" /><Relationship Type="http://schemas.openxmlformats.org/officeDocument/2006/relationships/hyperlink" Id="rId72" Target="https://doi.org/10.1016/j.actaastro.2026.06.006" TargetMode="External" /><Relationship Type="http://schemas.openxmlformats.org/officeDocument/2006/relationships/hyperlink" Id="rId75" Target="https://doi.org/10.64861/BVRP497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2026-06-27T00:26:04Z</dcterms:created>
  <dcterms:modified xsi:type="dcterms:W3CDTF">2026-06-27T00:26:04Z</dcterms:modified>
</cp:coreProperties>
</file>

<file path=docProps/custom.xml><?xml version="1.0" encoding="utf-8"?>
<Properties xmlns="http://schemas.openxmlformats.org/officeDocument/2006/custom-properties" xmlns:vt="http://schemas.openxmlformats.org/officeDocument/2006/docPropsVTypes"/>
</file>