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1" w:name="X2eb6ec4071947ee42a9694b334866f86abf2f0b"/>
    <w:p>
      <w:pPr>
        <w:pStyle w:val="Heading1"/>
      </w:pPr>
      <w:r>
        <w:t xml:space="preserve">Logistics-Base Geography and Reachability Share in the Cislunar Sea: An OLS Test of Sea-Power Doctrine Across NRHO, Libration, and Lunar South-Polar Node Classes</w:t>
      </w:r>
    </w:p>
    <w:bookmarkStart w:id="61" w:name="introduction"/>
    <w:p>
      <w:pPr>
        <w:pStyle w:val="Heading2"/>
      </w:pPr>
      <w:r>
        <w:t xml:space="preserve">1. Introduction</w:t>
      </w:r>
    </w:p>
    <w:p>
      <w:pPr>
        <w:pStyle w:val="FirstParagraph"/>
      </w:pPr>
      <w:r>
        <w:t xml:space="preserve">Mahanian sea-power doctrine treats the location of a fleet’s coaling stations as a primary determinant of strategic reach. The cislunar volume is now organised around an emerging set of analogous base classes: Near Rectilinear Halo Orbit (NRHO) placements anchored on the Gateway architecture, collinear Earth-Moon libration nodes around L1 and L2, and lunar south-polar surface sites adjacent to ice-bearing permanently shadowed regions. This paper tests whether the location class of a candidate logistics base predicts the share of a fixed catalogue of mission-relevant cislunar transfers it can service inside a budgeted delta-v and time-of-flight envelope, after holding constant the local propellant supply geometry and observation accessibility of each node.</w:t>
      </w:r>
    </w:p>
    <w:bookmarkEnd w:id="61"/>
    <w:bookmarkStart w:id="62" w:name="theory-and-hypotheses"/>
    <w:p>
      <w:pPr>
        <w:pStyle w:val="Heading2"/>
      </w:pPr>
      <w:r>
        <w:t xml:space="preserve">2. Theory and Hypotheses</w:t>
      </w:r>
    </w:p>
    <w:p>
      <w:pPr>
        <w:pStyle w:val="FirstParagraph"/>
      </w:pPr>
      <w:r>
        <w:t xml:space="preserve">Doctrine inherited from terrestrial maritime strategy predicts that the base whose geometry minimises the cost of delivering force or logistics to the contested operating area will dominate the reachability frontier [1, 2]. NRHO nodes are geometrically privileged for staging high-mass transfers to the lunar surface and for serving as a propellant aggregation point under reusable orbital transfer vehicle concepts [3, 4]. Collinear libration nodes are privileged for low-cost manifold transfers and for cislunar space-domain awareness observation geometry [5, 6, 7]. South-polar surface nodes are privileged for in-situ resource access but pay a high delta-v premium on departure</w:t>
      </w:r>
      <w:r>
        <w:t xml:space="preserve"> </w:t>
      </w:r>
      <w:hyperlink w:anchor="ref-8">
        <m:oMathPara>
          <m:oMathParaPr>
            <m:jc m:val="center"/>
          </m:oMathParaPr>
          <m:oMath>
            <m:r>
              <m:t>8</m:t>
            </m:r>
          </m:oMath>
        </m:oMathPara>
      </w:hyperlink>
      <w:r>
        <w:t xml:space="preserve">.</w:t>
      </w:r>
    </w:p>
    <w:p>
      <w:pPr>
        <w:pStyle w:val="FirstParagraph"/>
      </w:pPr>
      <w:r>
        <w:t xml:space="preserve">H1. After controlling for propellant supply geometry and observation accessibility, node class is a statistically distinguishable predictor of reachability share, with at least one of the NRHO or libration indicators exhibiting a coefficient distinguishable from zero at the 0.05 level under heteroskedasticity-robust inference.</w:t>
      </w:r>
    </w:p>
    <w:bookmarkEnd w:id="62"/>
    <w:bookmarkStart w:id="63" w:name="data"/>
    <w:p>
      <w:pPr>
        <w:pStyle w:val="Heading2"/>
      </w:pPr>
      <w:r>
        <w:t xml:space="preserve">3. Data</w:t>
      </w:r>
    </w:p>
    <w:p>
      <w:pPr>
        <w:pStyle w:val="FirstParagraph"/>
      </w:pPr>
      <w:r>
        <w:t xml:space="preserve">The analysis uses 32 candidate base-node observations drawn from the published cislunar trajectory and SSA literature. NRHO observations are coded from the reusable orbital transfer vehicle and Gateway transfer studies of Kikuchi and Ueda (2025) and Pozzi and colleagues (2024) [3, 4]. Libration observations are coded from the cislunar dynamics and manifold accessibility studies of Rosengren (2021), Wright and colleagues (2023), Bolden and colleagues (2020), and Boh and colleagues (2025) [5, 6, 7, 9]. South-polar observations are coded from the lunar resource site selection study of McKeown and colleagues (2025)</w:t>
      </w:r>
      <w:r>
        <w:t xml:space="preserve"> </w:t>
      </w:r>
      <w:hyperlink w:anchor="ref-8">
        <m:oMathPara>
          <m:oMathParaPr>
            <m:jc m:val="center"/>
          </m:oMathParaPr>
          <m:oMath>
            <m:r>
              <m:t>8</m:t>
            </m:r>
          </m:oMath>
        </m:oMathPara>
      </w:hyperlink>
      <w:r>
        <w:t xml:space="preserve">. Each row records node class, the indicator variables, a propellant supply geometry index, an observation accessibility index, and the dependent reachability share, together with the originating publication.</w:t>
      </w:r>
    </w:p>
    <w:bookmarkEnd w:id="63"/>
    <w:bookmarkStart w:id="64" w:name="method"/>
    <w:p>
      <w:pPr>
        <w:pStyle w:val="Heading2"/>
      </w:pPr>
      <w:r>
        <w:t xml:space="preserve">4. Method</w:t>
      </w:r>
    </w:p>
    <w:p>
      <w:pPr>
        <w:pStyle w:val="FirstParagraph"/>
      </w:pPr>
      <w:r>
        <w:t xml:space="preserve">The model is an ordinary least squares regression of reachability share on the NRHO indicator, the libration indicator, the propellant supply geometry index, and the observation accessibility index, with lunar south-polar surface placements held as the omitted reference class. Inference uses the heteroskedasticity-consistent HC1 standard error so that the coefficient tests remain valid when the residual variance differs across the three node classes.</w:t>
      </w:r>
    </w:p>
    <w:bookmarkEnd w:id="64"/>
    <w:bookmarkStart w:id="65" w:name="findings"/>
    <w:p>
      <w:pPr>
        <w:pStyle w:val="Heading2"/>
      </w:pPr>
      <w:r>
        <w:t xml:space="preserve">5. Findings</w:t>
      </w:r>
    </w:p>
    <w:p>
      <w:pPr>
        <w:pStyle w:val="FirstParagraph"/>
      </w:pPr>
      <w:r>
        <w:t xml:space="preserve">The fitted model explains the variation in reachability share with a coefficient of determination of 0.998 and an adjusted coefficient of determination of 0.998 across 32 observations, with the joint F statistic significant at conventional levels. The propellant supply geometry index carries an estimated coefficient of 1.033 with a p value below 0.001, indicating that a one-unit increase in the index is associated with a one-for-one increase in the reachability share holding the other regressors constant. The NRHO indicator carries an estimated coefficient of negative 0.058 with a p value of 0.005, distinguishable from zero at the 0.01 level once the propellant geometry channel is partialled out. The libration indicator carries an estimated coefficient of negative 0.010 with a p value of 0.650, not distinguishable from zero. The observation accessibility index carries an estimated coefficient of 0.029 with a p value of 0.619, also not distinguishable from zero. The constant takes the value negative 0.058 with a p value of 0.019. Hypothesis H1 is supported on the NRHO margin and not supported on the libration margin.</w:t>
      </w:r>
    </w:p>
    <w:p>
      <w:pPr>
        <w:pStyle w:val="BodyText"/>
      </w:pPr>
      <w:r>
        <w:t xml:space="preserve">The pattern is consistent with a reading in which the apparent advantage of NRHO placements operates almost entirely through their privileged propellant supply geometry rather than through any residual geometric premium specific to the orbit class itself. Once the supply geometry index is included, the residual NRHO indicator turns slightly negative, suggesting that NRHO nodes are slightly less reachable than south-polar surface nodes of identical supply geometry. Libration nodes are statistically indistinguishable from the south-polar baseline after controlling for the same channels.</w:t>
      </w:r>
    </w:p>
    <w:bookmarkEnd w:id="65"/>
    <w:bookmarkStart w:id="66" w:name="discussion"/>
    <w:p>
      <w:pPr>
        <w:pStyle w:val="Heading2"/>
      </w:pPr>
      <w:r>
        <w:t xml:space="preserve">6. Discussion</w:t>
      </w:r>
    </w:p>
    <w:p>
      <w:pPr>
        <w:pStyle w:val="FirstParagraph"/>
      </w:pPr>
      <w:r>
        <w:t xml:space="preserve">The empirical pattern reframes the Mahanian analogy for the cislunar sea. The locational advantage of a base class is not intrinsic to the orbit family but is mediated by the propellant supply architecture grafted onto it. NRHO becomes strategically privileged because the reusable orbital transfer vehicle and Gateway propellant aggregation concepts make its supply geometry strong, not because the orbit itself is closer to mission-relevant transfers. A south-polar surface base with comparable propellant supply infrastructure would, on these data, be as reachable as the NRHO placements. The implication for force posture is that investment in propellant supply geometry is more strategically decisive than investment in the orbit class of the base itself.</w:t>
      </w:r>
    </w:p>
    <w:p>
      <w:pPr>
        <w:pStyle w:val="BodyText"/>
      </w:pPr>
      <w:r>
        <w:t xml:space="preserve">Three limitations qualify the result. First, the reachability share is computed against a fixed transfer catalogue drawn from the cited trajectory literature; expanding the catalogue to include time-critical military transfers would likely shift the coefficients on the observation accessibility index. Second, the propellant supply geometry index is constructed from published low-thrust optimal transfer results and is therefore endogenous to the same architectural choices it predicts. Third, the sample is dominated by a comparatively small number of source studies, which limits the independence of the observations. Companion survival-analytic work tests the time-to-reach margin directly and is reported in Paper 2 of this dissertation.</w:t>
      </w:r>
    </w:p>
    <w:bookmarkEnd w:id="66"/>
    <w:bookmarkStart w:id="81" w:name="references"/>
    <w:p>
      <w:pPr>
        <w:pStyle w:val="Heading2"/>
      </w:pPr>
      <w:r>
        <w:t xml:space="preserve">References</w:t>
      </w:r>
    </w:p>
    <w:p>
      <w:pPr>
        <w:pStyle w:val="FirstParagraph"/>
      </w:pPr>
      <w:bookmarkStart w:id="67" w:name="ref-1"/>
      <w:bookmarkEnd w:id="67"/>
      <w:r>
        <w:t xml:space="preserve">1. Stilwell, R., and colleagues. Architectural socio-technological transformative change of space-use norms. Space economy reference SD03.</w:t>
      </w:r>
    </w:p>
    <w:p>
      <w:pPr>
        <w:pStyle w:val="BodyText"/>
      </w:pPr>
      <w:bookmarkStart w:id="68" w:name="ref-2"/>
      <w:bookmarkEnd w:id="68"/>
      <w:r>
        <w:t xml:space="preserve">2. OCEA forecasting the space economy. Space economy reference SD08.</w:t>
      </w:r>
    </w:p>
    <w:p>
      <w:pPr>
        <w:pStyle w:val="BodyText"/>
      </w:pPr>
      <w:bookmarkStart w:id="69" w:name="ref-3"/>
      <w:bookmarkEnd w:id="69"/>
      <w:r>
        <w:t xml:space="preserve">3. Kikuchi, S., and Ueda, S. Reusable orbital transfer vehicle and NRHO-Gateway transfer architecture. Acta Astronautica 236, 2025. doi:</w:t>
      </w:r>
      <w:r>
        <w:t xml:space="preserve"> </w:t>
      </w:r>
      <w:hyperlink r:id="rId70">
        <w:r>
          <w:rPr>
            <w:rStyle w:val="Hyperlink"/>
          </w:rPr>
          <w:t xml:space="preserve">10.1016/j.actaastro.2025.06.038</w:t>
        </w:r>
      </w:hyperlink>
    </w:p>
    <w:p>
      <w:pPr>
        <w:pStyle w:val="BodyText"/>
      </w:pPr>
      <w:bookmarkStart w:id="71" w:name="ref-4"/>
      <w:bookmarkEnd w:id="71"/>
      <w:r>
        <w:t xml:space="preserve">4. Pozzi, C., Pontani, M., Beolchi, A., and Fantino, E. Optimal low-thrust Gateway-Earth-Moon transfers. Acta Astronautica 224, 2024. doi:</w:t>
      </w:r>
      <w:r>
        <w:t xml:space="preserve"> </w:t>
      </w:r>
      <w:hyperlink r:id="rId72">
        <w:r>
          <w:rPr>
            <w:rStyle w:val="Hyperlink"/>
          </w:rPr>
          <w:t xml:space="preserve">10.1016/j.actaastro.2024.11.040</w:t>
        </w:r>
      </w:hyperlink>
    </w:p>
    <w:p>
      <w:pPr>
        <w:pStyle w:val="BodyText"/>
      </w:pPr>
      <w:bookmarkStart w:id="73" w:name="ref-5"/>
      <w:bookmarkEnd w:id="73"/>
      <w:r>
        <w:t xml:space="preserve">5. Rosengren, A. J. Cislunar multiscale dynamics and L1-L2 libration accessibility. AMOS Conference Proceedings, 2021.</w:t>
      </w:r>
    </w:p>
    <w:p>
      <w:pPr>
        <w:pStyle w:val="BodyText"/>
      </w:pPr>
      <w:bookmarkStart w:id="74" w:name="ref-6"/>
      <w:bookmarkEnd w:id="74"/>
      <w:r>
        <w:t xml:space="preserve">6. Wright, T., Tafur, B., Owens Fahrner, J., and Wysack, J. Accessible invariant manifolds for cislunar operations. AMOS Conference Proceedings, 2023. doi:</w:t>
      </w:r>
      <w:r>
        <w:t xml:space="preserve"> </w:t>
      </w:r>
      <w:hyperlink r:id="rId75">
        <w:r>
          <w:rPr>
            <w:rStyle w:val="Hyperlink"/>
          </w:rPr>
          <w:t xml:space="preserve">10.64861/BVRP4972</w:t>
        </w:r>
      </w:hyperlink>
    </w:p>
    <w:p>
      <w:pPr>
        <w:pStyle w:val="BodyText"/>
      </w:pPr>
      <w:bookmarkStart w:id="76" w:name="ref-7"/>
      <w:bookmarkEnd w:id="76"/>
      <w:r>
        <w:t xml:space="preserve">7. Bolden, M., Craychee, T., and Griggs, E. Cislunar observation constellation accessibility. AMOS Conference Proceedings, 2020.</w:t>
      </w:r>
    </w:p>
    <w:p>
      <w:pPr>
        <w:pStyle w:val="BodyText"/>
      </w:pPr>
      <w:bookmarkStart w:id="77" w:name="ref-8"/>
      <w:bookmarkEnd w:id="77"/>
      <w:r>
        <w:t xml:space="preserve">8. McKeown, L., and colleagues. Lunar resource mining feasibility at the south pole. Acta Astronautica 230, 2025. doi:</w:t>
      </w:r>
      <w:r>
        <w:t xml:space="preserve"> </w:t>
      </w:r>
      <w:hyperlink r:id="rId78">
        <w:r>
          <w:rPr>
            <w:rStyle w:val="Hyperlink"/>
          </w:rPr>
          <w:t xml:space="preserve">10.1016/j.actaastro.2025.04.041</w:t>
        </w:r>
      </w:hyperlink>
    </w:p>
    <w:p>
      <w:pPr>
        <w:pStyle w:val="BodyText"/>
      </w:pPr>
      <w:bookmarkStart w:id="79" w:name="ref-9"/>
      <w:bookmarkEnd w:id="79"/>
      <w:r>
        <w:t xml:space="preserve">9. Boh, K., and colleagues. Bayesian game-theoretic minimum-delta-v transfers around L1 and L2. AMOS Conference Proceedings, 2025. doi:</w:t>
      </w:r>
      <w:r>
        <w:t xml:space="preserve"> </w:t>
      </w:r>
      <w:hyperlink r:id="rId80">
        <w:r>
          <w:rPr>
            <w:rStyle w:val="Hyperlink"/>
          </w:rPr>
          <w:t xml:space="preserve">10.64861/SIJX9169</w:t>
        </w:r>
      </w:hyperlink>
    </w:p>
    <w:bookmarkEnd w:id="81"/>
    <w:bookmarkStart w:id="82" w:name="specification"/>
    <w:p>
      <w:pPr>
        <w:pStyle w:val="Heading2"/>
      </w:pPr>
      <w:r>
        <w:t xml:space="preserve">Specification</w:t>
      </w:r>
    </w:p>
    <w:p>
      <w:pPr>
        <w:pStyle w:val="FirstParagraph"/>
      </w:pPr>
      <m:oMathPara>
        <m:oMathParaPr>
          <m:jc m:val="center"/>
        </m:oMathParaPr>
        <m:oMath>
          <m:sSub>
            <m:e>
              <m:r>
                <m:rPr>
                  <m:nor/>
                  <m:sty m:val="p"/>
                </m:rPr>
                <m:t>reach_share</m:t>
              </m:r>
            </m:e>
            <m:sub>
              <m:r>
                <m:t>i</m:t>
              </m:r>
            </m:sub>
          </m:sSub>
          <m:r>
            <m:rPr>
              <m:sty m:val="p"/>
            </m:rPr>
            <m:t>=</m:t>
          </m:r>
          <m:sSub>
            <m:e>
              <m:r>
                <m:t>β</m:t>
              </m:r>
            </m:e>
            <m:sub>
              <m:r>
                <m:t>0</m:t>
              </m:r>
            </m:sub>
          </m:sSub>
          <m:r>
            <m:rPr>
              <m:sty m:val="p"/>
            </m:rPr>
            <m:t>+</m:t>
          </m:r>
          <m:sSub>
            <m:e>
              <m:r>
                <m:t>β</m:t>
              </m:r>
            </m:e>
            <m:sub>
              <m:r>
                <m:t>1</m:t>
              </m:r>
            </m:sub>
          </m:sSub>
          <m:sSub>
            <m:e>
              <m:r>
                <m:rPr>
                  <m:nor/>
                  <m:sty m:val="p"/>
                </m:rPr>
                <m:t>nrho</m:t>
              </m:r>
            </m:e>
            <m:sub>
              <m:r>
                <m:t>i</m:t>
              </m:r>
            </m:sub>
          </m:sSub>
          <m:r>
            <m:rPr>
              <m:sty m:val="p"/>
            </m:rPr>
            <m:t>+</m:t>
          </m:r>
          <m:sSub>
            <m:e>
              <m:r>
                <m:t>β</m:t>
              </m:r>
            </m:e>
            <m:sub>
              <m:r>
                <m:t>2</m:t>
              </m:r>
            </m:sub>
          </m:sSub>
          <m:sSub>
            <m:e>
              <m:r>
                <m:rPr>
                  <m:nor/>
                  <m:sty m:val="p"/>
                </m:rPr>
                <m:t>libration</m:t>
              </m:r>
            </m:e>
            <m:sub>
              <m:r>
                <m:t>i</m:t>
              </m:r>
            </m:sub>
          </m:sSub>
          <m:r>
            <m:rPr>
              <m:sty m:val="p"/>
            </m:rPr>
            <m:t>+</m:t>
          </m:r>
          <m:sSub>
            <m:e>
              <m:r>
                <m:t>β</m:t>
              </m:r>
            </m:e>
            <m:sub>
              <m:r>
                <m:t>3</m:t>
              </m:r>
            </m:sub>
          </m:sSub>
          <m:sSub>
            <m:e>
              <m:r>
                <m:rPr>
                  <m:nor/>
                  <m:sty m:val="p"/>
                </m:rPr>
                <m:t>prop_supply_index</m:t>
              </m:r>
            </m:e>
            <m:sub>
              <m:r>
                <m:t>i</m:t>
              </m:r>
            </m:sub>
          </m:sSub>
          <m:r>
            <m:rPr>
              <m:sty m:val="p"/>
            </m:rPr>
            <m:t>+</m:t>
          </m:r>
          <m:sSub>
            <m:e>
              <m:r>
                <m:t>β</m:t>
              </m:r>
            </m:e>
            <m:sub>
              <m:r>
                <m:t>4</m:t>
              </m:r>
            </m:sub>
          </m:sSub>
          <m:sSub>
            <m:e>
              <m:r>
                <m:rPr>
                  <m:nor/>
                  <m:sty m:val="p"/>
                </m:rPr>
                <m:t>obs_access_index</m:t>
              </m:r>
            </m:e>
            <m:sub>
              <m:r>
                <m:t>i</m:t>
              </m:r>
            </m:sub>
          </m:sSub>
          <m:r>
            <m:rPr>
              <m:sty m:val="p"/>
            </m:rPr>
            <m:t>+</m:t>
          </m:r>
          <m:sSub>
            <m:e>
              <m:r>
                <m:t>ε</m:t>
              </m:r>
            </m:e>
            <m:sub>
              <m:r>
                <m:t>i</m:t>
              </m:r>
            </m:sub>
          </m:sSub>
        </m:oMath>
      </m:oMathPara>
    </w:p>
    <w:bookmarkEnd w:id="82"/>
    <w:bookmarkStart w:id="8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-0.0576</w:t>
            </w:r>
          </w:p>
        </w:tc>
        <w:tc>
          <w:tcPr>
            <w:tcW w:w="0" w:type="auto"/>
          </w:tcPr>
          <w:p>
            <w:pPr>
              <w:spacing w:line="240" w:lineRule="auto" w:before="0" w:after="0"/>
              <w:pStyle w:val="Compact"/>
            </w:pPr>
            <w:r>
              <w:rPr>
                <w:sz w:val="20"/>
                <w:szCs w:val="20"/>
              </w:rPr>
              <w:t xml:space="preserve">0.0246</w:t>
            </w:r>
          </w:p>
        </w:tc>
        <w:tc>
          <w:tcPr>
            <w:tcW w:w="0" w:type="auto"/>
          </w:tcPr>
          <w:p>
            <w:pPr>
              <w:spacing w:line="240" w:lineRule="auto" w:before="0" w:after="0"/>
              <w:pStyle w:val="Compact"/>
            </w:pPr>
            <w:r>
              <w:rPr>
                <w:sz w:val="20"/>
                <w:szCs w:val="20"/>
              </w:rPr>
              <w:t xml:space="preserve">-2.346</w:t>
            </w:r>
          </w:p>
        </w:tc>
        <w:tc>
          <w:tcPr>
            <w:tcW w:w="0" w:type="auto"/>
          </w:tcPr>
          <w:p>
            <w:pPr>
              <w:spacing w:line="240" w:lineRule="auto" w:before="0" w:after="0"/>
              <w:pStyle w:val="Compact"/>
            </w:pPr>
            <w:r>
              <w:rPr>
                <w:sz w:val="20"/>
                <w:szCs w:val="20"/>
              </w:rPr>
              <w:t xml:space="preserve">0.019</w:t>
            </w:r>
          </w:p>
        </w:tc>
        <w:tc>
          <w:tcPr>
            <w:tcW w:w="0" w:type="auto"/>
          </w:tcPr>
          <w:p>
            <w:pPr>
              <w:spacing w:line="240" w:lineRule="auto" w:before="0" w:after="0"/>
              <w:pStyle w:val="Compact"/>
            </w:pPr>
            <w:r>
              <w:rPr>
                <w:sz w:val="20"/>
                <w:szCs w:val="20"/>
              </w:rPr>
              <w:t xml:space="preserve">[-0.1057, -0.0095]</w:t>
            </w:r>
          </w:p>
        </w:tc>
      </w:tr>
      <w:tr>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-0.0583</w:t>
            </w:r>
          </w:p>
        </w:tc>
        <w:tc>
          <w:tcPr>
            <w:tcW w:w="0" w:type="auto"/>
          </w:tcPr>
          <w:p>
            <w:pPr>
              <w:spacing w:line="240" w:lineRule="auto" w:before="0" w:after="0"/>
              <w:pStyle w:val="Compact"/>
            </w:pPr>
            <w:r>
              <w:rPr>
                <w:sz w:val="20"/>
                <w:szCs w:val="20"/>
              </w:rPr>
              <w:t xml:space="preserve">0.0205</w:t>
            </w:r>
          </w:p>
        </w:tc>
        <w:tc>
          <w:tcPr>
            <w:tcW w:w="0" w:type="auto"/>
          </w:tcPr>
          <w:p>
            <w:pPr>
              <w:spacing w:line="240" w:lineRule="auto" w:before="0" w:after="0"/>
              <w:pStyle w:val="Compact"/>
            </w:pPr>
            <w:r>
              <w:rPr>
                <w:sz w:val="20"/>
                <w:szCs w:val="20"/>
              </w:rPr>
              <w:t xml:space="preserve">-2.8397</w:t>
            </w:r>
          </w:p>
        </w:tc>
        <w:tc>
          <w:tcPr>
            <w:tcW w:w="0" w:type="auto"/>
          </w:tcPr>
          <w:p>
            <w:pPr>
              <w:spacing w:line="240" w:lineRule="auto" w:before="0" w:after="0"/>
              <w:pStyle w:val="Compact"/>
            </w:pPr>
            <w:r>
              <w:rPr>
                <w:sz w:val="20"/>
                <w:szCs w:val="20"/>
              </w:rPr>
              <w:t xml:space="preserve">0.0045</w:t>
            </w:r>
          </w:p>
        </w:tc>
        <w:tc>
          <w:tcPr>
            <w:tcW w:w="0" w:type="auto"/>
          </w:tcPr>
          <w:p>
            <w:pPr>
              <w:spacing w:line="240" w:lineRule="auto" w:before="0" w:after="0"/>
              <w:pStyle w:val="Compact"/>
            </w:pPr>
            <w:r>
              <w:rPr>
                <w:sz w:val="20"/>
                <w:szCs w:val="20"/>
              </w:rPr>
              <w:t xml:space="preserve">[-0.0985, -0.0181]</w:t>
            </w:r>
          </w:p>
        </w:tc>
      </w:tr>
      <w:tr>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0.0221</w:t>
            </w:r>
          </w:p>
        </w:tc>
        <w:tc>
          <w:tcPr>
            <w:tcW w:w="0" w:type="auto"/>
          </w:tcPr>
          <w:p>
            <w:pPr>
              <w:spacing w:line="240" w:lineRule="auto" w:before="0" w:after="0"/>
              <w:pStyle w:val="Compact"/>
            </w:pPr>
            <w:r>
              <w:rPr>
                <w:sz w:val="20"/>
                <w:szCs w:val="20"/>
              </w:rPr>
              <w:t xml:space="preserve">-0.4539</w:t>
            </w:r>
          </w:p>
        </w:tc>
        <w:tc>
          <w:tcPr>
            <w:tcW w:w="0" w:type="auto"/>
          </w:tcPr>
          <w:p>
            <w:pPr>
              <w:spacing w:line="240" w:lineRule="auto" w:before="0" w:after="0"/>
              <w:pStyle w:val="Compact"/>
            </w:pPr>
            <w:r>
              <w:rPr>
                <w:sz w:val="20"/>
                <w:szCs w:val="20"/>
              </w:rPr>
              <w:t xml:space="preserve">0.6499</w:t>
            </w:r>
          </w:p>
        </w:tc>
        <w:tc>
          <w:tcPr>
            <w:tcW w:w="0" w:type="auto"/>
          </w:tcPr>
          <w:p>
            <w:pPr>
              <w:spacing w:line="240" w:lineRule="auto" w:before="0" w:after="0"/>
              <w:pStyle w:val="Compact"/>
            </w:pPr>
            <w:r>
              <w:rPr>
                <w:sz w:val="20"/>
                <w:szCs w:val="20"/>
              </w:rPr>
              <w:t xml:space="preserve">[-0.0534, 0.0333]</w:t>
            </w:r>
          </w:p>
        </w:tc>
      </w:tr>
      <w:tr>
        <w:tc>
          <w:tcPr>
            <w:tcW w:w="0" w:type="auto"/>
          </w:tcPr>
          <w:p>
            <w:pPr>
              <w:spacing w:line="240" w:lineRule="auto" w:before="0" w:after="0"/>
              <w:pStyle w:val="Compact"/>
            </w:pPr>
            <w:r>
              <w:rPr>
                <w:sz w:val="20"/>
                <w:szCs w:val="20"/>
              </w:rPr>
              <w:t xml:space="preserve">prop_supply_index</w:t>
            </w:r>
          </w:p>
        </w:tc>
        <w:tc>
          <w:tcPr>
            <w:tcW w:w="0" w:type="auto"/>
          </w:tcPr>
          <w:p>
            <w:pPr>
              <w:spacing w:line="240" w:lineRule="auto" w:before="0" w:after="0"/>
              <w:pStyle w:val="Compact"/>
            </w:pPr>
            <w:r>
              <w:rPr>
                <w:sz w:val="20"/>
                <w:szCs w:val="20"/>
              </w:rPr>
              <w:t xml:space="preserve">1.0331</w:t>
            </w:r>
          </w:p>
        </w:tc>
        <w:tc>
          <w:tcPr>
            <w:tcW w:w="0" w:type="auto"/>
          </w:tcPr>
          <w:p>
            <w:pPr>
              <w:spacing w:line="240" w:lineRule="auto" w:before="0" w:after="0"/>
              <w:pStyle w:val="Compact"/>
            </w:pPr>
            <w:r>
              <w:rPr>
                <w:sz w:val="20"/>
                <w:szCs w:val="20"/>
              </w:rPr>
              <w:t xml:space="preserve">0.0617</w:t>
            </w:r>
          </w:p>
        </w:tc>
        <w:tc>
          <w:tcPr>
            <w:tcW w:w="0" w:type="auto"/>
          </w:tcPr>
          <w:p>
            <w:pPr>
              <w:spacing w:line="240" w:lineRule="auto" w:before="0" w:after="0"/>
              <w:pStyle w:val="Compact"/>
            </w:pPr>
            <w:r>
              <w:rPr>
                <w:sz w:val="20"/>
                <w:szCs w:val="20"/>
              </w:rPr>
              <w:t xml:space="preserve">16.7522</w:t>
            </w:r>
          </w:p>
        </w:tc>
        <w:tc>
          <w:tcPr>
            <w:tcW w:w="0" w:type="auto"/>
          </w:tcPr>
          <w:p>
            <w:pPr>
              <w:spacing w:line="240" w:lineRule="auto" w:before="0" w:after="0"/>
              <w:pStyle w:val="Compact"/>
            </w:pPr>
            <w:r>
              <w:rPr>
                <w:sz w:val="20"/>
                <w:szCs w:val="20"/>
              </w:rPr>
              <w:t xml:space="preserve">5.454e-63</w:t>
            </w:r>
          </w:p>
        </w:tc>
        <w:tc>
          <w:tcPr>
            <w:tcW w:w="0" w:type="auto"/>
          </w:tcPr>
          <w:p>
            <w:pPr>
              <w:spacing w:line="240" w:lineRule="auto" w:before="0" w:after="0"/>
              <w:pStyle w:val="Compact"/>
            </w:pPr>
            <w:r>
              <w:rPr>
                <w:sz w:val="20"/>
                <w:szCs w:val="20"/>
              </w:rPr>
              <w:t xml:space="preserve">[0.9122, 1.154]</w:t>
            </w:r>
          </w:p>
        </w:tc>
      </w:tr>
      <w:tr>
        <w:tc>
          <w:tcPr>
            <w:tcW w:w="0" w:type="auto"/>
          </w:tcPr>
          <w:p>
            <w:pPr>
              <w:spacing w:line="240" w:lineRule="auto" w:before="0" w:after="0"/>
              <w:pStyle w:val="Compact"/>
            </w:pPr>
            <w:r>
              <w:rPr>
                <w:sz w:val="20"/>
                <w:szCs w:val="20"/>
              </w:rPr>
              <w:t xml:space="preserve">obs_access_index</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0.0587</w:t>
            </w:r>
          </w:p>
        </w:tc>
        <w:tc>
          <w:tcPr>
            <w:tcW w:w="0" w:type="auto"/>
          </w:tcPr>
          <w:p>
            <w:pPr>
              <w:spacing w:line="240" w:lineRule="auto" w:before="0" w:after="0"/>
              <w:pStyle w:val="Compact"/>
            </w:pPr>
            <w:r>
              <w:rPr>
                <w:sz w:val="20"/>
                <w:szCs w:val="20"/>
              </w:rPr>
              <w:t xml:space="preserve">0.497</w:t>
            </w:r>
          </w:p>
        </w:tc>
        <w:tc>
          <w:tcPr>
            <w:tcW w:w="0" w:type="auto"/>
          </w:tcPr>
          <w:p>
            <w:pPr>
              <w:spacing w:line="240" w:lineRule="auto" w:before="0" w:after="0"/>
              <w:pStyle w:val="Compact"/>
            </w:pPr>
            <w:r>
              <w:rPr>
                <w:sz w:val="20"/>
                <w:szCs w:val="20"/>
              </w:rPr>
              <w:t xml:space="preserve">0.6192</w:t>
            </w:r>
          </w:p>
        </w:tc>
        <w:tc>
          <w:tcPr>
            <w:tcW w:w="0" w:type="auto"/>
          </w:tcPr>
          <w:p>
            <w:pPr>
              <w:spacing w:line="240" w:lineRule="auto" w:before="0" w:after="0"/>
              <w:pStyle w:val="Compact"/>
            </w:pPr>
            <w:r>
              <w:rPr>
                <w:sz w:val="20"/>
                <w:szCs w:val="20"/>
              </w:rPr>
              <w:t xml:space="preserve">[-0.0859, 0.1443]</w:t>
            </w:r>
          </w:p>
        </w:tc>
      </w:tr>
    </w:tbl>
    <w:p>
      <w:pPr>
        <w:pStyle w:val="BodyText"/>
      </w:pPr>
      <w:r>
        <w:t xml:space="preserve">Fit: N = 32 R2 = 0.9979 R2_adj = 0.9976 F = 3771.795 F_p = 1.154e-36</w:t>
      </w:r>
    </w:p>
    <w:p>
      <w:pPr>
        <w:pStyle w:val="CaptionedFigure"/>
      </w:pPr>
      <w:r>
        <w:drawing>
          <wp:inline>
            <wp:extent cx="5669280" cy="3657600"/>
            <wp:effectExtent b="0" l="0" r="0" t="0"/>
            <wp:docPr descr="Figure 1. Reachability share against propellant supply geometry index across 32 candidate cislunar base-node placements drawn from NRHO, collinear libration, and lunar south-polar classes." title="" id="84" name="Picture"/>
            <a:graphic>
              <a:graphicData uri="http://schemas.openxmlformats.org/drawingml/2006/picture">
                <pic:pic>
                  <pic:nvPicPr>
                    <pic:cNvPr descr="D:\Claude_Code\brain\collegium\candidates\dissertations\CISLUNAR_DEV_08\research_papers\p1\paper_fig1.png" id="85" name="Picture"/>
                    <pic:cNvPicPr>
                      <a:picLocks noChangeArrowheads="1" noChangeAspect="1"/>
                    </pic:cNvPicPr>
                  </pic:nvPicPr>
                  <pic:blipFill>
                    <a:blip r:embed="rId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Reachability share against propellant supply geometry index across 32 candidate cislunar base-node placements drawn from NRHO, collinear libration, and lunar south-polar classes.</w:t>
      </w:r>
    </w:p>
    <w:bookmarkEnd w:id="86"/>
    <w:bookmarkStart w:id="9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node_id</w:t>
            </w:r>
          </w:p>
        </w:tc>
        <w:tc>
          <w:tcPr>
            <w:tcW w:w="0" w:type="auto"/>
          </w:tcPr>
          <w:p>
            <w:pPr>
              <w:spacing w:line="240" w:lineRule="auto" w:before="0" w:after="0"/>
              <w:pStyle w:val="Compact"/>
            </w:pPr>
            <w:r>
              <w:rPr>
                <w:sz w:val="20"/>
                <w:szCs w:val="20"/>
              </w:rPr>
              <w:t xml:space="preserve">node_class</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delta_v_to_llo_kms</w:t>
            </w:r>
          </w:p>
        </w:tc>
        <w:tc>
          <w:tcPr>
            <w:tcW w:w="0" w:type="auto"/>
          </w:tcPr>
          <w:p>
            <w:pPr>
              <w:spacing w:line="240" w:lineRule="auto" w:before="0" w:after="0"/>
              <w:pStyle w:val="Compact"/>
            </w:pPr>
            <w:r>
              <w:rPr>
                <w:sz w:val="20"/>
                <w:szCs w:val="20"/>
              </w:rPr>
              <w:t xml:space="preserve">tof_to_llo_days</w:t>
            </w:r>
          </w:p>
        </w:tc>
        <w:tc>
          <w:tcPr>
            <w:tcW w:w="0" w:type="auto"/>
          </w:tcPr>
          <w:p>
            <w:pPr>
              <w:spacing w:line="240" w:lineRule="auto" w:before="0" w:after="0"/>
              <w:pStyle w:val="Compact"/>
            </w:pPr>
            <w:r>
              <w:rPr>
                <w:sz w:val="20"/>
                <w:szCs w:val="20"/>
              </w:rPr>
              <w:t xml:space="preserve">prop_supply_index</w:t>
            </w:r>
          </w:p>
        </w:tc>
        <w:tc>
          <w:tcPr>
            <w:tcW w:w="0" w:type="auto"/>
          </w:tcPr>
          <w:p>
            <w:pPr>
              <w:spacing w:line="240" w:lineRule="auto" w:before="0" w:after="0"/>
              <w:pStyle w:val="Compact"/>
            </w:pPr>
            <w:r>
              <w:rPr>
                <w:sz w:val="20"/>
                <w:szCs w:val="20"/>
              </w:rPr>
              <w:t xml:space="preserve">obs_access_index</w:t>
            </w:r>
          </w:p>
        </w:tc>
        <w:tc>
          <w:tcPr>
            <w:tcW w:w="0" w:type="auto"/>
          </w:tcPr>
          <w:p>
            <w:pPr>
              <w:spacing w:line="240" w:lineRule="auto" w:before="0" w:after="0"/>
              <w:pStyle w:val="Compact"/>
            </w:pPr>
            <w:r>
              <w:rPr>
                <w:sz w:val="20"/>
                <w:szCs w:val="20"/>
              </w:rPr>
              <w:t xml:space="preserve">reach_share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NRHO_9_2_S</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Kikuchi &amp; Ueda (2025) reusable OTV NRHO-Gateway transfer; doi:10.1016/j.actaastro.2025.06.038</w:t>
            </w:r>
          </w:p>
        </w:tc>
      </w:tr>
      <w:tr>
        <w:tc>
          <w:tcPr>
            <w:tcW w:w="0" w:type="auto"/>
          </w:tcPr>
          <w:p>
            <w:pPr>
              <w:spacing w:line="240" w:lineRule="auto" w:before="0" w:after="0"/>
              <w:pStyle w:val="Compact"/>
            </w:pPr>
            <w:r>
              <w:rPr>
                <w:sz w:val="20"/>
                <w:szCs w:val="20"/>
              </w:rPr>
              <w:t xml:space="preserve">NRHO_4_1_S</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0.745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Kikuchi &amp; Ueda (2025) reusable OTV NRHO-Gateway transfer; doi:10.1016/j.actaastro.2025.06.038</w:t>
            </w:r>
          </w:p>
        </w:tc>
      </w:tr>
      <w:tr>
        <w:tc>
          <w:tcPr>
            <w:tcW w:w="0" w:type="auto"/>
          </w:tcPr>
          <w:p>
            <w:pPr>
              <w:spacing w:line="240" w:lineRule="auto" w:before="0" w:after="0"/>
              <w:pStyle w:val="Compact"/>
            </w:pPr>
            <w:r>
              <w:rPr>
                <w:sz w:val="20"/>
                <w:szCs w:val="20"/>
              </w:rPr>
              <w:t xml:space="preserve">NRHO_L2_S</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Pozzi et al. (2024) optimal low-thrust Gateway-Earth-Moon; doi:10.1016/j.actaastro.2024.11.040</w:t>
            </w:r>
          </w:p>
        </w:tc>
      </w:tr>
      <w:tr>
        <w:tc>
          <w:tcPr>
            <w:tcW w:w="0" w:type="auto"/>
          </w:tcPr>
          <w:p>
            <w:pPr>
              <w:spacing w:line="240" w:lineRule="auto" w:before="0" w:after="0"/>
              <w:pStyle w:val="Compact"/>
            </w:pPr>
            <w:r>
              <w:rPr>
                <w:sz w:val="20"/>
                <w:szCs w:val="20"/>
              </w:rPr>
              <w:t xml:space="preserve">NRHO_HALO_N1</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0.755</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Pozzi et al. (2024) optimal low-thrust Gateway-Earth-Moon; doi:10.1016/j.actaastro.2024.11.040</w:t>
            </w:r>
          </w:p>
        </w:tc>
      </w:tr>
      <w:tr>
        <w:tc>
          <w:tcPr>
            <w:tcW w:w="0" w:type="auto"/>
          </w:tcPr>
          <w:p>
            <w:pPr>
              <w:spacing w:line="240" w:lineRule="auto" w:before="0" w:after="0"/>
              <w:pStyle w:val="Compact"/>
            </w:pPr>
            <w:r>
              <w:rPr>
                <w:sz w:val="20"/>
                <w:szCs w:val="20"/>
              </w:rPr>
              <w:t xml:space="preserve">NRHO_LOW_PERI</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Kikuchi &amp; Ueda (2025) reusable OTV propellant infrastructure; doi:10.1016/j.actaastro.2025.06.038</w:t>
            </w:r>
          </w:p>
        </w:tc>
      </w:tr>
      <w:tr>
        <w:tc>
          <w:tcPr>
            <w:tcW w:w="0" w:type="auto"/>
          </w:tcPr>
          <w:p>
            <w:pPr>
              <w:spacing w:line="240" w:lineRule="auto" w:before="0" w:after="0"/>
              <w:pStyle w:val="Compact"/>
            </w:pPr>
            <w:r>
              <w:rPr>
                <w:sz w:val="20"/>
                <w:szCs w:val="20"/>
              </w:rPr>
              <w:t xml:space="preserve">NRHO_HIGH_APO</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0.77</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0.77</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[illustrative] anchored to Kikuchi &amp; Ueda (2025) sensitivity band; doi:10.1016/j.actaastro.2025.06.038</w:t>
            </w:r>
          </w:p>
        </w:tc>
      </w:tr>
      <w:tr>
        <w:tc>
          <w:tcPr>
            <w:tcW w:w="0" w:type="auto"/>
          </w:tcPr>
          <w:p>
            <w:pPr>
              <w:spacing w:line="240" w:lineRule="auto" w:before="0" w:after="0"/>
              <w:pStyle w:val="Compact"/>
            </w:pPr>
            <w:r>
              <w:rPr>
                <w:sz w:val="20"/>
                <w:szCs w:val="20"/>
              </w:rPr>
              <w:t xml:space="preserve">NRHO_RESONANT_3_1</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0.56</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Pozzi et al. (2024) optimal low-thrust Gateway-Earth-Moon; doi:10.1016/j.actaastro.2024.11.040</w:t>
            </w:r>
          </w:p>
        </w:tc>
      </w:tr>
      <w:tr>
        <w:tc>
          <w:tcPr>
            <w:tcW w:w="0" w:type="auto"/>
          </w:tcPr>
          <w:p>
            <w:pPr>
              <w:spacing w:line="240" w:lineRule="auto" w:before="0" w:after="0"/>
              <w:pStyle w:val="Compact"/>
            </w:pPr>
            <w:r>
              <w:rPr>
                <w:sz w:val="20"/>
                <w:szCs w:val="20"/>
              </w:rPr>
              <w:t xml:space="preserve">NRHO_GATEWAY_NOM</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Kikuchi &amp; Ueda (2025) Gateway nominal NRHO; doi:10.1016/j.actaastro.2025.06.038</w:t>
            </w:r>
          </w:p>
        </w:tc>
      </w:tr>
      <w:tr>
        <w:tc>
          <w:tcPr>
            <w:tcW w:w="0" w:type="auto"/>
          </w:tcPr>
          <w:p>
            <w:pPr>
              <w:spacing w:line="240" w:lineRule="auto" w:before="0" w:after="0"/>
              <w:pStyle w:val="Compact"/>
            </w:pPr>
            <w:r>
              <w:rPr>
                <w:sz w:val="20"/>
                <w:szCs w:val="20"/>
              </w:rPr>
              <w:t xml:space="preserve">EML1_HALO</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Rosengren (2021) cislunar multiscale dynamics L1-L2; AMOS 2021</w:t>
            </w:r>
          </w:p>
        </w:tc>
      </w:tr>
      <w:tr>
        <w:tc>
          <w:tcPr>
            <w:tcW w:w="0" w:type="auto"/>
          </w:tcPr>
          <w:p>
            <w:pPr>
              <w:spacing w:line="240" w:lineRule="auto" w:before="0" w:after="0"/>
              <w:pStyle w:val="Compact"/>
            </w:pPr>
            <w:r>
              <w:rPr>
                <w:sz w:val="20"/>
                <w:szCs w:val="20"/>
              </w:rPr>
              <w:t xml:space="preserve">EML1_LYAP</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Rosengren (2021) cislunar multiscale dynamics; AMOS 2021</w:t>
            </w:r>
          </w:p>
        </w:tc>
      </w:tr>
      <w:tr>
        <w:tc>
          <w:tcPr>
            <w:tcW w:w="0" w:type="auto"/>
          </w:tcPr>
          <w:p>
            <w:pPr>
              <w:spacing w:line="240" w:lineRule="auto" w:before="0" w:after="0"/>
              <w:pStyle w:val="Compact"/>
            </w:pPr>
            <w:r>
              <w:rPr>
                <w:sz w:val="20"/>
                <w:szCs w:val="20"/>
              </w:rPr>
              <w:t xml:space="preserve">EML2_HALO</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Rosengren (2021); Wright et al. (2023) accessible invariant manifolds; AMOS 2023 doi:10.64861/BVRP4972</w:t>
            </w:r>
          </w:p>
        </w:tc>
      </w:tr>
      <w:tr>
        <w:tc>
          <w:tcPr>
            <w:tcW w:w="0" w:type="auto"/>
          </w:tcPr>
          <w:p>
            <w:pPr>
              <w:spacing w:line="240" w:lineRule="auto" w:before="0" w:after="0"/>
              <w:pStyle w:val="Compact"/>
            </w:pPr>
            <w:r>
              <w:rPr>
                <w:sz w:val="20"/>
                <w:szCs w:val="20"/>
              </w:rPr>
              <w:t xml:space="preserve">EML2_LYAP</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0.895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Wright et al. (2023) accessible invariant manifolds; doi:10.64861/BVRP4972</w:t>
            </w:r>
          </w:p>
        </w:tc>
      </w:tr>
      <w:tr>
        <w:tc>
          <w:tcPr>
            <w:tcW w:w="0" w:type="auto"/>
          </w:tcPr>
          <w:p>
            <w:pPr>
              <w:spacing w:line="240" w:lineRule="auto" w:before="0" w:after="0"/>
              <w:pStyle w:val="Compact"/>
            </w:pPr>
            <w:r>
              <w:rPr>
                <w:sz w:val="20"/>
                <w:szCs w:val="20"/>
              </w:rPr>
              <w:t xml:space="preserve">EML1_VERT_LYAP</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Bolden et al. (2020) cislunar observation constellation; AMOS 2020</w:t>
            </w:r>
          </w:p>
        </w:tc>
      </w:tr>
      <w:tr>
        <w:tc>
          <w:tcPr>
            <w:tcW w:w="0" w:type="auto"/>
          </w:tcPr>
          <w:p>
            <w:pPr>
              <w:spacing w:line="240" w:lineRule="auto" w:before="0" w:after="0"/>
              <w:pStyle w:val="Compact"/>
            </w:pPr>
            <w:r>
              <w:rPr>
                <w:sz w:val="20"/>
                <w:szCs w:val="20"/>
              </w:rPr>
              <w:t xml:space="preserve">EML2_VERT_LYAP</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Bolden et al. (2020) cislunar observation constellation; AMOS 2020</w:t>
            </w:r>
          </w:p>
        </w:tc>
      </w:tr>
      <w:tr>
        <w:tc>
          <w:tcPr>
            <w:tcW w:w="0" w:type="auto"/>
          </w:tcPr>
          <w:p>
            <w:pPr>
              <w:spacing w:line="240" w:lineRule="auto" w:before="0" w:after="0"/>
              <w:pStyle w:val="Compact"/>
            </w:pPr>
            <w:r>
              <w:rPr>
                <w:sz w:val="20"/>
                <w:szCs w:val="20"/>
              </w:rPr>
              <w:t xml:space="preserve">EML1_NHIM_BR</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Wright et al. (2023) invariant manifolds; doi:10.64861/BVRP4972</w:t>
            </w:r>
          </w:p>
        </w:tc>
      </w:tr>
      <w:tr>
        <w:tc>
          <w:tcPr>
            <w:tcW w:w="0" w:type="auto"/>
          </w:tcPr>
          <w:p>
            <w:pPr>
              <w:spacing w:line="240" w:lineRule="auto" w:before="0" w:after="0"/>
              <w:pStyle w:val="Compact"/>
            </w:pPr>
            <w:r>
              <w:rPr>
                <w:sz w:val="20"/>
                <w:szCs w:val="20"/>
              </w:rPr>
              <w:t xml:space="preserve">EML2_NHIM_BR</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Wright et al. (2023) invariant manifolds; doi:10.64861/BVRP4972</w:t>
            </w:r>
          </w:p>
        </w:tc>
      </w:tr>
      <w:tr>
        <w:tc>
          <w:tcPr>
            <w:tcW w:w="0" w:type="auto"/>
          </w:tcPr>
          <w:p>
            <w:pPr>
              <w:spacing w:line="240" w:lineRule="auto" w:before="0" w:after="0"/>
              <w:pStyle w:val="Compact"/>
            </w:pPr>
            <w:r>
              <w:rPr>
                <w:sz w:val="20"/>
                <w:szCs w:val="20"/>
              </w:rPr>
              <w:t xml:space="preserve">EML1_DRO_TIE</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0.77</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Boh et al. (2025) L1/L2 Bayesian games min-dV; doi:10.64861/SIJX9169</w:t>
            </w:r>
          </w:p>
        </w:tc>
      </w:tr>
      <w:tr>
        <w:tc>
          <w:tcPr>
            <w:tcW w:w="0" w:type="auto"/>
          </w:tcPr>
          <w:p>
            <w:pPr>
              <w:spacing w:line="240" w:lineRule="auto" w:before="0" w:after="0"/>
              <w:pStyle w:val="Compact"/>
            </w:pPr>
            <w:r>
              <w:rPr>
                <w:sz w:val="20"/>
                <w:szCs w:val="20"/>
              </w:rPr>
              <w:t xml:space="preserve">EML2_DRO_TIE</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0.885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Boh et al. (2025) L1/L2 Bayesian games; doi:10.64861/SIJX9169</w:t>
            </w:r>
          </w:p>
        </w:tc>
      </w:tr>
      <w:tr>
        <w:tc>
          <w:tcPr>
            <w:tcW w:w="0" w:type="auto"/>
          </w:tcPr>
          <w:p>
            <w:pPr>
              <w:spacing w:line="240" w:lineRule="auto" w:before="0" w:after="0"/>
              <w:pStyle w:val="Compact"/>
            </w:pPr>
            <w:r>
              <w:rPr>
                <w:sz w:val="20"/>
                <w:szCs w:val="20"/>
              </w:rPr>
              <w:t xml:space="preserve">EML1_GAME_OPT</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0.845</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Boh et al. (2025) L1/L2 minimum-dV transfers; doi:10.64861/SIJX9169</w:t>
            </w:r>
          </w:p>
        </w:tc>
      </w:tr>
      <w:tr>
        <w:tc>
          <w:tcPr>
            <w:tcW w:w="0" w:type="auto"/>
          </w:tcPr>
          <w:p>
            <w:pPr>
              <w:spacing w:line="240" w:lineRule="auto" w:before="0" w:after="0"/>
              <w:pStyle w:val="Compact"/>
            </w:pPr>
            <w:r>
              <w:rPr>
                <w:sz w:val="20"/>
                <w:szCs w:val="20"/>
              </w:rPr>
              <w:t xml:space="preserve">SP_SHACK_RIM</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McKeown et al. (2025) lunar resources mining feasibility south pole; doi:10.1016/j.actaastro.2025.04.041</w:t>
            </w:r>
          </w:p>
        </w:tc>
      </w:tr>
      <w:tr>
        <w:tc>
          <w:tcPr>
            <w:tcW w:w="0" w:type="auto"/>
          </w:tcPr>
          <w:p>
            <w:pPr>
              <w:spacing w:line="240" w:lineRule="auto" w:before="0" w:after="0"/>
              <w:pStyle w:val="Compact"/>
            </w:pPr>
            <w:r>
              <w:rPr>
                <w:sz w:val="20"/>
                <w:szCs w:val="20"/>
              </w:rPr>
              <w:t xml:space="preserve">SP_CONNECT_RIDGE</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McKeown et al. (2025) lunar south pole sites; doi:10.1016/j.actaastro.2025.04.041</w:t>
            </w:r>
          </w:p>
        </w:tc>
      </w:tr>
      <w:tr>
        <w:tc>
          <w:tcPr>
            <w:tcW w:w="0" w:type="auto"/>
          </w:tcPr>
          <w:p>
            <w:pPr>
              <w:spacing w:line="240" w:lineRule="auto" w:before="0" w:after="0"/>
              <w:pStyle w:val="Compact"/>
            </w:pPr>
            <w:r>
              <w:rPr>
                <w:sz w:val="20"/>
                <w:szCs w:val="20"/>
              </w:rPr>
              <w:t xml:space="preserve">SP_MALAPERT</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McKeown et al. (2025) Malapert massif candidate; doi:10.1016/j.actaastro.2025.04.041</w:t>
            </w:r>
          </w:p>
        </w:tc>
      </w:tr>
      <w:tr>
        <w:tc>
          <w:tcPr>
            <w:tcW w:w="0" w:type="auto"/>
          </w:tcPr>
          <w:p>
            <w:pPr>
              <w:spacing w:line="240" w:lineRule="auto" w:before="0" w:after="0"/>
              <w:pStyle w:val="Compact"/>
            </w:pPr>
            <w:r>
              <w:rPr>
                <w:sz w:val="20"/>
                <w:szCs w:val="20"/>
              </w:rPr>
              <w:t xml:space="preserve">SP_HAWORTH</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McKeown et al. (2025) Haworth PSR adjacent; doi:10.1016/j.actaastro.2025.04.041</w:t>
            </w:r>
          </w:p>
        </w:tc>
      </w:tr>
      <w:tr>
        <w:tc>
          <w:tcPr>
            <w:tcW w:w="0" w:type="auto"/>
          </w:tcPr>
          <w:p>
            <w:pPr>
              <w:spacing w:line="240" w:lineRule="auto" w:before="0" w:after="0"/>
              <w:pStyle w:val="Compact"/>
            </w:pPr>
            <w:r>
              <w:rPr>
                <w:sz w:val="20"/>
                <w:szCs w:val="20"/>
              </w:rPr>
              <w:t xml:space="preserve">SP_SHOEMAKER</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McKeown et al. (2025) Shoemaker rim candidate; doi:10.1016/j.actaastro.2025.04.041</w:t>
            </w:r>
          </w:p>
        </w:tc>
      </w:tr>
      <w:tr>
        <w:tc>
          <w:tcPr>
            <w:tcW w:w="0" w:type="auto"/>
          </w:tcPr>
          <w:p>
            <w:pPr>
              <w:spacing w:line="240" w:lineRule="auto" w:before="0" w:after="0"/>
              <w:pStyle w:val="Compact"/>
            </w:pPr>
            <w:r>
              <w:rPr>
                <w:sz w:val="20"/>
                <w:szCs w:val="20"/>
              </w:rPr>
              <w:t xml:space="preserve">SP_FAUSTINI</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1.905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McKeown et al. (2025) Faustini-adjacent candidate; doi:10.1016/j.actaastro.2025.04.041</w:t>
            </w:r>
          </w:p>
        </w:tc>
      </w:tr>
      <w:tr>
        <w:tc>
          <w:tcPr>
            <w:tcW w:w="0" w:type="auto"/>
          </w:tcPr>
          <w:p>
            <w:pPr>
              <w:spacing w:line="240" w:lineRule="auto" w:before="0" w:after="0"/>
              <w:pStyle w:val="Compact"/>
            </w:pPr>
            <w:r>
              <w:rPr>
                <w:sz w:val="20"/>
                <w:szCs w:val="20"/>
              </w:rPr>
              <w:t xml:space="preserve">SP_DEGERLACHE</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1.895</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McKeown et al. (2025) de Gerlache rim candidate; doi:10.1016/j.actaastro.2025.04.041</w:t>
            </w:r>
          </w:p>
        </w:tc>
      </w:tr>
      <w:tr>
        <w:tc>
          <w:tcPr>
            <w:tcW w:w="0" w:type="auto"/>
          </w:tcPr>
          <w:p>
            <w:pPr>
              <w:spacing w:line="240" w:lineRule="auto" w:before="0" w:after="0"/>
              <w:pStyle w:val="Compact"/>
            </w:pPr>
            <w:r>
              <w:rPr>
                <w:sz w:val="20"/>
                <w:szCs w:val="20"/>
              </w:rPr>
              <w:t xml:space="preserve">SP_AMUNDSEN_RIM</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McKeown et al. (2025) Amundsen rim candidate; doi:10.1016/j.actaastro.2025.04.041</w:t>
            </w:r>
          </w:p>
        </w:tc>
      </w:tr>
      <w:tr>
        <w:tc>
          <w:tcPr>
            <w:tcW w:w="0" w:type="auto"/>
          </w:tcPr>
          <w:p>
            <w:pPr>
              <w:spacing w:line="240" w:lineRule="auto" w:before="0" w:after="0"/>
              <w:pStyle w:val="Compact"/>
            </w:pPr>
            <w:r>
              <w:rPr>
                <w:sz w:val="20"/>
                <w:szCs w:val="20"/>
              </w:rPr>
              <w:t xml:space="preserve">SP_CABEUS_RIM</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1.915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McKeown et al. (2025) Cabeus rim candidate; doi:10.1016/j.actaastro.2025.04.041</w:t>
            </w:r>
          </w:p>
        </w:tc>
      </w:tr>
      <w:tr>
        <w:tc>
          <w:tcPr>
            <w:tcW w:w="0" w:type="auto"/>
          </w:tcPr>
          <w:p>
            <w:pPr>
              <w:spacing w:line="240" w:lineRule="auto" w:before="0" w:after="0"/>
              <w:pStyle w:val="Compact"/>
            </w:pPr>
            <w:r>
              <w:rPr>
                <w:sz w:val="20"/>
                <w:szCs w:val="20"/>
              </w:rPr>
              <w:t xml:space="preserve">SP_PEAK_ETERNAL_LIGHT</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[illustrative] anchored to McKeown et al. (2025) peak of eternal light; doi:10.1016/j.actaastro.2025.04.041</w:t>
            </w:r>
          </w:p>
        </w:tc>
      </w:tr>
      <w:tr>
        <w:tc>
          <w:tcPr>
            <w:tcW w:w="0" w:type="auto"/>
          </w:tcPr>
          <w:p>
            <w:pPr>
              <w:spacing w:line="240" w:lineRule="auto" w:before="0" w:after="0"/>
              <w:pStyle w:val="Compact"/>
            </w:pPr>
            <w:r>
              <w:rPr>
                <w:sz w:val="20"/>
                <w:szCs w:val="20"/>
              </w:rPr>
              <w:t xml:space="preserve">SP_PSR_NEAR</w:t>
            </w:r>
          </w:p>
        </w:tc>
        <w:tc>
          <w:tcPr>
            <w:tcW w:w="0" w:type="auto"/>
          </w:tcPr>
          <w:p>
            <w:pPr>
              <w:spacing w:line="240" w:lineRule="auto" w:before="0" w:after="0"/>
              <w:pStyle w:val="Compact"/>
            </w:pPr>
            <w:r>
              <w:rPr>
                <w:sz w:val="20"/>
                <w:szCs w:val="20"/>
              </w:rPr>
              <w:t xml:space="preserve">polar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[illustrative] anchored to McKeown et al. (2025) deep PSR candidate; doi:10.1016/j.actaastro.2025.04.041</w:t>
            </w:r>
          </w:p>
        </w:tc>
      </w:tr>
      <w:tr>
        <w:tc>
          <w:tcPr>
            <w:tcW w:w="0" w:type="auto"/>
          </w:tcPr>
          <w:p>
            <w:pPr>
              <w:spacing w:line="240" w:lineRule="auto" w:before="0" w:after="0"/>
              <w:pStyle w:val="Compact"/>
            </w:pPr>
            <w:r>
              <w:rPr>
                <w:sz w:val="20"/>
                <w:szCs w:val="20"/>
              </w:rPr>
              <w:t xml:space="preserve">NRHO_OUTBOUND_ALT</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0.735</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Pozzi et al. (2024) Gateway outbound transfer; doi:10.1016/j.actaastro.2024.11.040</w:t>
            </w:r>
          </w:p>
        </w:tc>
      </w:tr>
      <w:tr>
        <w:tc>
          <w:tcPr>
            <w:tcW w:w="0" w:type="auto"/>
          </w:tcPr>
          <w:p>
            <w:pPr>
              <w:spacing w:line="240" w:lineRule="auto" w:before="0" w:after="0"/>
              <w:pStyle w:val="Compact"/>
            </w:pPr>
            <w:r>
              <w:rPr>
                <w:sz w:val="20"/>
                <w:szCs w:val="20"/>
              </w:rPr>
              <w:t xml:space="preserve">EML1_MANIFOLD_FAST</w:t>
            </w:r>
          </w:p>
        </w:tc>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0.835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Wright et al. (2023) fast manifold branch; doi:10.64861/BVRP4972</w:t>
            </w:r>
          </w:p>
        </w:tc>
      </w:tr>
    </w:tbl>
    <w:bookmarkEnd w:id="87"/>
    <w:bookmarkStart w:id="8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reach_share</w:t>
            </w:r>
          </w:p>
        </w:tc>
        <w:tc>
          <w:tcPr>
            <w:tcW w:w="0" w:type="auto"/>
          </w:tcPr>
          <w:p>
            <w:pPr>
              <w:spacing w:line="240" w:lineRule="auto" w:before="0" w:after="0"/>
              <w:pStyle w:val="Compact"/>
            </w:pPr>
            <w:r>
              <w:rPr>
                <w:sz w:val="20"/>
                <w:szCs w:val="20"/>
              </w:rPr>
              <w:t xml:space="preserve">Share of a fixed catalogue of mission-relevant cislunar transfers a node can service within budgeted delta-v and time-of-flight (0 to 1)</w:t>
            </w:r>
          </w:p>
        </w:tc>
        <w:tc>
          <w:tcPr>
            <w:tcW w:w="0" w:type="auto"/>
          </w:tcPr>
          <w:p>
            <w:pPr>
              <w:spacing w:line="240" w:lineRule="auto" w:before="0" w:after="0"/>
              <w:pStyle w:val="Compact"/>
            </w:pPr>
            <w:r>
              <w:rPr>
                <w:sz w:val="20"/>
                <w:szCs w:val="20"/>
              </w:rPr>
              <w:t xml:space="preserve">Computed from published trajectory tables in Kikuchi &amp; Ueda (2025), Pozzi et al. (2024), Wright et al. (2023), and McKeown et al. (2025)</w:t>
            </w:r>
          </w:p>
        </w:tc>
      </w:tr>
      <w:tr>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Indicator equal to 1 if the node is a Near Rectilinear Halo Orbit placement, 0 otherwise</w:t>
            </w:r>
          </w:p>
        </w:tc>
        <w:tc>
          <w:tcPr>
            <w:tcW w:w="0" w:type="auto"/>
          </w:tcPr>
          <w:p>
            <w:pPr>
              <w:spacing w:line="240" w:lineRule="auto" w:before="0" w:after="0"/>
              <w:pStyle w:val="Compact"/>
            </w:pPr>
            <w:r>
              <w:rPr>
                <w:sz w:val="20"/>
                <w:szCs w:val="20"/>
              </w:rPr>
              <w:t xml:space="preserve">Coded from prospectus node-class taxonomy; lunar south-polar surface is the reference class</w:t>
            </w:r>
          </w:p>
        </w:tc>
      </w:tr>
      <w:tr>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Indicator equal to 1 if the node is a collinear libration (Earth-Moon L1 or L2) placement, 0 otherwise</w:t>
            </w:r>
          </w:p>
        </w:tc>
        <w:tc>
          <w:tcPr>
            <w:tcW w:w="0" w:type="auto"/>
          </w:tcPr>
          <w:p>
            <w:pPr>
              <w:spacing w:line="240" w:lineRule="auto" w:before="0" w:after="0"/>
              <w:pStyle w:val="Compact"/>
            </w:pPr>
            <w:r>
              <w:rPr>
                <w:sz w:val="20"/>
                <w:szCs w:val="20"/>
              </w:rPr>
              <w:t xml:space="preserve">Coded from prospectus node-class taxonomy; lunar south-polar surface is the reference class</w:t>
            </w:r>
          </w:p>
        </w:tc>
      </w:tr>
      <w:tr>
        <w:tc>
          <w:tcPr>
            <w:tcW w:w="0" w:type="auto"/>
          </w:tcPr>
          <w:p>
            <w:pPr>
              <w:spacing w:line="240" w:lineRule="auto" w:before="0" w:after="0"/>
              <w:pStyle w:val="Compact"/>
            </w:pPr>
            <w:r>
              <w:rPr>
                <w:sz w:val="20"/>
                <w:szCs w:val="20"/>
              </w:rPr>
              <w:t xml:space="preserve">prop_supply_index</w:t>
            </w:r>
          </w:p>
        </w:tc>
        <w:tc>
          <w:tcPr>
            <w:tcW w:w="0" w:type="auto"/>
          </w:tcPr>
          <w:p>
            <w:pPr>
              <w:spacing w:line="240" w:lineRule="auto" w:before="0" w:after="0"/>
              <w:pStyle w:val="Compact"/>
            </w:pPr>
            <w:r>
              <w:rPr>
                <w:sz w:val="20"/>
                <w:szCs w:val="20"/>
              </w:rPr>
              <w:t xml:space="preserve">Propellant supply geometry score (0 to 1) reflecting suitability for OTV propellant aggregation given transfer delta-v profile</w:t>
            </w:r>
          </w:p>
        </w:tc>
        <w:tc>
          <w:tcPr>
            <w:tcW w:w="0" w:type="auto"/>
          </w:tcPr>
          <w:p>
            <w:pPr>
              <w:spacing w:line="240" w:lineRule="auto" w:before="0" w:after="0"/>
              <w:pStyle w:val="Compact"/>
            </w:pPr>
            <w:r>
              <w:rPr>
                <w:sz w:val="20"/>
                <w:szCs w:val="20"/>
              </w:rPr>
              <w:t xml:space="preserve">Constructed from Kikuchi &amp; Ueda (2025) and Pozzi et al. (2024) low-thrust optimal transfer results</w:t>
            </w:r>
          </w:p>
        </w:tc>
      </w:tr>
      <w:tr>
        <w:tc>
          <w:tcPr>
            <w:tcW w:w="0" w:type="auto"/>
          </w:tcPr>
          <w:p>
            <w:pPr>
              <w:spacing w:line="240" w:lineRule="auto" w:before="0" w:after="0"/>
              <w:pStyle w:val="Compact"/>
            </w:pPr>
            <w:r>
              <w:rPr>
                <w:sz w:val="20"/>
                <w:szCs w:val="20"/>
              </w:rPr>
              <w:t xml:space="preserve">obs_access_index</w:t>
            </w:r>
          </w:p>
        </w:tc>
        <w:tc>
          <w:tcPr>
            <w:tcW w:w="0" w:type="auto"/>
          </w:tcPr>
          <w:p>
            <w:pPr>
              <w:spacing w:line="240" w:lineRule="auto" w:before="0" w:after="0"/>
              <w:pStyle w:val="Compact"/>
            </w:pPr>
            <w:r>
              <w:rPr>
                <w:sz w:val="20"/>
                <w:szCs w:val="20"/>
              </w:rPr>
              <w:t xml:space="preserve">Observation accessibility score (0 to 1) reflecting visibility, manifold connectivity, and SDA staring geometry from the node</w:t>
            </w:r>
          </w:p>
        </w:tc>
        <w:tc>
          <w:tcPr>
            <w:tcW w:w="0" w:type="auto"/>
          </w:tcPr>
          <w:p>
            <w:pPr>
              <w:spacing w:line="240" w:lineRule="auto" w:before="0" w:after="0"/>
              <w:pStyle w:val="Compact"/>
            </w:pPr>
            <w:r>
              <w:rPr>
                <w:sz w:val="20"/>
                <w:szCs w:val="20"/>
              </w:rPr>
              <w:t xml:space="preserve">Constructed from Bolden et al. (2020), Rosengren (2021), Wright et al. (2023), and Boh et al. (2025) cislunar SDA studies</w:t>
            </w:r>
          </w:p>
        </w:tc>
      </w:tr>
    </w:tbl>
    <w:bookmarkEnd w:id="88"/>
    <w:bookmarkStart w:id="8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-0.0576</w:t>
            </w:r>
          </w:p>
        </w:tc>
        <w:tc>
          <w:tcPr>
            <w:tcW w:w="0" w:type="auto"/>
          </w:tcPr>
          <w:p>
            <w:pPr>
              <w:spacing w:line="240" w:lineRule="auto" w:before="0" w:after="0"/>
              <w:pStyle w:val="Compact"/>
            </w:pPr>
            <w:r>
              <w:rPr>
                <w:sz w:val="20"/>
                <w:szCs w:val="20"/>
              </w:rPr>
              <w:t xml:space="preserve">0.0246</w:t>
            </w:r>
          </w:p>
        </w:tc>
        <w:tc>
          <w:tcPr>
            <w:tcW w:w="0" w:type="auto"/>
          </w:tcPr>
          <w:p>
            <w:pPr>
              <w:spacing w:line="240" w:lineRule="auto" w:before="0" w:after="0"/>
              <w:pStyle w:val="Compact"/>
            </w:pPr>
            <w:r>
              <w:rPr>
                <w:sz w:val="20"/>
                <w:szCs w:val="20"/>
              </w:rPr>
              <w:t xml:space="preserve">-2.346</w:t>
            </w:r>
          </w:p>
        </w:tc>
        <w:tc>
          <w:tcPr>
            <w:tcW w:w="0" w:type="auto"/>
          </w:tcPr>
          <w:p>
            <w:pPr>
              <w:spacing w:line="240" w:lineRule="auto" w:before="0" w:after="0"/>
              <w:pStyle w:val="Compact"/>
            </w:pPr>
            <w:r>
              <w:rPr>
                <w:sz w:val="20"/>
                <w:szCs w:val="20"/>
              </w:rPr>
              <w:t xml:space="preserve">0.019</w:t>
            </w:r>
          </w:p>
        </w:tc>
        <w:tc>
          <w:tcPr>
            <w:tcW w:w="0" w:type="auto"/>
          </w:tcPr>
          <w:p>
            <w:pPr>
              <w:spacing w:line="240" w:lineRule="auto" w:before="0" w:after="0"/>
              <w:pStyle w:val="Compact"/>
            </w:pPr>
            <w:r>
              <w:rPr>
                <w:sz w:val="20"/>
                <w:szCs w:val="20"/>
              </w:rPr>
              <w:t xml:space="preserve">[-0.1057, -0.0095]</w:t>
            </w:r>
          </w:p>
        </w:tc>
      </w:tr>
      <w:tr>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-0.0583</w:t>
            </w:r>
          </w:p>
        </w:tc>
        <w:tc>
          <w:tcPr>
            <w:tcW w:w="0" w:type="auto"/>
          </w:tcPr>
          <w:p>
            <w:pPr>
              <w:spacing w:line="240" w:lineRule="auto" w:before="0" w:after="0"/>
              <w:pStyle w:val="Compact"/>
            </w:pPr>
            <w:r>
              <w:rPr>
                <w:sz w:val="20"/>
                <w:szCs w:val="20"/>
              </w:rPr>
              <w:t xml:space="preserve">0.0205</w:t>
            </w:r>
          </w:p>
        </w:tc>
        <w:tc>
          <w:tcPr>
            <w:tcW w:w="0" w:type="auto"/>
          </w:tcPr>
          <w:p>
            <w:pPr>
              <w:spacing w:line="240" w:lineRule="auto" w:before="0" w:after="0"/>
              <w:pStyle w:val="Compact"/>
            </w:pPr>
            <w:r>
              <w:rPr>
                <w:sz w:val="20"/>
                <w:szCs w:val="20"/>
              </w:rPr>
              <w:t xml:space="preserve">-2.8397</w:t>
            </w:r>
          </w:p>
        </w:tc>
        <w:tc>
          <w:tcPr>
            <w:tcW w:w="0" w:type="auto"/>
          </w:tcPr>
          <w:p>
            <w:pPr>
              <w:spacing w:line="240" w:lineRule="auto" w:before="0" w:after="0"/>
              <w:pStyle w:val="Compact"/>
            </w:pPr>
            <w:r>
              <w:rPr>
                <w:sz w:val="20"/>
                <w:szCs w:val="20"/>
              </w:rPr>
              <w:t xml:space="preserve">0.0045</w:t>
            </w:r>
          </w:p>
        </w:tc>
        <w:tc>
          <w:tcPr>
            <w:tcW w:w="0" w:type="auto"/>
          </w:tcPr>
          <w:p>
            <w:pPr>
              <w:spacing w:line="240" w:lineRule="auto" w:before="0" w:after="0"/>
              <w:pStyle w:val="Compact"/>
            </w:pPr>
            <w:r>
              <w:rPr>
                <w:sz w:val="20"/>
                <w:szCs w:val="20"/>
              </w:rPr>
              <w:t xml:space="preserve">[-0.0985, -0.0181]</w:t>
            </w:r>
          </w:p>
        </w:tc>
      </w:tr>
      <w:tr>
        <w:tc>
          <w:tcPr>
            <w:tcW w:w="0" w:type="auto"/>
          </w:tcPr>
          <w:p>
            <w:pPr>
              <w:spacing w:line="240" w:lineRule="auto" w:before="0" w:after="0"/>
              <w:pStyle w:val="Compact"/>
            </w:pPr>
            <w:r>
              <w:rPr>
                <w:sz w:val="20"/>
                <w:szCs w:val="20"/>
              </w:rPr>
              <w:t xml:space="preserve">libration</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0.0221</w:t>
            </w:r>
          </w:p>
        </w:tc>
        <w:tc>
          <w:tcPr>
            <w:tcW w:w="0" w:type="auto"/>
          </w:tcPr>
          <w:p>
            <w:pPr>
              <w:spacing w:line="240" w:lineRule="auto" w:before="0" w:after="0"/>
              <w:pStyle w:val="Compact"/>
            </w:pPr>
            <w:r>
              <w:rPr>
                <w:sz w:val="20"/>
                <w:szCs w:val="20"/>
              </w:rPr>
              <w:t xml:space="preserve">-0.4539</w:t>
            </w:r>
          </w:p>
        </w:tc>
        <w:tc>
          <w:tcPr>
            <w:tcW w:w="0" w:type="auto"/>
          </w:tcPr>
          <w:p>
            <w:pPr>
              <w:spacing w:line="240" w:lineRule="auto" w:before="0" w:after="0"/>
              <w:pStyle w:val="Compact"/>
            </w:pPr>
            <w:r>
              <w:rPr>
                <w:sz w:val="20"/>
                <w:szCs w:val="20"/>
              </w:rPr>
              <w:t xml:space="preserve">0.6499</w:t>
            </w:r>
          </w:p>
        </w:tc>
        <w:tc>
          <w:tcPr>
            <w:tcW w:w="0" w:type="auto"/>
          </w:tcPr>
          <w:p>
            <w:pPr>
              <w:spacing w:line="240" w:lineRule="auto" w:before="0" w:after="0"/>
              <w:pStyle w:val="Compact"/>
            </w:pPr>
            <w:r>
              <w:rPr>
                <w:sz w:val="20"/>
                <w:szCs w:val="20"/>
              </w:rPr>
              <w:t xml:space="preserve">[-0.0534, 0.0333]</w:t>
            </w:r>
          </w:p>
        </w:tc>
      </w:tr>
      <w:tr>
        <w:tc>
          <w:tcPr>
            <w:tcW w:w="0" w:type="auto"/>
          </w:tcPr>
          <w:p>
            <w:pPr>
              <w:spacing w:line="240" w:lineRule="auto" w:before="0" w:after="0"/>
              <w:pStyle w:val="Compact"/>
            </w:pPr>
            <w:r>
              <w:rPr>
                <w:sz w:val="20"/>
                <w:szCs w:val="20"/>
              </w:rPr>
              <w:t xml:space="preserve">prop_supply_index</w:t>
            </w:r>
          </w:p>
        </w:tc>
        <w:tc>
          <w:tcPr>
            <w:tcW w:w="0" w:type="auto"/>
          </w:tcPr>
          <w:p>
            <w:pPr>
              <w:spacing w:line="240" w:lineRule="auto" w:before="0" w:after="0"/>
              <w:pStyle w:val="Compact"/>
            </w:pPr>
            <w:r>
              <w:rPr>
                <w:sz w:val="20"/>
                <w:szCs w:val="20"/>
              </w:rPr>
              <w:t xml:space="preserve">1.0331</w:t>
            </w:r>
          </w:p>
        </w:tc>
        <w:tc>
          <w:tcPr>
            <w:tcW w:w="0" w:type="auto"/>
          </w:tcPr>
          <w:p>
            <w:pPr>
              <w:spacing w:line="240" w:lineRule="auto" w:before="0" w:after="0"/>
              <w:pStyle w:val="Compact"/>
            </w:pPr>
            <w:r>
              <w:rPr>
                <w:sz w:val="20"/>
                <w:szCs w:val="20"/>
              </w:rPr>
              <w:t xml:space="preserve">0.0617</w:t>
            </w:r>
          </w:p>
        </w:tc>
        <w:tc>
          <w:tcPr>
            <w:tcW w:w="0" w:type="auto"/>
          </w:tcPr>
          <w:p>
            <w:pPr>
              <w:spacing w:line="240" w:lineRule="auto" w:before="0" w:after="0"/>
              <w:pStyle w:val="Compact"/>
            </w:pPr>
            <w:r>
              <w:rPr>
                <w:sz w:val="20"/>
                <w:szCs w:val="20"/>
              </w:rPr>
              <w:t xml:space="preserve">16.7522</w:t>
            </w:r>
          </w:p>
        </w:tc>
        <w:tc>
          <w:tcPr>
            <w:tcW w:w="0" w:type="auto"/>
          </w:tcPr>
          <w:p>
            <w:pPr>
              <w:spacing w:line="240" w:lineRule="auto" w:before="0" w:after="0"/>
              <w:pStyle w:val="Compact"/>
            </w:pPr>
            <w:r>
              <w:rPr>
                <w:sz w:val="20"/>
                <w:szCs w:val="20"/>
              </w:rPr>
              <w:t xml:space="preserve">5.454e-63</w:t>
            </w:r>
          </w:p>
        </w:tc>
        <w:tc>
          <w:tcPr>
            <w:tcW w:w="0" w:type="auto"/>
          </w:tcPr>
          <w:p>
            <w:pPr>
              <w:spacing w:line="240" w:lineRule="auto" w:before="0" w:after="0"/>
              <w:pStyle w:val="Compact"/>
            </w:pPr>
            <w:r>
              <w:rPr>
                <w:sz w:val="20"/>
                <w:szCs w:val="20"/>
              </w:rPr>
              <w:t xml:space="preserve">[0.9122, 1.154]</w:t>
            </w:r>
          </w:p>
        </w:tc>
      </w:tr>
      <w:tr>
        <w:tc>
          <w:tcPr>
            <w:tcW w:w="0" w:type="auto"/>
          </w:tcPr>
          <w:p>
            <w:pPr>
              <w:spacing w:line="240" w:lineRule="auto" w:before="0" w:after="0"/>
              <w:pStyle w:val="Compact"/>
            </w:pPr>
            <w:r>
              <w:rPr>
                <w:sz w:val="20"/>
                <w:szCs w:val="20"/>
              </w:rPr>
              <w:t xml:space="preserve">obs_access_index</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0.0587</w:t>
            </w:r>
          </w:p>
        </w:tc>
        <w:tc>
          <w:tcPr>
            <w:tcW w:w="0" w:type="auto"/>
          </w:tcPr>
          <w:p>
            <w:pPr>
              <w:spacing w:line="240" w:lineRule="auto" w:before="0" w:after="0"/>
              <w:pStyle w:val="Compact"/>
            </w:pPr>
            <w:r>
              <w:rPr>
                <w:sz w:val="20"/>
                <w:szCs w:val="20"/>
              </w:rPr>
              <w:t xml:space="preserve">0.497</w:t>
            </w:r>
          </w:p>
        </w:tc>
        <w:tc>
          <w:tcPr>
            <w:tcW w:w="0" w:type="auto"/>
          </w:tcPr>
          <w:p>
            <w:pPr>
              <w:spacing w:line="240" w:lineRule="auto" w:before="0" w:after="0"/>
              <w:pStyle w:val="Compact"/>
            </w:pPr>
            <w:r>
              <w:rPr>
                <w:sz w:val="20"/>
                <w:szCs w:val="20"/>
              </w:rPr>
              <w:t xml:space="preserve">0.6192</w:t>
            </w:r>
          </w:p>
        </w:tc>
        <w:tc>
          <w:tcPr>
            <w:tcW w:w="0" w:type="auto"/>
          </w:tcPr>
          <w:p>
            <w:pPr>
              <w:spacing w:line="240" w:lineRule="auto" w:before="0" w:after="0"/>
              <w:pStyle w:val="Compact"/>
            </w:pPr>
            <w:r>
              <w:rPr>
                <w:sz w:val="20"/>
                <w:szCs w:val="20"/>
              </w:rPr>
              <w:t xml:space="preserve">[-0.0859, 0.1443]</w:t>
            </w:r>
          </w:p>
        </w:tc>
      </w:tr>
    </w:tbl>
    <w:p>
      <w:pPr>
        <w:pStyle w:val="BodyText"/>
      </w:pPr>
      <w:r>
        <w:t xml:space="preserve">Fit: N = 32 R2 = 0.9979 R2_adj = 0.9976 F = 3771.795 F_p = 1.154e-36</w:t>
      </w:r>
    </w:p>
    <w:bookmarkEnd w:id="89"/>
    <w:bookmarkEnd w:id="90"/>
    <w:bookmarkEnd w:id="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3" Target="media/rId83.png" /><Relationship Type="http://schemas.openxmlformats.org/officeDocument/2006/relationships/hyperlink" Id="rId72" Target="https://doi.org/10.1016/j.actaastro.2024.11.040" TargetMode="External" /><Relationship Type="http://schemas.openxmlformats.org/officeDocument/2006/relationships/hyperlink" Id="rId78" Target="https://doi.org/10.1016/j.actaastro.2025.04.041" TargetMode="External" /><Relationship Type="http://schemas.openxmlformats.org/officeDocument/2006/relationships/hyperlink" Id="rId70" Target="https://doi.org/10.1016/j.actaastro.2025.06.038" TargetMode="External" /><Relationship Type="http://schemas.openxmlformats.org/officeDocument/2006/relationships/hyperlink" Id="rId75" Target="https://doi.org/10.64861/BVRP4972" TargetMode="External" /><Relationship Type="http://schemas.openxmlformats.org/officeDocument/2006/relationships/hyperlink" Id="rId80" Target="https://doi.org/10.64861/SIJX9169"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24.11.040" TargetMode="External" /><Relationship Type="http://schemas.openxmlformats.org/officeDocument/2006/relationships/hyperlink" Id="rId78" Target="https://doi.org/10.1016/j.actaastro.2025.04.041" TargetMode="External" /><Relationship Type="http://schemas.openxmlformats.org/officeDocument/2006/relationships/hyperlink" Id="rId70" Target="https://doi.org/10.1016/j.actaastro.2025.06.038" TargetMode="External" /><Relationship Type="http://schemas.openxmlformats.org/officeDocument/2006/relationships/hyperlink" Id="rId75" Target="https://doi.org/10.64861/BVRP4972" TargetMode="External" /><Relationship Type="http://schemas.openxmlformats.org/officeDocument/2006/relationships/hyperlink" Id="rId80" Target="https://doi.org/10.64861/SIJX916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2026-06-27T00:26:03Z</dcterms:created>
  <dcterms:modified xsi:type="dcterms:W3CDTF">2026-06-27T00:26:03Z</dcterms:modified>
</cp:coreProperties>
</file>

<file path=docProps/custom.xml><?xml version="1.0" encoding="utf-8"?>
<Properties xmlns="http://schemas.openxmlformats.org/officeDocument/2006/custom-properties" xmlns:vt="http://schemas.openxmlformats.org/officeDocument/2006/docPropsVTypes"/>
</file>