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SEA POWER DOCTRINE ON THE CISLUNAR SEA: DOES LOGISTICS-BASE GEOGRAPHY PREDICT STRATEGIC POSITION IN THE EARTH-MOON SYSTEM?</w:t>
      </w:r>
    </w:p>
    <w:p>
      <w:pPr>
        <w:jc w:val="center"/>
      </w:pPr>
    </w:p>
    <w:p>
      <w:pPr>
        <w:jc w:val="center"/>
      </w:pPr>
      <w:r>
        <w:rPr>
          <w:rFonts w:ascii="Times New Roman" w:hAnsi="Times New Roman"/>
          <w:sz w:val="24"/>
        </w:rPr>
        <w:t>by</w:t>
      </w:r>
    </w:p>
    <w:p>
      <w:pPr>
        <w:jc w:val="center"/>
      </w:pPr>
      <w:r>
        <w:rPr>
          <w:rFonts w:ascii="Times New Roman" w:hAnsi="Times New Roman"/>
          <w:b/>
          <w:sz w:val="28"/>
        </w:rPr>
        <w:t>Roland Bjornson</w:t>
      </w:r>
    </w:p>
    <w:p>
      <w:pPr>
        <w:jc w:val="center"/>
      </w:pPr>
      <w:r>
        <w:rPr>
          <w:rFonts w:ascii="Times New Roman" w:hAnsi="Times New Roman"/>
          <w:sz w:val="24"/>
        </w:rPr>
        <w:t>1B-LUN-088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Capital, schedule, and political attention are flowing toward a cislunar architecture whose strategic premises have gone largely untested. Under the Artemis campaign the United States has placed a Gateway station in a Near Rectilinear Halo Orbit (NRHO), procured two competing human landing systems, and routed a growing catalogue of Commercial Lunar Payload Services flights toward the lunar south pole [27, 28, 29, 30, 31, 32]. At the agency portfolio level the cost and schedule profile of the major projects supporting this campaign has become consequential, a fact the Government Accountability Office documents in some detail</w:t>
      </w:r>
      <w:r>
        <w:t xml:space="preserve"> </w:t>
      </w:r>
      <w:hyperlink w:anchor="ref-26">
        <w:r>
          <w:rPr>
            <w:rStyle w:val="Hyperlink"/>
          </w:rPr>
          <w:t xml:space="preserve">[26]</w:t>
        </w:r>
      </w:hyperlink>
      <w:r>
        <w:t xml:space="preserve">. Partners and competitors abroad are committing on their own timelines: Chandrayaan-3 demonstrated a south-polar landing, SLIM demonstrated pinpoint precision, and CAPSTONE returned the first operational ephemeris from a near-rectilinear halo orbit ahead of Gateway [34, 35, 36]. Buried in each of these programmatic decisions is a geographic claim, namely that certain orbits, certain libration regions, and certain surface locations confer strategic position that other nodes do not.</w:t>
      </w:r>
    </w:p>
    <w:p>
      <w:pPr>
        <w:pStyle w:val="BodyText"/>
        <w:spacing w:line="480" w:lineRule="auto"/>
        <w:ind w:firstLine="720"/>
      </w:pPr>
      <w:r>
        <w:t xml:space="preserve">That claim is seldom stated in those terms. Public discourse reaches instead for a maritime vocabulary, treating NRHO as a forward base, L1 and L2 as straits, and the lunar south pole as a coaling station for propellant. Evocative as the vocabulary is, no one has examined the operational form of the claim against the underlying astrodynamics. Suppose logistics-base geography genuinely predicts strategic position in the Earth-Moon system. Then the Artemis architecture is correctly aimed at the highest-leverage nodes, and the public expenditure is defensible on geographic grounds [26, 27, 28, 29]. Suppose instead that it does not, once propellant supply and observation accessibility are accounted for. Then the Mahanian frame is decorative, and whatever defensibility the architecture retains rests on mission-programming choices, choices that ought to be argued on engineering economics rather than on analogy.</w:t>
      </w:r>
    </w:p>
    <w:p>
      <w:pPr>
        <w:pStyle w:val="BodyText"/>
        <w:spacing w:line="480" w:lineRule="auto"/>
        <w:ind w:firstLine="720"/>
      </w:pPr>
      <w:r>
        <w:t xml:space="preserve">For NASA the stakes are immediate. Gateway, the Human Landing System procurements, and the CLPS portfolio together amount to the largest cislunar logistics investment in the agency’s history [26, 27, 28, 29]. When VIPER was cancelled in 2024 it illustrated, at real cost, what happens when portfolio decisions rest on assumptions never formally tested against the operational geography of the destination</w:t>
      </w:r>
      <w:r>
        <w:t xml:space="preserve"> </w:t>
      </w:r>
      <w:hyperlink w:anchor="ref-33">
        <w:r>
          <w:rPr>
            <w:rStyle w:val="Hyperlink"/>
          </w:rPr>
          <w:t xml:space="preserve">[33]</w:t>
        </w:r>
      </w:hyperlink>
      <w:r>
        <w:t xml:space="preserve">. A falsifiable test of the Mahanian premise hands the agency an explicit basis for judging whether the present node selection survives a robustness check against the published trajectory and observation literature, along with a structured way to identify which nodes a later generation of architectures might prefer should the test fail.</w:t>
      </w:r>
    </w:p>
    <w:p>
      <w:pPr>
        <w:pStyle w:val="BodyText"/>
        <w:spacing w:line="480" w:lineRule="auto"/>
        <w:ind w:firstLine="720"/>
      </w:pPr>
      <w:r>
        <w:t xml:space="preserve">The Jet Propulsion Laboratory has a stake that is just as direct. Through Moon to Mars architecture work, autonomous rendezvous, and the integration of small commercial landers into a layered surface campaign, JPL’s mission portfolio reaches further into cislunar trajectory design and operations each year [46, 50]. Where the Laboratory stands in the recompete period turns in part on whether it can articulate why particular node placements warrant deep technical investment. A reachability-based predictor model supplies exactly that articulation, on a defensible quantitative footing, anchored in the same astrodynamics literature that carries the Laboratory’s own published work [22, 50].</w:t>
      </w:r>
    </w:p>
    <w:bookmarkEnd w:id="61"/>
    <w:bookmarkStart w:id="62" w:name="Xe5b498cf546bbd1087ab941b96cdb48215a00fb"/>
    <w:p>
      <w:pPr>
        <w:pStyle w:val="Heading2"/>
        <w:spacing w:line="480" w:lineRule="auto"/>
      </w:pPr>
      <w:r>
        <w:t xml:space="preserve">1.2 Two Literatures That Do Not Speak to Each Other</w:t>
      </w:r>
    </w:p>
    <w:p>
      <w:pPr>
        <w:pStyle w:val="FirstParagraph"/>
        <w:spacing w:line="480" w:lineRule="auto"/>
      </w:pPr>
      <w:r>
        <w:t xml:space="preserve">What this dissertation contributes sits at the seam between two largely disjoint literatures. Neither, on its own, has produced the result reported here.</w:t>
      </w:r>
    </w:p>
    <w:p>
      <w:pPr>
        <w:pStyle w:val="BodyText"/>
        <w:spacing w:line="480" w:lineRule="auto"/>
        <w:ind w:firstLine="720"/>
      </w:pPr>
      <w:r>
        <w:t xml:space="preserve">Call the first the cislunar domain literature: trajectory design, station-keeping, libration-region dynamics, and surface infrastructure assessment. Kikuchi and Ueda work inside it, specifying reusable orbital transfer vehicle trajectories between propellant infrastructure and Gateway via NRHO and quantifying the delta-v cost of the transfer chain [1, 13, 20]. Pozzi and colleagues solve the optimal low-thrust transfer problem that connects Gateway to Earth and to lunar surface staging orbits, again reporting delta-v and time-of-flight [4, 14, 21]. Davis and colleagues characterise station-keeping budgets in the Gateway NRHO under realistic ephemeris and operations constraints, which anchors the upstream cost of treating NRHO as a persistent base</w:t>
      </w:r>
      <w:r>
        <w:t xml:space="preserve"> </w:t>
      </w:r>
      <w:hyperlink w:anchor="ref-22">
        <w:r>
          <w:rPr>
            <w:rStyle w:val="Hyperlink"/>
          </w:rPr>
          <w:t xml:space="preserve">[22]</w:t>
        </w:r>
      </w:hyperlink>
      <w:r>
        <w:t xml:space="preserve">. For proximate operations near L1 and L2, Colombi, Colagrossi, and Lavagna supply the relative-motion grammar, characterising six-degree-of-freedom relative dynamics around libration points</w:t>
      </w:r>
      <w:r>
        <w:t xml:space="preserve"> </w:t>
      </w:r>
      <w:hyperlink w:anchor="ref-2">
        <w:r>
          <w:rPr>
            <w:rStyle w:val="Hyperlink"/>
          </w:rPr>
          <w:t xml:space="preserve">[2]</w:t>
        </w:r>
      </w:hyperlink>
      <w:r>
        <w:t xml:space="preserve">. Russo and colleagues carry the rendezvous and mating problem into Gateway operations with collision-avoidance maneuvering</w:t>
      </w:r>
      <w:r>
        <w:t xml:space="preserve"> </w:t>
      </w:r>
      <w:hyperlink w:anchor="ref-46">
        <w:r>
          <w:rPr>
            <w:rStyle w:val="Hyperlink"/>
          </w:rPr>
          <w:t xml:space="preserve">[46]</w:t>
        </w:r>
      </w:hyperlink>
      <w:r>
        <w:t xml:space="preserve">, while Houin and Sood situate cislunar trajectory design within NASA’s Moon to Mars architecture</w:t>
      </w:r>
      <w:r>
        <w:t xml:space="preserve"> </w:t>
      </w:r>
      <w:hyperlink w:anchor="ref-50">
        <w:r>
          <w:rPr>
            <w:rStyle w:val="Hyperlink"/>
          </w:rPr>
          <w:t xml:space="preserve">[50]</w:t>
        </w:r>
      </w:hyperlink>
      <w:r>
        <w:t xml:space="preserve">. On the surface side, McKeown and colleagues place lunar resources research inside a mining feasibility framework and develop feasibility envelopes for south-pole propellant production [3, 18, 25].</w:t>
      </w:r>
    </w:p>
    <w:p>
      <w:pPr>
        <w:pStyle w:val="BodyText"/>
        <w:spacing w:line="480" w:lineRule="auto"/>
        <w:ind w:firstLine="720"/>
      </w:pPr>
      <w:r>
        <w:t xml:space="preserve">Running parallel inside the same domain literature is a branch that treats the cislunar volume as an observation problem. Bolden, Craychee, and Griggs evaluate cislunar observation constellation orbit stability and sensor accessibility at the Earth-Moon libration points [5, 17, 24]. Rosengren characterises cislunar multiscale dynamics and works out what L1 to L2 transit structure implies for space situational awareness [6, 15]. Wright and colleagues monitor and characterise accessible invariant manifolds in the cislunar regime, and in doing so produce the accessibility tables that translate manifold structure into operational reach [7, 16, 23]. In a separate Trusted Space contribution, Bolden and colleagues address probabilistic initial orbit determination and object tracking with optical sensors in the cislunar regime</w:t>
      </w:r>
      <w:r>
        <w:t xml:space="preserve"> </w:t>
      </w:r>
      <w:hyperlink w:anchor="ref-39">
        <w:r>
          <w:rPr>
            <w:rStyle w:val="Hyperlink"/>
          </w:rPr>
          <w:t xml:space="preserve">[39]</w:t>
        </w:r>
      </w:hyperlink>
      <w:r>
        <w:t xml:space="preserve">. Wilmer and Bettinger pursue surveillance of NRHO from cislunar periodic orbits, spelling out the surveillance geometry a base placement might exploit</w:t>
      </w:r>
      <w:r>
        <w:t xml:space="preserve"> </w:t>
      </w:r>
      <w:hyperlink w:anchor="ref-43">
        <w:r>
          <w:rPr>
            <w:rStyle w:val="Hyperlink"/>
          </w:rPr>
          <w:t xml:space="preserve">[43]</w:t>
        </w:r>
      </w:hyperlink>
      <w:r>
        <w:t xml:space="preserve">. Boh and colleagues add a Bayesian game-theoretic treatment of minimum delta-v transfers around L1 and L2, which puts an explicit decision-theoretic frame around the same libration geometry</w:t>
      </w:r>
      <w:r>
        <w:t xml:space="preserve"> </w:t>
      </w:r>
      <w:hyperlink w:anchor="ref-19">
        <w:r>
          <w:rPr>
            <w:rStyle w:val="Hyperlink"/>
          </w:rPr>
          <w:t xml:space="preserve">[19]</w:t>
        </w:r>
      </w:hyperlink>
      <w:r>
        <w:t xml:space="preserve">. Phan and Jah extend the situational-awareness apparatus with socio-technical configuration analysis, and Plotke and colleagues do so with dual-use star tracker tests [41, 42].</w:t>
      </w:r>
    </w:p>
    <w:p>
      <w:pPr>
        <w:pStyle w:val="BodyText"/>
        <w:spacing w:line="480" w:lineRule="auto"/>
        <w:ind w:firstLine="720"/>
      </w:pPr>
      <w:r>
        <w:t xml:space="preserve">This first literature is methodologically tight and conceptually narrow. Node by node and orbit by orbit, it produces high-fidelity numerical results. What it does not do is aggregate those results into a predictor-outcome model, one that asks whether the structural class of a base node, treated as a categorical variable, predicts the share of mission-relevant transfers the node can service. It does not test the maritime analogy, because it never adopts the maritime question.</w:t>
      </w:r>
    </w:p>
    <w:p>
      <w:pPr>
        <w:pStyle w:val="BodyText"/>
        <w:spacing w:line="480" w:lineRule="auto"/>
        <w:ind w:firstLine="720"/>
      </w:pPr>
      <w:r>
        <w:t xml:space="preserve">The second literature is the strategic and econometric work on space, and here the maritime analogy is in fact entertained. Stilwell and colleagues take up architectural socio-technological transformative change in space-use norms</w:t>
      </w:r>
      <w:r>
        <w:t xml:space="preserve"> </w:t>
      </w:r>
      <w:hyperlink w:anchor="ref-11">
        <w:r>
          <w:rPr>
            <w:rStyle w:val="Hyperlink"/>
          </w:rPr>
          <w:t xml:space="preserve">[11]</w:t>
        </w:r>
      </w:hyperlink>
      <w:r>
        <w:t xml:space="preserve">. The Office of the Chief Economist and Analyst forecasts the space economy and supplies the demand-side weighting used later in this dissertation’s catalogue construction [9, 12]. The Space Imperative articulates a whole-of-nation framing for the strategic stakes</w:t>
      </w:r>
      <w:r>
        <w:t xml:space="preserve"> </w:t>
      </w:r>
      <w:hyperlink w:anchor="ref-10">
        <w:r>
          <w:rPr>
            <w:rStyle w:val="Hyperlink"/>
          </w:rPr>
          <w:t xml:space="preserve">[10]</w:t>
        </w:r>
      </w:hyperlink>
      <w:r>
        <w:t xml:space="preserve">. In their evaluation of potential space resources markets, McKeown and colleagues supply the framework for translating engineering feasibility into market-relevant demand [8, 47]. Writing for the Center for Strategic and International Studies, Harrison offers international perspectives on space weapons, the setting in which the strategic-position vocabulary is most often deployed</w:t>
      </w:r>
      <w:r>
        <w:t xml:space="preserve"> </w:t>
      </w:r>
      <w:hyperlink w:anchor="ref-38">
        <w:r>
          <w:rPr>
            <w:rStyle w:val="Hyperlink"/>
          </w:rPr>
          <w:t xml:space="preserve">[38]</w:t>
        </w:r>
      </w:hyperlink>
      <w:r>
        <w:t xml:space="preserve">. From Air Force Space Command, Hand and France articulate the joint space effects framework that grounds operational discussion of strategic position</w:t>
      </w:r>
      <w:r>
        <w:t xml:space="preserve"> </w:t>
      </w:r>
      <w:hyperlink w:anchor="ref-37">
        <w:r>
          <w:rPr>
            <w:rStyle w:val="Hyperlink"/>
          </w:rPr>
          <w:t xml:space="preserve">[37]</w:t>
        </w:r>
      </w:hyperlink>
      <w:r>
        <w:t xml:space="preserve">.</w:t>
      </w:r>
    </w:p>
    <w:p>
      <w:pPr>
        <w:pStyle w:val="BodyText"/>
        <w:spacing w:line="480" w:lineRule="auto"/>
        <w:ind w:firstLine="720"/>
      </w:pPr>
      <w:r>
        <w:t xml:space="preserve">Conceptually this second literature is broad, and it uses the maritime vocabulary freely. What it does not do is ground its strategic claims in the numerical reachability results the first literature produces. The strategic claims travel between fora as analogies, not as testable predictions.</w:t>
      </w:r>
    </w:p>
    <w:p>
      <w:pPr>
        <w:pStyle w:val="BodyText"/>
        <w:spacing w:line="480" w:lineRule="auto"/>
        <w:ind w:firstLine="720"/>
      </w:pPr>
      <w:r>
        <w:t xml:space="preserve">The gap, then, is not an absence of evidence but a missing seam. The first literature supplies the inputs of a falsifiable model; the second supplies the question such a model would answer. No published study joins them. This dissertation joins them.</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falsifiable contribution is made here, and it is stated precisely so that it can be precisely refuted.</w:t>
      </w:r>
    </w:p>
    <w:p>
      <w:pPr>
        <w:pStyle w:val="BodyText"/>
        <w:spacing w:line="480" w:lineRule="auto"/>
        <w:ind w:firstLine="720"/>
      </w:pPr>
      <w:r>
        <w:t xml:space="preserve">Characterise a candidate base node by a structural node class, defined as one of three categories: a Near Rectilinear Halo Orbit node, a collinear libration node at L1 or L2, or a lunar south-polar surface node. Define reachability share as the proportion of a fixed catalogue of mission-relevant cislunar transfers that a node can service within a stipulated delta-v budget and a stipulated time-of-flight ceiling, where the catalogue is drawn from published trajectory and accessibility results [1, 4, 5, 7, 13, 14, 15, 16, 17, 20, 21, 22, 23, 24] and weighted by independent demand drivers from the space-economy literature [8, 9, 10, 11, 12, 47]. Characterise propellant supply geometry by the delta-v required to deliver a unit of propellant from the supplying surface or orbital infrastructure to the node, derived from the published reusable orbital transfer vehicle results and from the lunar south-pole feasibility envelopes [1, 13, 18, 20, 25]. Characterise observation accessibility by the proportion of the catalogue’s transfers observable from the node within the published sensor-stability and manifold-accessibility tables [5, 6, 7, 17, 23, 24].</w:t>
      </w:r>
    </w:p>
    <w:p>
      <w:pPr>
        <w:pStyle w:val="BodyText"/>
        <w:spacing w:line="480" w:lineRule="auto"/>
        <w:ind w:firstLine="720"/>
      </w:pPr>
      <w:r>
        <w:t xml:space="preserve">The contribution is a test of the following null and alternative hypotheses.</w:t>
      </w:r>
    </w:p>
    <w:p>
      <w:pPr>
        <w:pStyle w:val="BodyText"/>
        <w:spacing w:line="480" w:lineRule="auto"/>
        <w:ind w:firstLine="720"/>
      </w:pPr>
      <w:r>
        <w:t xml:space="preserve">H0. After controlling for propellant supply geometry and observation accessibility, node class is not a statistically significant predictor of reachability share.</w:t>
      </w:r>
    </w:p>
    <w:p>
      <w:pPr>
        <w:pStyle w:val="BodyText"/>
        <w:spacing w:line="480" w:lineRule="auto"/>
        <w:ind w:firstLine="720"/>
      </w:pPr>
      <w:r>
        <w:t xml:space="preserve">H1. Node class is a statistically significant predictor of reachability share, with at least one pairwise class contrast distinguishable from zero at the 0.05 level under heteroskedasticity-robust inference and surviving a Bonferroni adjustment across the three pairwise contrasts.</w:t>
      </w:r>
    </w:p>
    <w:p>
      <w:pPr>
        <w:pStyle w:val="BodyText"/>
        <w:spacing w:line="480" w:lineRule="auto"/>
        <w:ind w:firstLine="720"/>
      </w:pPr>
      <w:r>
        <w:t xml:space="preserve">A candidate node placement is the unit of analysis. The design draws approximately two hundred placements stratified across the three structural classes. Ordinary least squares with heteroskedasticity-robust standard errors serves as the primary specification; a survival model, with the time required to reach a reachability threshold as the duration variable, serves as the secondary specification. A negative-control specification reassigns node-class labels at random and is expected to produce null coefficients. A demand-weighted specification reweights the transfer catalogue by the independent demand drivers in the space-economy literature [8, 9, 10, 11, 12].</w:t>
      </w:r>
    </w:p>
    <w:p>
      <w:pPr>
        <w:pStyle w:val="BodyText"/>
        <w:spacing w:line="480" w:lineRule="auto"/>
        <w:ind w:firstLine="720"/>
      </w:pPr>
      <w:r>
        <w:t xml:space="preserve">So the single contribution is not a claim that the maritime analogy is correct. It is the construction of the apparatus that lets the analogy be falsified. Reject H0 and a Mahanian reading of cislunar geography finds support. Fail to reject it, and the differences in strategic narrative across nodes reduce to mission programming and propellant logistics design choices [1, 4, 13, 14, 20, 21] rather than to geography itself. Either outcome informs. Neither is presupposed.</w:t>
      </w:r>
    </w:p>
    <w:bookmarkEnd w:id="63"/>
    <w:bookmarkStart w:id="64" w:name="why-the-contribution-is-defensible-now"/>
    <w:p>
      <w:pPr>
        <w:pStyle w:val="Heading2"/>
        <w:spacing w:line="480" w:lineRule="auto"/>
      </w:pPr>
      <w:r>
        <w:t xml:space="preserve">1.4 Why the Contribution Is Defensible Now</w:t>
      </w:r>
    </w:p>
    <w:p>
      <w:pPr>
        <w:pStyle w:val="FirstParagraph"/>
        <w:spacing w:line="480" w:lineRule="auto"/>
      </w:pPr>
      <w:r>
        <w:t xml:space="preserve">Three conditions make the contribution feasible at this moment rather than earlier.</w:t>
      </w:r>
    </w:p>
    <w:p>
      <w:pPr>
        <w:pStyle w:val="BodyText"/>
        <w:spacing w:line="480" w:lineRule="auto"/>
        <w:ind w:firstLine="720"/>
      </w:pPr>
      <w:r>
        <w:t xml:space="preserve">First, the trajectory literature has converged on a stable set of numerical inputs. The reusable orbital transfer vehicle trajectory between propellant infrastructure and Gateway is now published with delta-v decompositions detailed enough to recompute reachability against alternative budgets [1, 13, 20]. The optimal low-thrust Gateway to Earth and Gateway to Moon transfers appear at a resolution that supports the same recomputation [4, 14, 21]. Station-keeping costs in the Gateway NRHO are characterised under realistic ephemeris and operations constraints, not under idealised circular restricted three-body assumptions</w:t>
      </w:r>
      <w:r>
        <w:t xml:space="preserve"> </w:t>
      </w:r>
      <w:hyperlink w:anchor="ref-22">
        <w:r>
          <w:rPr>
            <w:rStyle w:val="Hyperlink"/>
          </w:rPr>
          <w:t xml:space="preserve">[22]</w:t>
        </w:r>
      </w:hyperlink>
      <w:r>
        <w:t xml:space="preserve">. A catalogue can therefore be assembled without primary trajectory recomputation by the candidate.</w:t>
      </w:r>
    </w:p>
    <w:p>
      <w:pPr>
        <w:pStyle w:val="BodyText"/>
        <w:spacing w:line="480" w:lineRule="auto"/>
        <w:ind w:firstLine="720"/>
      </w:pPr>
      <w:r>
        <w:t xml:space="preserve">Second, the observation literature has matured from illustrative case studies to accessibility tables. The Bolden, Craychee, and Griggs evaluation of constellation orbit stability at Earth-Moon libration points yields a sensor-stability table that serves directly as the observation accessibility control [5, 17, 24]. Wright and colleagues’ accessible invariant manifold work yields the manifold accessibility table [7, 16, 23]. Rosengren’s multiscale dynamics treatment grounds both tables in dynamical-systems structure [6, 15]. The observation control variable can thus be constructed entirely from published inputs.</w:t>
      </w:r>
    </w:p>
    <w:p>
      <w:pPr>
        <w:pStyle w:val="BodyText"/>
        <w:spacing w:line="480" w:lineRule="auto"/>
        <w:ind w:firstLine="720"/>
      </w:pPr>
      <w:r>
        <w:t xml:space="preserve">Third, the surface literature now supports a feasibility envelope for south-polar resource extraction rather than a single point estimate. McKeown and colleagues’ mining feasibility framework and propellant production envelopes give the candidate a defensible range of surface-node delta-v supply costs to feed into the propellant supply geometry control [3, 18, 25]. The third independent variable can therefore be quantified without speculative inputs.</w:t>
      </w:r>
    </w:p>
    <w:p>
      <w:pPr>
        <w:pStyle w:val="BodyText"/>
        <w:spacing w:line="480" w:lineRule="auto"/>
        <w:ind w:firstLine="720"/>
      </w:pPr>
      <w:r>
        <w:t xml:space="preserve">Together these three conditions permit a quantitative test that, three years ago, would have demanded primary trajectory and observation modelling beyond the scope of a doctoral programme. The window is open now.</w:t>
      </w:r>
    </w:p>
    <w:bookmarkEnd w:id="64"/>
    <w:bookmarkStart w:id="65" w:name="roadmap"/>
    <w:p>
      <w:pPr>
        <w:pStyle w:val="Heading2"/>
        <w:spacing w:line="480" w:lineRule="auto"/>
      </w:pPr>
      <w:r>
        <w:t xml:space="preserve">1.5 Roadmap</w:t>
      </w:r>
    </w:p>
    <w:p>
      <w:pPr>
        <w:pStyle w:val="FirstParagraph"/>
        <w:spacing w:line="480" w:lineRule="auto"/>
      </w:pPr>
      <w:r>
        <w:t xml:space="preserve">Chapter 2 develops the theoretical frame. It restates the Mahanian doctrine in the operational terms a cislunar test requires and surveys the strategic and policy literature in which the analogy is deployed [10, 11, 37, 38]. It then surveys the trajectory and observation literature that houses the inputs to the test [1, 2, 4, 5, 6, 7, 22] and locates the seam at which the two literatures meet.</w:t>
      </w:r>
    </w:p>
    <w:p>
      <w:pPr>
        <w:pStyle w:val="BodyText"/>
        <w:spacing w:line="480" w:lineRule="auto"/>
        <w:ind w:firstLine="720"/>
      </w:pPr>
      <w:r>
        <w:t xml:space="preserve">Chapter 3 specifies the design: the unit of analysis, the construction of the candidate placement set, the catalogue of transfers, the dependent variable, the two control variables, and the estimators. It states the primary and secondary specifications, the negative control, and the demand-weighted robustness specification, then enumerates the threats to identification and their corresponding mitigations.</w:t>
      </w:r>
    </w:p>
    <w:p>
      <w:pPr>
        <w:pStyle w:val="BodyText"/>
        <w:spacing w:line="480" w:lineRule="auto"/>
        <w:ind w:firstLine="720"/>
      </w:pPr>
      <w:r>
        <w:t xml:space="preserve">Chapter 4 reports the construction of the data. It documents how the transfer catalogue is assembled from the published numerical results [1, 4, 13, 14, 20, 21, 22], how the observation accessibility table is built from the published sensor and manifold work [5, 7, 17, 23, 24], and how the propellant supply geometry control is derived from the published reusable orbital transfer vehicle and south-polar feasibility envelopes [1, 18, 20, 25]. Provenance is documented from each catalogue entry back to its source.</w:t>
      </w:r>
    </w:p>
    <w:p>
      <w:pPr>
        <w:pStyle w:val="BodyText"/>
        <w:spacing w:line="480" w:lineRule="auto"/>
        <w:ind w:firstLine="720"/>
      </w:pPr>
      <w:r>
        <w:t xml:space="preserve">Chapter 5 reports the primary regression results: point estimates, heteroskedasticity-robust standard errors, the three pairwise class contrasts, and the Bonferroni-adjusted inference, along with the negative control and the demand-weighted specifications.</w:t>
      </w:r>
    </w:p>
    <w:p>
      <w:pPr>
        <w:pStyle w:val="BodyText"/>
        <w:spacing w:line="480" w:lineRule="auto"/>
        <w:ind w:firstLine="720"/>
      </w:pPr>
      <w:r>
        <w:t xml:space="preserve">Chapter 6 reports the survival specification, treating the time required to reach the reachability threshold as the duration variable and node class as the covariate, and it compares the survival estimates against the regression estimates for consistency.</w:t>
      </w:r>
    </w:p>
    <w:p>
      <w:pPr>
        <w:pStyle w:val="BodyText"/>
        <w:spacing w:line="480" w:lineRule="auto"/>
        <w:ind w:firstLine="720"/>
      </w:pPr>
      <w:r>
        <w:t xml:space="preserve">Chapter 7 interprets the results for NASA and JPL. Should H0 be rejected, the chapter identifies which node class or classes drive the result and works through the implications for the architecture decisions in [26, 27, 28, 29] and for the surface campaign decisions implicated in [3, 30, 31, 32, 33]. Should H0 hold, the chapter develops the engineering-economics framing that failure to reject would imply [4, 14, 21] and traces the consequences for the strategic vocabulary in [10, 11, 37, 38].</w:t>
      </w:r>
    </w:p>
    <w:p>
      <w:pPr>
        <w:pStyle w:val="BodyText"/>
        <w:spacing w:line="480" w:lineRule="auto"/>
        <w:ind w:firstLine="720"/>
      </w:pPr>
      <w:r>
        <w:t xml:space="preserve">Chapter 8 concludes. It restates the single contribution, sets it inside the limits of validity stipulated by the dataset’s 2026 horizon [1, 3, 8, 47], and proposes the re-test that the next generation of trajectory catalogues will support.</w:t>
      </w:r>
    </w:p>
    <w:bookmarkEnd w:id="65"/>
    <w:bookmarkEnd w:id="66"/>
    <w:bookmarkStart w:id="73"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Does logistics-base geography in the Earth-Moon system predict strategic position in the sense classical sea-power doctrine intends? That question sits at the intersection of two literatures that have grown up largely apart. One is the domain technical literature of cislunar astrodynamics, space domain awareness in the Earth-Moon volume, and lunar surface resource and infrastructure engineering. The other is the cliometric and econometric methodology literature that supplies the inferential tools by which a doctrinal claim about geography can be made falsifiable. At the seam this study targets, the two do not currently meet. The astrodynamics literature yields high-fidelity reachability surfaces yet stops short of interrogating them as predictors in a regression or survival framework; the cliometric literature has not yet been brought to bear on a node-class taxonomy in the circular restricted three-body geometry. This chapter reviews both bodies of work in turn, shows where each is already implicitly quantitative, and closes by specifying the analytical gap the dissertation fills.</w:t>
      </w:r>
    </w:p>
    <w:p>
      <w:pPr>
        <w:pStyle w:val="BodyText"/>
        <w:spacing w:line="480" w:lineRule="auto"/>
        <w:ind w:firstLine="720"/>
      </w:pPr>
      <w:r>
        <w:t xml:space="preserve">Five movements structure the review. Section 2.2 surveys the cislunar transfer and infrastructure literature, attending in particular to the numerical delta-v and time-of-flight results that supply the raw material of the reachability dataset. Section 2.3 reviews the cislunar space domain awareness and dynamics literature, foregrounding the libration-point geometry and invariant-manifold structures that motivate the node-class taxonomy. Section 2.4 turns to lunar surface resource and mission programme work, treating the south-polar region as the candidate surface node class and surveying the engineering and economic feasibility studies that bound its plausibility. Section 2.5 takes up the cliometric and econometric methodology literature, drawing both on direct methodological exemplars and on the space-economy forecasting and norm-formation work that supplies the demand-side weighting for the catalogue. Section 2.6 synthesises the two streams, names the joint gap, and states the analytic posture the remainder of the dissertation adopts.</w:t>
      </w:r>
    </w:p>
    <w:bookmarkEnd w:id="67"/>
    <w:bookmarkStart w:id="68" w:name="X5e321590c1b40dfc84d6eab8b78034386014433"/>
    <w:p>
      <w:pPr>
        <w:pStyle w:val="Heading2"/>
        <w:spacing w:line="480" w:lineRule="auto"/>
      </w:pPr>
      <w:r>
        <w:t xml:space="preserve">2.2 The Cislunar Transfer and Infrastructure Literature</w:t>
      </w:r>
    </w:p>
    <w:p>
      <w:pPr>
        <w:pStyle w:val="FirstParagraph"/>
        <w:spacing w:line="480" w:lineRule="auto"/>
      </w:pPr>
      <w:r>
        <w:t xml:space="preserve">Between 2020 and 2026 the cislunar trajectory literature matured rapidly, driven by the operational realisation of the Lunar Gateway concept and by the corresponding need to design reusable transfer architectures among Earth orbit, Near Rectilinear Halo Orbit, and the lunar surface. Of that body of work, Kikuchi and Ueda</w:t>
      </w:r>
      <w:r>
        <w:t xml:space="preserve"> </w:t>
      </w:r>
      <w:hyperlink w:anchor="ref-1">
        <w:r>
          <w:rPr>
            <w:rStyle w:val="Hyperlink"/>
          </w:rPr>
          <w:t xml:space="preserve">[1]</w:t>
        </w:r>
      </w:hyperlink>
      <w:r>
        <w:t xml:space="preserve"> </w:t>
      </w:r>
      <w:r>
        <w:t xml:space="preserve">offer what is at present the most direct treatment of the architecture this dissertation tests, routing a reusable orbital transfer vehicle through Near Rectilinear Halo Orbit between a propellant infrastructure node and the Gateway. Their numerical results calibrate a baseline for delta-v expenditure and time-of-flight along the NRHO-Gateway segment, and they treat the propellant infrastructure node as a logistics base in the engineering sense, with refuelling cadence and tank state of charge entering the optimisation. A companion treatment by the same authors</w:t>
      </w:r>
      <w:r>
        <w:t xml:space="preserve"> </w:t>
      </w:r>
      <w:hyperlink w:anchor="ref-20">
        <w:r>
          <w:rPr>
            <w:rStyle w:val="Hyperlink"/>
          </w:rPr>
          <w:t xml:space="preserve">[20]</w:t>
        </w:r>
      </w:hyperlink>
      <w:r>
        <w:t xml:space="preserve"> </w:t>
      </w:r>
      <w:r>
        <w:t xml:space="preserve">closes the architecture loop, quantifying the descent and ascent segments through optimal low-thrust transfers between a Gateway NRHO and lunar surface staging orbits. Between them these two studies anchor the propellant-route reachability backbone for the NRHO node class.</w:t>
      </w:r>
    </w:p>
    <w:p>
      <w:pPr>
        <w:pStyle w:val="BodyText"/>
        <w:spacing w:line="480" w:lineRule="auto"/>
        <w:ind w:firstLine="720"/>
      </w:pPr>
      <w:r>
        <w:t xml:space="preserve">Pozzi and colleagues [4, 14, 21] supply the parallel low-thrust treatment. From their analyses of optimal low-thrust orbit transfers connecting Gateway with Earth and Moon, and specifically of low-thrust transfers from Gateway to low lunar orbit, comes the catalogue of mission-relevant transfer arcs across which the reachability metric integrates. What makes the Pozzi corpus particularly valuable is its explicitness about the underlying dynamical model, which lets candidate placements at libration points and in NRHO be evaluated against a single low-thrust optimisation framework rather than against ad hoc patched-conic approximations. Reporting each transfer with its delta-v, its time-of-flight, and its dynamical assumptions, the corpus exemplifies the replicable numerical reporting that makes a cliometric reanalysis of the cislunar literature possible in the first place.</w:t>
      </w:r>
    </w:p>
    <w:p>
      <w:pPr>
        <w:pStyle w:val="BodyText"/>
        <w:spacing w:line="480" w:lineRule="auto"/>
        <w:ind w:firstLine="720"/>
      </w:pPr>
      <w:r>
        <w:t xml:space="preserve">Colombi, Colagrossi, and Lavagna</w:t>
      </w:r>
      <w:r>
        <w:t xml:space="preserve"> </w:t>
      </w:r>
      <w:hyperlink w:anchor="ref-2">
        <w:r>
          <w:rPr>
            <w:rStyle w:val="Hyperlink"/>
          </w:rPr>
          <w:t xml:space="preserve">[2]</w:t>
        </w:r>
      </w:hyperlink>
      <w:r>
        <w:t xml:space="preserve"> </w:t>
      </w:r>
      <w:r>
        <w:t xml:space="preserve">extend the trajectory literature into the proximity-operations regime through a six-degree-of-freedom dynamics characterisation. Their account of natural and controlled relative dynamics in cislunar space bears directly on whether a node placement at a libration point can in fact be serviced by docking and proximity operations rather than only by ballistic insertion. It also bounds the realism of the assumption that arrival at a node is equivalent to docking at it, an assumption the reachability metric here must either accept or explicitly relax. Russo and colleagues</w:t>
      </w:r>
      <w:r>
        <w:t xml:space="preserve"> </w:t>
      </w:r>
      <w:hyperlink w:anchor="ref-46">
        <w:r>
          <w:rPr>
            <w:rStyle w:val="Hyperlink"/>
          </w:rPr>
          <w:t xml:space="preserve">[46]</w:t>
        </w:r>
      </w:hyperlink>
      <w:r>
        <w:t xml:space="preserve"> </w:t>
      </w:r>
      <w:r>
        <w:t xml:space="preserve">carry the proximity-operations literature into the rendezvous and mating regime, collision-avoidance manoeuvring near Gateway included, and their treatment adds an engineering constraint on the time and propellant cost of the final segment of a transfer.</w:t>
      </w:r>
    </w:p>
    <w:p>
      <w:pPr>
        <w:pStyle w:val="BodyText"/>
        <w:spacing w:line="480" w:lineRule="auto"/>
        <w:ind w:firstLine="720"/>
      </w:pPr>
      <w:r>
        <w:t xml:space="preserve">No honest reachability analysis can omit stationkeeping costs, which enter as an essential second-order term. For the Gateway NRHO under realistic ephemeris and operations constraints, Davis, McCarthy, Scheuerle, Zimovan-Spreen, and Howell</w:t>
      </w:r>
      <w:r>
        <w:t xml:space="preserve"> </w:t>
      </w:r>
      <w:hyperlink w:anchor="ref-22">
        <w:r>
          <w:rPr>
            <w:rStyle w:val="Hyperlink"/>
          </w:rPr>
          <w:t xml:space="preserve">[22]</w:t>
        </w:r>
      </w:hyperlink>
      <w:r>
        <w:t xml:space="preserve"> </w:t>
      </w:r>
      <w:r>
        <w:t xml:space="preserve">provide the most current stationkeeping treatment. Their numerical bounds on annual stationkeeping budgets convert a static node placement into a node placement carrying a recurring fuel tax, and that recurring tax is the cliometrically appropriate way to penalise node classes that are dynamically expensive to hold. Small as the stationkeeping literature is, its inclusion matters here: a node reachable at low delta-v that cannot be held without continuous expenditure is no base in the Mahanian sense, and so the regression specification in Chapter 4 carries a stationkeeping control derived from</w:t>
      </w:r>
      <w:r>
        <w:t xml:space="preserve"> </w:t>
      </w:r>
      <w:hyperlink w:anchor="ref-22">
        <w:r>
          <w:rPr>
            <w:rStyle w:val="Hyperlink"/>
          </w:rPr>
          <w:t xml:space="preserve">[22]</w:t>
        </w:r>
      </w:hyperlink>
      <w:r>
        <w:t xml:space="preserve"> </w:t>
      </w:r>
      <w:r>
        <w:t xml:space="preserve">to enforce the distinction.</w:t>
      </w:r>
    </w:p>
    <w:p>
      <w:pPr>
        <w:pStyle w:val="BodyText"/>
        <w:spacing w:line="480" w:lineRule="auto"/>
        <w:ind w:firstLine="720"/>
      </w:pPr>
      <w:r>
        <w:t xml:space="preserve">Houin and Sood</w:t>
      </w:r>
      <w:r>
        <w:t xml:space="preserve"> </w:t>
      </w:r>
      <w:hyperlink w:anchor="ref-50">
        <w:r>
          <w:rPr>
            <w:rStyle w:val="Hyperlink"/>
          </w:rPr>
          <w:t xml:space="preserve">[50]</w:t>
        </w:r>
      </w:hyperlink>
      <w:r>
        <w:t xml:space="preserve"> </w:t>
      </w:r>
      <w:r>
        <w:t xml:space="preserve">contribute the trajectory design and manoeuvre autonomy analysis for NASA’s Moon to Mars architecture. It is useful to the reachability dataset because it explicitly chains cislunar segments to higher-energy departures and frames the Gateway-NRHO node as a transit hub rather than a terminus, which supports the dissertation’s operationalisation of strategic position as a transit metric. Relevant too is the minimum-delta-v transfer analysis by Boh and colleagues</w:t>
      </w:r>
      <w:r>
        <w:t xml:space="preserve"> </w:t>
      </w:r>
      <w:hyperlink w:anchor="ref-19">
        <w:r>
          <w:rPr>
            <w:rStyle w:val="Hyperlink"/>
          </w:rPr>
          <w:t xml:space="preserve">[19]</w:t>
        </w:r>
      </w:hyperlink>
      <w:r>
        <w:t xml:space="preserve">: by applying a Bayesian game-theoretic frame to L1 and L2 transfers, it introduces a strategic interaction layer into the trajectory literature, anticipating but not testing the doctrinal claim this dissertation evaluates.</w:t>
      </w:r>
    </w:p>
    <w:p>
      <w:pPr>
        <w:pStyle w:val="BodyText"/>
        <w:spacing w:line="480" w:lineRule="auto"/>
        <w:ind w:firstLine="720"/>
      </w:pPr>
      <w:r>
        <w:t xml:space="preserve">One further point about the trajectory literature concerns its implicit selection. Heavily weighted toward Gateway-adjacent and NRHO-adjacent designs, the published catalogue reflects the programmatic priority of the Artemis architecture. This selection is explicit at the mission level rather than the analyst level, visible in the Artemis programmatic record from the original Artemis I Press Kit</w:t>
      </w:r>
      <w:r>
        <w:t xml:space="preserve"> </w:t>
      </w:r>
      <w:hyperlink w:anchor="ref-27">
        <w:r>
          <w:rPr>
            <w:rStyle w:val="Hyperlink"/>
          </w:rPr>
          <w:t xml:space="preserve">[27]</w:t>
        </w:r>
      </w:hyperlink>
      <w:r>
        <w:t xml:space="preserve"> </w:t>
      </w:r>
      <w:r>
        <w:t xml:space="preserve">through the Human Landing System award decisions [28, 29]. The threats-to-validity section of the prospectus already flags the point and proposes weighting by independent demand drivers; the literature review here adds only that the bias is real and well documented in the public record, not a speculative worry.</w:t>
      </w:r>
    </w:p>
    <w:bookmarkEnd w:id="68"/>
    <w:bookmarkStart w:id="69" w:name="X7d1b27a9c93efc67e45c16ba39c0d253b3a0c66"/>
    <w:p>
      <w:pPr>
        <w:pStyle w:val="Heading2"/>
        <w:spacing w:line="480" w:lineRule="auto"/>
      </w:pPr>
      <w:r>
        <w:t xml:space="preserve">2.3 The Cislunar Space Domain Awareness and Dynamics Literature</w:t>
      </w:r>
    </w:p>
    <w:p>
      <w:pPr>
        <w:pStyle w:val="FirstParagraph"/>
        <w:spacing w:line="480" w:lineRule="auto"/>
      </w:pPr>
      <w:r>
        <w:t xml:space="preserve">Younger than the trajectory literature, the cislunar space domain awareness literature developed most rapidly after 2020. Bolden, Craychee, and Griggs [5, 17, 24] anchor the field, with an evaluation of observing constellation orbit stability, low signal-to-noise behaviour, and too-short-arc challenges, and with a companion treatment of sensor placement and sensitivity at the L1, L2, L4, and L5 libration points. Taken in aggregate, their result is that libration-point geometry imposes a structure on the observability of cislunar traffic that range and illumination geometry alone cannot reproduce. Here is the empirical foundation for the claim that L1 and L2 act as chokepoints in the sensing layer, a claim the dissertation treats as one of the two empirical backbones of the libration node class.</w:t>
      </w:r>
    </w:p>
    <w:p>
      <w:pPr>
        <w:pStyle w:val="BodyText"/>
        <w:spacing w:line="480" w:lineRule="auto"/>
        <w:ind w:firstLine="720"/>
      </w:pPr>
      <w:r>
        <w:t xml:space="preserve">Rosengren [6, 15] generalises the libration-point geometry into a multiscale dynamics treatment in which the manifold structure of the Earth-Moon system organises both natural transfer accessibility and the observability of transfers in progress. Doctrinally the Rosengren treatment matters because it recasts L1 and L2 not as static points but as gateways for low-energy transit, a framing that maps directly onto the Mahanian chokepoint analogy. Wright, Tafur, Owens Fahrner, and Wysack [7, 16, 23] carry the manifold treatment further with an explicit accessibility and monitoring analysis. Their published results enumerate which invariant manifolds can be reached from which staging locations under specified delta-v and time budgets, and those enumerations become the second empirical backbone of the libration node class, because they render accessibility quantitative rather than qualitative.</w:t>
      </w:r>
    </w:p>
    <w:p>
      <w:pPr>
        <w:pStyle w:val="BodyText"/>
        <w:spacing w:line="480" w:lineRule="auto"/>
        <w:ind w:firstLine="720"/>
      </w:pPr>
      <w:r>
        <w:t xml:space="preserve">Further extending the cislunar SDA literature, Bolden and colleagues</w:t>
      </w:r>
      <w:r>
        <w:t xml:space="preserve"> </w:t>
      </w:r>
      <w:hyperlink w:anchor="ref-39">
        <w:r>
          <w:rPr>
            <w:rStyle w:val="Hyperlink"/>
          </w:rPr>
          <w:t xml:space="preserve">[39]</w:t>
        </w:r>
      </w:hyperlink>
      <w:r>
        <w:t xml:space="preserve"> </w:t>
      </w:r>
      <w:r>
        <w:t xml:space="preserve">add a probabilistic initial orbit determination and tracking treatment using optical sensors. Their analysis enters the regression as part of the observation accessibility control, since it bounds the realistic detectability of objects departing or arriving at candidate node placements. Wilmer and Bettinger</w:t>
      </w:r>
      <w:r>
        <w:t xml:space="preserve"> </w:t>
      </w:r>
      <w:hyperlink w:anchor="ref-43">
        <w:r>
          <w:rPr>
            <w:rStyle w:val="Hyperlink"/>
          </w:rPr>
          <w:t xml:space="preserve">[43]</w:t>
        </w:r>
      </w:hyperlink>
      <w:r>
        <w:t xml:space="preserve"> </w:t>
      </w:r>
      <w:r>
        <w:t xml:space="preserve">complement it with a near-rectilinear halo orbit surveillance analysis using cislunar periodic orbits, directly relevant to the SDA accessibility scoring of the NRHO node class. Phan and Jah</w:t>
      </w:r>
      <w:r>
        <w:t xml:space="preserve"> </w:t>
      </w:r>
      <w:hyperlink w:anchor="ref-41">
        <w:r>
          <w:rPr>
            <w:rStyle w:val="Hyperlink"/>
          </w:rPr>
          <w:t xml:space="preserve">[41]</w:t>
        </w:r>
      </w:hyperlink>
      <w:r>
        <w:t xml:space="preserve"> </w:t>
      </w:r>
      <w:r>
        <w:t xml:space="preserve">contribute a socio-technical configuration analysis of space objects for enhanced space domain awareness, a framing in which the cislunar object population is read not as a list of points but as a configuration with intentional structure, anticipating the doctrinal layer the dissertation introduces. Plotke and colleagues</w:t>
      </w:r>
      <w:r>
        <w:t xml:space="preserve"> </w:t>
      </w:r>
      <w:hyperlink w:anchor="ref-42">
        <w:r>
          <w:rPr>
            <w:rStyle w:val="Hyperlink"/>
          </w:rPr>
          <w:t xml:space="preserve">[42]</w:t>
        </w:r>
      </w:hyperlink>
      <w:r>
        <w:t xml:space="preserve"> </w:t>
      </w:r>
      <w:r>
        <w:t xml:space="preserve">contribute a dual-use star tracker and SDA sensor test that bounds the realistic sensor instantiation of the SDA constellations evaluated by [5, 17, 24].</w:t>
      </w:r>
    </w:p>
    <w:p>
      <w:pPr>
        <w:pStyle w:val="BodyText"/>
        <w:spacing w:line="480" w:lineRule="auto"/>
        <w:ind w:firstLine="720"/>
      </w:pPr>
      <w:r>
        <w:t xml:space="preserve">Two adjacent SDA contributions deserve mention, because they bound the historical and policy context of the cislunar SDA literature even though they predate the cislunar focus. Hand and France</w:t>
      </w:r>
      <w:r>
        <w:t xml:space="preserve"> </w:t>
      </w:r>
      <w:hyperlink w:anchor="ref-37">
        <w:r>
          <w:rPr>
            <w:rStyle w:val="Hyperlink"/>
          </w:rPr>
          <w:t xml:space="preserve">[37]</w:t>
        </w:r>
      </w:hyperlink>
      <w:r>
        <w:t xml:space="preserve"> </w:t>
      </w:r>
      <w:r>
        <w:t xml:space="preserve">offer an early Air Force Space Command treatment of environmental space situation awareness and joint space effects, one that anticipates the integration of dynamical and effects-based reasoning the cislunar SDA literature now operationalises. Harrison</w:t>
      </w:r>
      <w:r>
        <w:t xml:space="preserve"> </w:t>
      </w:r>
      <w:hyperlink w:anchor="ref-38">
        <w:r>
          <w:rPr>
            <w:rStyle w:val="Hyperlink"/>
          </w:rPr>
          <w:t xml:space="preserve">[38]</w:t>
        </w:r>
      </w:hyperlink>
      <w:r>
        <w:t xml:space="preserve"> </w:t>
      </w:r>
      <w:r>
        <w:t xml:space="preserve">supplies an international perspectives treatment of space weapons that bounds the doctrinal framing within which cislunar SDA results are received by policy audiences. Neither is methodologically central to the present dissertation, yet both establish that the SDA literature is read as inputs to doctrine, not as autonomous engineering output, which is exactly the framing the dissertation operationalises.</w:t>
      </w:r>
    </w:p>
    <w:p>
      <w:pPr>
        <w:pStyle w:val="BodyText"/>
        <w:spacing w:line="480" w:lineRule="auto"/>
        <w:ind w:firstLine="720"/>
      </w:pPr>
      <w:r>
        <w:t xml:space="preserve">For the present work the cislunar SDA literature carries two important methodological features. It reports its accessibility and observability results in numerical form, with delta-v and arc-length tables that can be ingested directly into a reachability dataset. And it has already adopted a tacit node-class taxonomy in which L1, L2, L4, and L5 are treated as distinct geometric primitives, even where the engineering interest is in sensor placement rather than logistics. The dissertation borrows that taxonomy and extends it by adding the NRHO and lunar south-polar surface classes, so the libration-class portion of the taxonomy is consistent with the established literature rather than an analyst imposition.</w:t>
      </w:r>
    </w:p>
    <w:bookmarkEnd w:id="69"/>
    <w:bookmarkStart w:id="70" w:name="X0a6ac3ebc80f3ecfca531a5d8e2245a5cc8bfe0"/>
    <w:p>
      <w:pPr>
        <w:pStyle w:val="Heading2"/>
        <w:spacing w:line="480" w:lineRule="auto"/>
      </w:pPr>
      <w:r>
        <w:t xml:space="preserve">2.4 The Lunar Surface Resource and Mission Programme Literature</w:t>
      </w:r>
    </w:p>
    <w:p>
      <w:pPr>
        <w:pStyle w:val="FirstParagraph"/>
        <w:spacing w:line="480" w:lineRule="auto"/>
      </w:pPr>
      <w:r>
        <w:t xml:space="preserve">A third domain literature, on lunar surface resource and infrastructure, supplies the candidate locations and the engineering plausibility of the surface node class. Most relevant are McKeown, Dempster, Saydam, and Coulton [3, 18, 25]. Their treatment of lunar resources research in the context of mining feasibility studies</w:t>
      </w:r>
      <w:r>
        <w:t xml:space="preserve"> </w:t>
      </w:r>
      <w:hyperlink w:anchor="ref-3">
        <w:r>
          <w:rPr>
            <w:rStyle w:val="Hyperlink"/>
          </w:rPr>
          <w:t xml:space="preserve">[3]</w:t>
        </w:r>
      </w:hyperlink>
      <w:r>
        <w:t xml:space="preserve">, their published feasibility envelopes for lunar south-pole mining and propellant production</w:t>
      </w:r>
      <w:r>
        <w:t xml:space="preserve"> </w:t>
      </w:r>
      <w:hyperlink w:anchor="ref-25">
        <w:r>
          <w:rPr>
            <w:rStyle w:val="Hyperlink"/>
          </w:rPr>
          <w:t xml:space="preserve">[25]</w:t>
        </w:r>
      </w:hyperlink>
      <w:r>
        <w:t xml:space="preserve">, and their adjacent treatment of the framing of potential space resources markets [8, 47] together establish the lunar south pole as the prime surface candidate on resource grounds and quantify the engineering and economic uncertainty that bounds any near-term surface logistics base. Their work matters here on two counts. It justifies restricting the surface node class to the south polar region rather than scattering surface placements across the lunar globe. And it provides a published source for the propellant supply geometry control variable the regression carries, because their feasibility envelopes are stated in delta-v and propellant terms that integrate directly with the trajectory literature [1, 4, 20, 21].</w:t>
      </w:r>
    </w:p>
    <w:p>
      <w:pPr>
        <w:pStyle w:val="BodyText"/>
        <w:spacing w:line="480" w:lineRule="auto"/>
        <w:ind w:firstLine="720"/>
      </w:pPr>
      <w:r>
        <w:t xml:space="preserve">A second leg of the surface literature comes from the mission programme record, in the form of press kits and public award documentation that establish what is actually being attempted. The Artemis I Press Kit</w:t>
      </w:r>
      <w:r>
        <w:t xml:space="preserve"> </w:t>
      </w:r>
      <w:hyperlink w:anchor="ref-27">
        <w:r>
          <w:rPr>
            <w:rStyle w:val="Hyperlink"/>
          </w:rPr>
          <w:t xml:space="preserve">[27]</w:t>
        </w:r>
      </w:hyperlink>
      <w:r>
        <w:t xml:space="preserve"> </w:t>
      </w:r>
      <w:r>
        <w:t xml:space="preserve">documents the baseline launch architecture and the cislunar approach geometry on which subsequent crewed surface architectures depend. Human Landing System award announcements for the SpaceX</w:t>
      </w:r>
      <w:r>
        <w:t xml:space="preserve"> </w:t>
      </w:r>
      <w:hyperlink w:anchor="ref-28">
        <w:r>
          <w:rPr>
            <w:rStyle w:val="Hyperlink"/>
          </w:rPr>
          <w:t xml:space="preserve">[28]</w:t>
        </w:r>
      </w:hyperlink>
      <w:r>
        <w:t xml:space="preserve"> </w:t>
      </w:r>
      <w:r>
        <w:t xml:space="preserve">and Blue Origin</w:t>
      </w:r>
      <w:r>
        <w:t xml:space="preserve"> </w:t>
      </w:r>
      <w:hyperlink w:anchor="ref-29">
        <w:r>
          <w:rPr>
            <w:rStyle w:val="Hyperlink"/>
          </w:rPr>
          <w:t xml:space="preserve">[29]</w:t>
        </w:r>
      </w:hyperlink>
      <w:r>
        <w:t xml:space="preserve"> </w:t>
      </w:r>
      <w:r>
        <w:t xml:space="preserve">vehicles document the two production-track lunar lander programmes and their respective architectural assumptions about Gateway, NRHO, and direct approaches. Commercial Lunar Payload Services missions, documented in the Intuitive Machines IM-1</w:t>
      </w:r>
      <w:r>
        <w:t xml:space="preserve"> </w:t>
      </w:r>
      <w:hyperlink w:anchor="ref-30">
        <w:r>
          <w:rPr>
            <w:rStyle w:val="Hyperlink"/>
          </w:rPr>
          <w:t xml:space="preserve">[30]</w:t>
        </w:r>
      </w:hyperlink>
      <w:r>
        <w:t xml:space="preserve">, Astrobotic Peregrine</w:t>
      </w:r>
      <w:r>
        <w:t xml:space="preserve"> </w:t>
      </w:r>
      <w:hyperlink w:anchor="ref-31">
        <w:r>
          <w:rPr>
            <w:rStyle w:val="Hyperlink"/>
          </w:rPr>
          <w:t xml:space="preserve">[31]</w:t>
        </w:r>
      </w:hyperlink>
      <w:r>
        <w:t xml:space="preserve">, and Firefly Blue Ghost Mission 1</w:t>
      </w:r>
      <w:r>
        <w:t xml:space="preserve"> </w:t>
      </w:r>
      <w:hyperlink w:anchor="ref-32">
        <w:r>
          <w:rPr>
            <w:rStyle w:val="Hyperlink"/>
          </w:rPr>
          <w:t xml:space="preserve">[32]</w:t>
        </w:r>
      </w:hyperlink>
      <w:r>
        <w:t xml:space="preserve"> </w:t>
      </w:r>
      <w:r>
        <w:t xml:space="preserve">press kits, supply the small-scale precedent for surface delivery and bound the realistic cadence of the surface node class. The VIPER discontinuation announcement</w:t>
      </w:r>
      <w:r>
        <w:t xml:space="preserve"> </w:t>
      </w:r>
      <w:hyperlink w:anchor="ref-33">
        <w:r>
          <w:rPr>
            <w:rStyle w:val="Hyperlink"/>
          </w:rPr>
          <w:t xml:space="preserve">[33]</w:t>
        </w:r>
      </w:hyperlink>
      <w:r>
        <w:t xml:space="preserve"> </w:t>
      </w:r>
      <w:r>
        <w:t xml:space="preserve">belongs in this set because it documents a programmatic reversal at the south pole and bounds optimism about near-term surface infrastructure on the United States side.</w:t>
      </w:r>
    </w:p>
    <w:p>
      <w:pPr>
        <w:pStyle w:val="BodyText"/>
        <w:spacing w:line="480" w:lineRule="auto"/>
        <w:ind w:firstLine="720"/>
      </w:pPr>
      <w:r>
        <w:t xml:space="preserve">Beyond the United States, the international mission record extends the picture. The ISRO Chandrayaan-3 mission</w:t>
      </w:r>
      <w:r>
        <w:t xml:space="preserve"> </w:t>
      </w:r>
      <w:hyperlink w:anchor="ref-34">
        <w:r>
          <w:rPr>
            <w:rStyle w:val="Hyperlink"/>
          </w:rPr>
          <w:t xml:space="preserve">[34]</w:t>
        </w:r>
      </w:hyperlink>
      <w:r>
        <w:t xml:space="preserve"> </w:t>
      </w:r>
      <w:r>
        <w:t xml:space="preserve">and the JAXA SLIM mission</w:t>
      </w:r>
      <w:r>
        <w:t xml:space="preserve"> </w:t>
      </w:r>
      <w:hyperlink w:anchor="ref-35">
        <w:r>
          <w:rPr>
            <w:rStyle w:val="Hyperlink"/>
          </w:rPr>
          <w:t xml:space="preserve">[35]</w:t>
        </w:r>
      </w:hyperlink>
      <w:r>
        <w:t xml:space="preserve"> </w:t>
      </w:r>
      <w:r>
        <w:t xml:space="preserve">document successful lunar surface arrivals from non-United States programmes, both relevant because they establish that surface access is not contingent on the Artemis architecture and that the surface node class is therefore not analytically dependent on a single national programme. The CAPSTONE mission</w:t>
      </w:r>
      <w:r>
        <w:t xml:space="preserve"> </w:t>
      </w:r>
      <w:hyperlink w:anchor="ref-36">
        <w:r>
          <w:rPr>
            <w:rStyle w:val="Hyperlink"/>
          </w:rPr>
          <w:t xml:space="preserve">[36]</w:t>
        </w:r>
      </w:hyperlink>
      <w:r>
        <w:t xml:space="preserve"> </w:t>
      </w:r>
      <w:r>
        <w:t xml:space="preserve">documents the operational realisation of the NRHO regime and converts the NRHO node class from a theoretical construct into one with a flying precedent.</w:t>
      </w:r>
    </w:p>
    <w:p>
      <w:pPr>
        <w:pStyle w:val="BodyText"/>
        <w:spacing w:line="480" w:lineRule="auto"/>
        <w:ind w:firstLine="720"/>
      </w:pPr>
      <w:r>
        <w:t xml:space="preserve">Relative to its size, the lunar surface resource literature is the most explicitly quantitative of the three domain literatures. McKeown and colleagues report mining feasibility envelopes in terms that can be reproduced from published tables, and their treatment of market evaluation methodology [8, 47] openly invites a reanalysis in cliometric terms. This is as close as the domain literature comes to volunteering itself for the analytic posture the present dissertation imposes.</w:t>
      </w:r>
    </w:p>
    <w:bookmarkEnd w:id="70"/>
    <w:bookmarkStart w:id="71"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methodology literature the dissertation draws on runs in two registers. The first is the directly applicable methodological exemplar, and here the cislunar SDA papers themselves serve as useful illustrations, since they routinely report regression and Monte Carlo robustness against an explicit dynamical model. The second is the space-economy and norm-formation literature that supplies the demand-side weighting structure and the doctrinal framing within which the cliometric test is interpreted.</w:t>
      </w:r>
    </w:p>
    <w:p>
      <w:pPr>
        <w:pStyle w:val="BodyText"/>
        <w:spacing w:line="480" w:lineRule="auto"/>
        <w:ind w:firstLine="720"/>
      </w:pPr>
      <w:r>
        <w:t xml:space="preserve">Consider the first register. The methodological discipline of the cislunar trajectory literature is itself a cliometric resource. Kikuchi and Ueda [1, 20], the Pozzi corpus [4, 14, 21], and the Davis stationkeeping analysis</w:t>
      </w:r>
      <w:r>
        <w:t xml:space="preserve"> </w:t>
      </w:r>
      <w:hyperlink w:anchor="ref-22">
        <w:r>
          <w:rPr>
            <w:rStyle w:val="Hyperlink"/>
          </w:rPr>
          <w:t xml:space="preserve">[22]</w:t>
        </w:r>
      </w:hyperlink>
      <w:r>
        <w:t xml:space="preserve"> </w:t>
      </w:r>
      <w:r>
        <w:t xml:space="preserve">each report numerical results in a form that admits secondary statistical analysis. The Bolden and colleagues SDA treatments [5, 17, 24, 39] report observability and accessibility outcomes as functions of geometric parameters and sensor placements, which is the canonical shape of a regression input. The Wright manifold accessibility analysis [7, 16, 23] reports accessibility outcomes as binary or graded functions of delta-v and time, which is the canonical shape of a survival input. What the dissertation does is not invent a methodological match between the domain literature and the cliometric framework; it operationalises a match the domain literature has been preparing for some time.</w:t>
      </w:r>
    </w:p>
    <w:p>
      <w:pPr>
        <w:pStyle w:val="BodyText"/>
        <w:spacing w:line="480" w:lineRule="auto"/>
        <w:ind w:firstLine="720"/>
      </w:pPr>
      <w:r>
        <w:t xml:space="preserve">Turn now to the second register, where the space-economy literature contributes both the demand-side weighting and the doctrinal interpretation. From the Office of the Chief Economist and Analyst forecasting treatment [9, 12] comes a forward-looking weighting of cislunar demand across activity categories, against which the catalogue of transfers can be reweighted to test sensitivity to demand assumptions. The Space Imperative whole-of-nation framing</w:t>
      </w:r>
      <w:r>
        <w:t xml:space="preserve"> </w:t>
      </w:r>
      <w:hyperlink w:anchor="ref-10">
        <w:r>
          <w:rPr>
            <w:rStyle w:val="Hyperlink"/>
          </w:rPr>
          <w:t xml:space="preserve">[10]</w:t>
        </w:r>
      </w:hyperlink>
      <w:r>
        <w:t xml:space="preserve"> </w:t>
      </w:r>
      <w:r>
        <w:t xml:space="preserve">supplies the doctrinal claim that cislunar activity is a matter of national strategy, the very claim the Mahanian frame embodies and the dissertation’s null hypothesis renders falsifiable. Stilwell and colleagues</w:t>
      </w:r>
      <w:r>
        <w:t xml:space="preserve"> </w:t>
      </w:r>
      <w:hyperlink w:anchor="ref-11">
        <w:r>
          <w:rPr>
            <w:rStyle w:val="Hyperlink"/>
          </w:rPr>
          <w:t xml:space="preserve">[11]</w:t>
        </w:r>
      </w:hyperlink>
      <w:r>
        <w:t xml:space="preserve"> </w:t>
      </w:r>
      <w:r>
        <w:t xml:space="preserve">supply the architectural socio-technological transformative change framing, which complements the OCEA demand projection by treating space-use norms as endogenous to architectural choices rather than as exogenous constraints. And the McKeown market evaluation framing [8, 47] supplies the methodological recommendation that potential space resources markets should be evaluated against decision-relevant uncertainty, a recommendation the dissertation accepts and extends to the geography question.</w:t>
      </w:r>
    </w:p>
    <w:p>
      <w:pPr>
        <w:pStyle w:val="BodyText"/>
        <w:spacing w:line="480" w:lineRule="auto"/>
        <w:ind w:firstLine="720"/>
      </w:pPr>
      <w:r>
        <w:t xml:space="preserve">Two methodological cautions arrive from the adjacent debris and traffic literatures. Forshaw and colleagues</w:t>
      </w:r>
      <w:r>
        <w:t xml:space="preserve"> </w:t>
      </w:r>
      <w:hyperlink w:anchor="ref-48">
        <w:r>
          <w:rPr>
            <w:rStyle w:val="Hyperlink"/>
          </w:rPr>
          <w:t xml:space="preserve">[48]</w:t>
        </w:r>
      </w:hyperlink>
      <w:r>
        <w:t xml:space="preserve"> </w:t>
      </w:r>
      <w:r>
        <w:t xml:space="preserve">document the RemoveDEBRIS in-orbit active debris removal demonstration, which matters because it bounds the realistic cadence of in-orbit operations and therefore the realism of any transfer catalogue that assumes routine proximity operations. Steele</w:t>
      </w:r>
      <w:r>
        <w:t xml:space="preserve"> </w:t>
      </w:r>
      <w:hyperlink w:anchor="ref-44">
        <w:r>
          <w:rPr>
            <w:rStyle w:val="Hyperlink"/>
          </w:rPr>
          <w:t xml:space="preserve">[44]</w:t>
        </w:r>
      </w:hyperlink>
      <w:r>
        <w:t xml:space="preserve"> </w:t>
      </w:r>
      <w:r>
        <w:t xml:space="preserve">supplies the international law treatment of active debris removal, which bounds the policy realism of certain transfer assumptions. Opromolla and colleagues</w:t>
      </w:r>
      <w:r>
        <w:t xml:space="preserve"> </w:t>
      </w:r>
      <w:hyperlink w:anchor="ref-52">
        <w:r>
          <w:rPr>
            <w:rStyle w:val="Hyperlink"/>
          </w:rPr>
          <w:t xml:space="preserve">[52]</w:t>
        </w:r>
      </w:hyperlink>
      <w:r>
        <w:t xml:space="preserve"> </w:t>
      </w:r>
      <w:r>
        <w:t xml:space="preserve">survey future in-orbit servicing operations in the space traffic management context, methodologically relevant because it shows the traffic management literature beginning to treat node placements as predictors of operational outcomes, even where it has not yet adopted the regression framework explicitly. Reid</w:t>
      </w:r>
      <w:r>
        <w:t xml:space="preserve"> </w:t>
      </w:r>
      <w:hyperlink w:anchor="ref-40">
        <w:r>
          <w:rPr>
            <w:rStyle w:val="Hyperlink"/>
          </w:rPr>
          <w:t xml:space="preserve">[40]</w:t>
        </w:r>
      </w:hyperlink>
      <w:r>
        <w:t xml:space="preserve"> </w:t>
      </w:r>
      <w:r>
        <w:t xml:space="preserve">contributes a conceptual framework for a rapid space launch capability that bounds the assumed launch cadence underlying any reachability metric.</w:t>
      </w:r>
    </w:p>
    <w:p>
      <w:pPr>
        <w:pStyle w:val="BodyText"/>
        <w:spacing w:line="480" w:lineRule="auto"/>
        <w:ind w:firstLine="720"/>
      </w:pPr>
      <w:r>
        <w:t xml:space="preserve">Two further references contribute methodological discipline by analogy. Wu and colleagues</w:t>
      </w:r>
      <w:r>
        <w:t xml:space="preserve"> </w:t>
      </w:r>
      <w:hyperlink w:anchor="ref-45">
        <w:r>
          <w:rPr>
            <w:rStyle w:val="Hyperlink"/>
          </w:rPr>
          <w:t xml:space="preserve">[45]</w:t>
        </w:r>
      </w:hyperlink>
      <w:r>
        <w:t xml:space="preserve"> </w:t>
      </w:r>
      <w:r>
        <w:t xml:space="preserve">document the design and implementation of a CubeSat mission for Antarctic glacier and sea ice observation. What is relevant is not the subject but the methodological posture: a small-platform Earth-observation analysis with explicit numerical reporting is the model for the kind of replicable analysis the present dissertation aspires to. Guo and colleagues</w:t>
      </w:r>
      <w:r>
        <w:t xml:space="preserve"> </w:t>
      </w:r>
      <w:hyperlink w:anchor="ref-51">
        <w:r>
          <w:rPr>
            <w:rStyle w:val="Hyperlink"/>
          </w:rPr>
          <w:t xml:space="preserve">[51]</w:t>
        </w:r>
      </w:hyperlink>
      <w:r>
        <w:t xml:space="preserve"> </w:t>
      </w:r>
      <w:r>
        <w:t xml:space="preserve">document a low-cost long-fixed-baseline radar altimeter solution based on CubeSats and on-orbit assembly, and Ansari and colleagues</w:t>
      </w:r>
      <w:r>
        <w:t xml:space="preserve"> </w:t>
      </w:r>
      <w:hyperlink w:anchor="ref-49">
        <w:r>
          <w:rPr>
            <w:rStyle w:val="Hyperlink"/>
          </w:rPr>
          <w:t xml:space="preserve">[49]</w:t>
        </w:r>
      </w:hyperlink>
      <w:r>
        <w:t xml:space="preserve"> </w:t>
      </w:r>
      <w:r>
        <w:t xml:space="preserve">document a GPS interferometric reflectometry tide gauge analysis. Both reinforce the standard that domain analyses can and should report numerical results in a form admissible to secondary statistical reanalysis. The U.S. Government Accountability Office assessment of NASA major projects</w:t>
      </w:r>
      <w:r>
        <w:t xml:space="preserve"> </w:t>
      </w:r>
      <w:hyperlink w:anchor="ref-26">
        <w:r>
          <w:rPr>
            <w:rStyle w:val="Hyperlink"/>
          </w:rPr>
          <w:t xml:space="preserve">[26]</w:t>
        </w:r>
      </w:hyperlink>
      <w:r>
        <w:t xml:space="preserve"> </w:t>
      </w:r>
      <w:r>
        <w:t xml:space="preserve">contributes an external audit posture: it bounds programmatic optimism with documented cost and schedule outcomes and supplies a control for the realism of the assumed mission set.</w:t>
      </w:r>
    </w:p>
    <w:p>
      <w:pPr>
        <w:pStyle w:val="BodyText"/>
        <w:spacing w:line="480" w:lineRule="auto"/>
        <w:ind w:firstLine="720"/>
      </w:pPr>
      <w:r>
        <w:t xml:space="preserve">Taken in aggregate, the methodology literature does three things for the present dissertation. It confirms that the cliometric framework is the appropriate inferential register for a falsifiable doctrinal claim about geography, since the alternative registers, qualitative case analysis and purely engineering optimisation, neither admit the regression test the prospectus specifies nor accommodate the demand-side weighting the space-economy literature supplies. It supplies the demand-side weighting structure through [8, 9, 10, 11, 12, 47] that the threats-to-validity section of the prospectus identifies as essential to the integrity of the test. And it imports two operational cautions from the debris and traffic literatures [44, 48, 52] and the small-platform methodological standard from [45, 49, 51] that the dissertation accepts as constraints on the realism of its catalogue.</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Read alongside one another, the two literatures exhibit a structural asymmetry that defines the gap. On one side, the domain technical literature has produced a substantial body of numerical results on cislunar transfer reachability [1, 2, 4, 14, 20, 21, 22, 46, 50], on libration-point observability and accessibility [5, 6, 7, 15, 16, 17, 23, 24, 39, 41, 42, 43], and on lunar surface resource feasibility [3, 8, 18, 25, 47], all reported with the methodological discipline the cliometric register requires. On the other, the cliometric and space-economy literature has produced the demand-side weighting [9, 10, 11, 12], the doctrinal framing [10, 11], and the methodological caution about uncertainty representation [8, 47] that any falsifiable test of a doctrinal claim must respect. Each literature is internally consistent and methodologically mature.</w:t>
      </w:r>
    </w:p>
    <w:p>
      <w:pPr>
        <w:pStyle w:val="BodyText"/>
        <w:spacing w:line="480" w:lineRule="auto"/>
        <w:ind w:firstLine="720"/>
      </w:pPr>
      <w:r>
        <w:t xml:space="preserve">Neither, though, has treated the domain numerical results as predictors in a regression that tests a doctrinal claim about geography. In the domain literature the closest approaches treat node geometry as an engineering input to an optimisation [1, 4, 20, 21, 22] rather than as a categorical predictor in an inferential test, and even the strategic interaction analysis by Boh and colleagues</w:t>
      </w:r>
      <w:r>
        <w:t xml:space="preserve"> </w:t>
      </w:r>
      <w:hyperlink w:anchor="ref-19">
        <w:r>
          <w:rPr>
            <w:rStyle w:val="Hyperlink"/>
          </w:rPr>
          <w:t xml:space="preserve">[19]</w:t>
        </w:r>
      </w:hyperlink>
      <w:r>
        <w:t xml:space="preserve"> </w:t>
      </w:r>
      <w:r>
        <w:t xml:space="preserve">treats geometry as a game-theoretic parameter rather than as a regression covariate. In the cliometric and space-economy literature the closest approaches treat cislunar logistics as a forecasting category [9, 10, 11, 12] rather than as a falsifiable geography test, and even the McKeown market evaluation methodology [8, 47] is framed as a market evaluation rather than as a doctrinal test. Precisely where the present dissertation joins the two literatures, the seam is unjoined: the regression of reachability share on node-class indicators, with controls drawn from the stationkeeping</w:t>
      </w:r>
      <w:r>
        <w:t xml:space="preserve"> </w:t>
      </w:r>
      <w:hyperlink w:anchor="ref-22">
        <w:r>
          <w:rPr>
            <w:rStyle w:val="Hyperlink"/>
          </w:rPr>
          <w:t xml:space="preserve">[22]</w:t>
        </w:r>
      </w:hyperlink>
      <w:r>
        <w:t xml:space="preserve">, propellant supply [1, 3, 20, 25], and observation accessibility [5, 6, 7, 17, 23, 24, 39] literatures, and with demand-side weighting drawn from the space-economy literature [8, 9, 10, 11, 12, 47].</w:t>
      </w:r>
    </w:p>
    <w:p>
      <w:pPr>
        <w:pStyle w:val="BodyText"/>
        <w:spacing w:line="480" w:lineRule="auto"/>
        <w:ind w:firstLine="720"/>
      </w:pPr>
      <w:r>
        <w:t xml:space="preserve">So the gap is neither one of evidence nor one of methodology, but one of synthesis. The evidence exists in the published numerical results of the domain literature. The methodology exists in the cliometric register and in the space-economy literature’s demand-side weighting. What has not yet been published is the synthesis itself, the integration of node-class taxonomy and reachability metric into a single regression and survival framework with a falsifiable null hypothesis. The present dissertation makes that synthesis. Chapter 3 specifies the data construction protocol by which the published numerical results of [1, 4, 5, 6, 7, 17, 20, 21, 22, 23, 24] are integrated into a single reachability dataset. Chapter 4 specifies the regression and survival framework by which the doctrinal claim is rendered falsifiable. Chapter 5 reports the empirical test. Chapter 6 interprets the result against the doctrinal frame supplied by [10, 11] and against the demand-side weighting supplied by [8, 9, 12, 47].</w:t>
      </w:r>
    </w:p>
    <w:p>
      <w:pPr>
        <w:pStyle w:val="BodyText"/>
        <w:spacing w:line="480" w:lineRule="auto"/>
        <w:ind w:firstLine="720"/>
      </w:pPr>
      <w:r>
        <w:t xml:space="preserve">Two caveats close the review. The synthesis is bounded, first, by the catalogue. Together the Artemis programmatic record [27, 28, 29], the Commercial Lunar Payload Services record [30, 31, 32], the VIPER discontinuation</w:t>
      </w:r>
      <w:r>
        <w:t xml:space="preserve"> </w:t>
      </w:r>
      <w:hyperlink w:anchor="ref-33">
        <w:r>
          <w:rPr>
            <w:rStyle w:val="Hyperlink"/>
          </w:rPr>
          <w:t xml:space="preserve">[33]</w:t>
        </w:r>
      </w:hyperlink>
      <w:r>
        <w:t xml:space="preserve">, and the international mission record [34, 35, 36] define the realistic transfer demand against which the catalogue is weighted, and programmatic shifts after the 2026 horizon will require recomputation. For tracking such shifts the Government Accountability Office assessment record</w:t>
      </w:r>
      <w:r>
        <w:t xml:space="preserve"> </w:t>
      </w:r>
      <w:hyperlink w:anchor="ref-26">
        <w:r>
          <w:rPr>
            <w:rStyle w:val="Hyperlink"/>
          </w:rPr>
          <w:t xml:space="preserve">[26]</w:t>
        </w:r>
      </w:hyperlink>
      <w:r>
        <w:t xml:space="preserve"> </w:t>
      </w:r>
      <w:r>
        <w:t xml:space="preserve">is the appropriate ongoing source, and the dissertation’s external validity statement names that record as the recommended update channel. The synthesis is bounded, second, by the assumption that node placements are evaluated as logistics nodes rather than as effects-delivery nodes. The cislunar SDA literature [5, 6, 7, 17, 23, 24, 39, 41, 42, 43] and the older space-effects literature [37, 38] together suggest an extension in which a node is evaluated also as a sensing or effects node, but that extension is left to subsequent work and is named in Chapter 6 as the primary forward direction.</w:t>
      </w:r>
    </w:p>
    <w:p>
      <w:pPr>
        <w:pStyle w:val="BodyText"/>
        <w:spacing w:line="480" w:lineRule="auto"/>
        <w:ind w:firstLine="720"/>
      </w:pPr>
      <w:r>
        <w:t xml:space="preserve">The review thus identifies the seam, justifies the analytic posture by which the seam is closed, and bounds the synthesis with documented programmatic and methodological constraints. The remainder of the dissertation operationalises that synthesis.</w:t>
      </w:r>
    </w:p>
    <w:bookmarkEnd w:id="72"/>
    <w:bookmarkEnd w:id="73"/>
    <w:bookmarkStart w:id="85" w:name="Xcfcc00a3ded59aed0c781c16bfc121f2a509603"/>
    <w:p>
      <w:pPr>
        <w:pStyle w:val="Heading1"/>
        <w:spacing w:line="480" w:lineRule="auto"/>
      </w:pPr>
      <w:r>
        <w:t xml:space="preserve">Chapter 3. Theoretical Framework and Hypotheses</w:t>
      </w:r>
    </w:p>
    <w:bookmarkStart w:id="74" w:name="orientation-1"/>
    <w:p>
      <w:pPr>
        <w:pStyle w:val="Heading2"/>
        <w:spacing w:line="480" w:lineRule="auto"/>
      </w:pPr>
      <w:r>
        <w:t xml:space="preserve">3.1 Orientation</w:t>
      </w:r>
    </w:p>
    <w:p>
      <w:pPr>
        <w:pStyle w:val="FirstParagraph"/>
        <w:spacing w:line="480" w:lineRule="auto"/>
      </w:pPr>
      <w:r>
        <w:t xml:space="preserve">This chapter specifies the theoretical framework that underwrites the empirical work and states the two formal hypotheses, H0 and H1, that the spatial and temporal analyses test. The framework is built in three movements. It restates, first, the doctrinal proposition inherited from Alfred Thayer Mahan in a form portable to the cislunar volume and free of metaphorical drift between water and vacuum. It identifies, second, the causal mechanism by which logistics-base geography is hypothesised to produce strategic position, decomposing that mechanism into a propellant supply channel, an observation accessibility channel, and a residual locational channel that is the object of inferential interest. It states, third, H0 and H1 in a manner operational at the level of reachability share and aligned with the regression specification of Chapter 4 and the survival specification of Chapter 5. A discussion of auxiliary and scope conditions closes the chapter, including the assumption that the catalogue of mission-relevant transfers is exogenous to node-class assignment and that the propellant supply and observation accessibility indices are measurable from published numerical results rather than from program intent.</w:t>
      </w:r>
    </w:p>
    <w:p>
      <w:pPr>
        <w:pStyle w:val="BodyText"/>
        <w:spacing w:line="480" w:lineRule="auto"/>
        <w:ind w:firstLine="720"/>
      </w:pPr>
      <w:r>
        <w:t xml:space="preserve">By design the framework is conservative. It does not claim that Mahanian doctrine maps in its entirety onto the Earth-Moon system. Its claim is narrower: that a single recoverable proposition from that doctrine, that the location of a logistics base relative to the lanes of mission-relevant traffic is a primary determinant of the share of that traffic the base can service, has a cislunar analogue that can be specified, measured, and falsified. The contribution rests on demonstrating that this proposition can be tested at all in the cislunar setting, and on the empirical result, reported in Chapters 4 and 5, that the test yields a finding rather than a metaphor.</w:t>
      </w:r>
    </w:p>
    <w:bookmarkEnd w:id="74"/>
    <w:bookmarkStart w:id="75" w:name="X73491b3bb70c9e6625e8295efddff6ada896ca0"/>
    <w:p>
      <w:pPr>
        <w:pStyle w:val="Heading2"/>
        <w:spacing w:line="480" w:lineRule="auto"/>
      </w:pPr>
      <w:r>
        <w:t xml:space="preserve">3.2 The Doctrinal Premise Recast for Cislunar Space</w:t>
      </w:r>
    </w:p>
    <w:p>
      <w:pPr>
        <w:pStyle w:val="FirstParagraph"/>
        <w:spacing w:line="480" w:lineRule="auto"/>
      </w:pPr>
      <w:r>
        <w:t xml:space="preserve">Mahan’s body of work treats the relationship among fleet, base, and sea lane as the constitutive geometry of naval power. Whatever locational premium attaches to a coaling station or a strait derives not from any intrinsic property of the geography but from its position relative to the traffic the fleet must service and the routes the fleet must defend. Where the base sits on a lane carrying a high share of mission-relevant traffic, the fleet using that base operates inside a shorter logistical envelope and exhibits a higher reachability frontier than fleets whose bases sit off the lane. Relational, then, not absolute; and it is in this relational form that the proposition survives transportation to the cislunar volume.</w:t>
      </w:r>
    </w:p>
    <w:p>
      <w:pPr>
        <w:pStyle w:val="BodyText"/>
        <w:spacing w:line="480" w:lineRule="auto"/>
        <w:ind w:firstLine="720"/>
      </w:pPr>
      <w:r>
        <w:t xml:space="preserve">Three node classes in the cislunar volume have dynamical and operational characteristics that make them candidates for an analogous logistics-base function. Near Rectilinear Halo Orbit (NRHO) nodes are anchored on the Gateway architecture and have been the focus of the optimal-transfer trajectory literature, including the reusable orbital transfer vehicle work of Kikuchi and Ueda</w:t>
      </w:r>
      <w:r>
        <w:t xml:space="preserve"> </w:t>
      </w:r>
      <w:hyperlink w:anchor="ref-1">
        <w:r>
          <w:rPr>
            <w:rStyle w:val="Hyperlink"/>
          </w:rPr>
          <w:t xml:space="preserve">[1]</w:t>
        </w:r>
      </w:hyperlink>
      <w:r>
        <w:t xml:space="preserve"> </w:t>
      </w:r>
      <w:r>
        <w:t xml:space="preserve">and the optimal low-thrust Gateway connections of Pozzi and colleagues</w:t>
      </w:r>
      <w:r>
        <w:t xml:space="preserve"> </w:t>
      </w:r>
      <w:hyperlink w:anchor="ref-4">
        <w:r>
          <w:rPr>
            <w:rStyle w:val="Hyperlink"/>
          </w:rPr>
          <w:t xml:space="preserve">[4]</w:t>
        </w:r>
      </w:hyperlink>
      <w:r>
        <w:t xml:space="preserve">. Collinear libration nodes around L1 and L2 are the dynamical gateways through which low-energy transfers and invariant-manifold structures pass, as the cislunar SSA literature characterises them [5, 6, 7]. Lunar south-polar surface nodes are the candidate sites for permanent presence on resource grounds and have been the principal focus of mining feasibility studies</w:t>
      </w:r>
      <w:r>
        <w:t xml:space="preserve"> </w:t>
      </w:r>
      <w:hyperlink w:anchor="ref-3">
        <w:r>
          <w:rPr>
            <w:rStyle w:val="Hyperlink"/>
          </w:rPr>
          <w:t xml:space="preserve">[3]</w:t>
        </w:r>
      </w:hyperlink>
      <w:r>
        <w:t xml:space="preserve">. Each class carries a distinct local geometry of propellant supply and observation accessibility, and each is anchored on a distinct set of trajectories whose numerical characteristics are recoverable from the published record.</w:t>
      </w:r>
    </w:p>
    <w:p>
      <w:pPr>
        <w:pStyle w:val="BodyText"/>
        <w:spacing w:line="480" w:lineRule="auto"/>
        <w:ind w:firstLine="720"/>
      </w:pPr>
      <w:r>
        <w:t xml:space="preserve">The recast proposition is then this. If logistics-base geography in the cislunar volume operates as it operates at sea, the location class of a candidate base node should predict the share of mission-relevant cislunar transfers it can service inside a budgeted delta-v and time-of-flight envelope, after the node’s local propellant supply geometry and observation accessibility are held constant. That is the proposition H1 places under formal test.</w:t>
      </w:r>
    </w:p>
    <w:p>
      <w:pPr>
        <w:pStyle w:val="BodyText"/>
        <w:spacing w:line="480" w:lineRule="auto"/>
        <w:ind w:firstLine="720"/>
      </w:pPr>
      <w:r>
        <w:t xml:space="preserve">Precision about what the recast does and does not assert matters here. It does not assert that NRHO, libration, or polar surface nodes are strategically valuable in any absolute sense. It asserts only that the class assignment of a node carries information about reachability share not exhausted by the propellant supply geometry and observation accessibility channels through which the class operates. Should the class assignment carry no such residual information, the doctrinal proposition is shown to be operationally inert: any apparent locational premium reduces to a propellant architecture decision or an observation architecture decision, correctly understood not as geography but as engineering programming.</w:t>
      </w:r>
    </w:p>
    <w:bookmarkEnd w:id="75"/>
    <w:bookmarkStart w:id="79" w:name="the-causal-mechanism"/>
    <w:p>
      <w:pPr>
        <w:pStyle w:val="Heading2"/>
        <w:spacing w:line="480" w:lineRule="auto"/>
      </w:pPr>
      <w:r>
        <w:t xml:space="preserve">3.3 The Causal Mechanism</w:t>
      </w:r>
    </w:p>
    <w:p>
      <w:pPr>
        <w:pStyle w:val="FirstParagraph"/>
        <w:spacing w:line="480" w:lineRule="auto"/>
      </w:pPr>
      <w:r>
        <w:t xml:space="preserve">The causal logic linking node class to reachability share has three components. Two are channels the framework treats as observable controls; the third is the residual locational effect that constitutes the doctrinal claim itself.</w:t>
      </w:r>
    </w:p>
    <w:bookmarkStart w:id="76" w:name="the-propellant-supply-channel"/>
    <w:p>
      <w:pPr>
        <w:pStyle w:val="Heading3"/>
        <w:spacing w:line="480" w:lineRule="auto"/>
      </w:pPr>
      <w:r>
        <w:t xml:space="preserve">3.3.1 The propellant supply channel</w:t>
      </w:r>
    </w:p>
    <w:p>
      <w:pPr>
        <w:pStyle w:val="FirstParagraph"/>
        <w:spacing w:line="480" w:lineRule="auto"/>
      </w:pPr>
      <w:r>
        <w:t xml:space="preserve">Take the propellant supply channel first. NRHO placements have drawn an extensive optimal-transfer literature that establishes both the delta-v cost of reaching and departing the orbit and the architectural plausibility of using the orbit as a propellant aggregation node serviced by a reusable orbital transfer vehicle [1, 4]. Work on Gateway stationkeeping under realistic ephemeris and operations constraints reinforces the operational plausibility of that aggregation role</w:t>
      </w:r>
      <w:r>
        <w:t xml:space="preserve"> </w:t>
      </w:r>
      <w:hyperlink w:anchor="ref-22">
        <w:r>
          <w:rPr>
            <w:rStyle w:val="Hyperlink"/>
          </w:rPr>
          <w:t xml:space="preserve">[22]</w:t>
        </w:r>
      </w:hyperlink>
      <w:r>
        <w:t xml:space="preserve">. Collinear libration nodes are not propellant aggregation nodes in the same sense; their propellant geometry is shaped instead by the low-cost manifold transfers that connect them to lunar orbits and translunar space [5, 6, 7]. Of the three classes, lunar south-polar surface nodes carry the most complex propellant geometry, because their resource-extraction case is built on in-situ propellant production, which both lowers the marginal cost of departure once the production system is established and imposes a heavy capital cost on the development pathway [3, 25]. So the propellant supply channel is a confound: node class predicts reachability share in part because it predicts propellant supply geometry, and propellant supply geometry is itself a primary determinant of which transfers a node can service inside budget. The framework treats this channel as a measurable control rather than as part of the doctrinal claim under test.</w:t>
      </w:r>
    </w:p>
    <w:bookmarkEnd w:id="76"/>
    <w:bookmarkStart w:id="77" w:name="the-observation-accessibility-channel"/>
    <w:p>
      <w:pPr>
        <w:pStyle w:val="Heading3"/>
        <w:spacing w:line="480" w:lineRule="auto"/>
      </w:pPr>
      <w:r>
        <w:t xml:space="preserve">3.3.2 The observation accessibility channel</w:t>
      </w:r>
    </w:p>
    <w:p>
      <w:pPr>
        <w:pStyle w:val="FirstParagraph"/>
        <w:spacing w:line="480" w:lineRule="auto"/>
      </w:pPr>
      <w:r>
        <w:t xml:space="preserve">The observation accessibility channel is the second component. From the cislunar SSA literature comes the finding that the accessibility of a node to observation, whether from ground-based assets or from candidate constellation placements at libration points, is a function of the dynamical geometry around the node [5, 6, 7]. Bolden and colleagues’ constellation-stability analysis at L1, L2, L4, and L5 [5, 24] together with the manifold-tracking framework of Wright and colleagues [7, 23] establish that observation accessibility is neither uniform across the cislunar volume nor strictly aligned with propellant supply geometry. A node well-served by propellant logistics is not automatically well-served by observation, and the inferential design must hold both channels constant if the residual locational effect is to be isolated. By the same logic as the propellant supply channel, the observation accessibility channel is a confound, and it too is treated as a measurable control.</w:t>
      </w:r>
    </w:p>
    <w:bookmarkEnd w:id="77"/>
    <w:bookmarkStart w:id="78" w:name="the-residual-locational-channel"/>
    <w:p>
      <w:pPr>
        <w:pStyle w:val="Heading3"/>
        <w:spacing w:line="480" w:lineRule="auto"/>
      </w:pPr>
      <w:r>
        <w:t xml:space="preserve">3.3.3 The residual locational channel</w:t>
      </w:r>
    </w:p>
    <w:p>
      <w:pPr>
        <w:pStyle w:val="FirstParagraph"/>
        <w:spacing w:line="480" w:lineRule="auto"/>
      </w:pPr>
      <w:r>
        <w:t xml:space="preserve">The third component is the residual locational effect. Here is the claim that, once the propellant supply and observation accessibility channels have been partialled out, the class assignment of a node continues to carry information about the share of mission-relevant transfers the node can service. Operationally this would manifest as a node-class indicator whose coefficient in the regression of reachability share on class and controls is distinguishable from zero. This residual is the empirical signature of the doctrinal proposition. It is the locational premium the Mahanian frame predicts and the engineering reading of cislunar architecture denies.</w:t>
      </w:r>
    </w:p>
    <w:p>
      <w:pPr>
        <w:pStyle w:val="BodyText"/>
        <w:spacing w:line="480" w:lineRule="auto"/>
        <w:ind w:firstLine="720"/>
      </w:pPr>
      <w:r>
        <w:t xml:space="preserve">Two interpretations of the residual are admissible under the framework. On one, the effect arises from invariant-manifold structure internal to the dynamical class, structure that connects the class to mission-relevant transfers in a way the propellant or observation indices do not capture. On the other, the effect arises from the dynamical privilege of the class as a relay node for transfers that originate elsewhere and pass through the class en route to mission targets. Both readings are doctrinally consistent. The empirical test does not discriminate between them; it discriminates between the joint claim that some residual locational effect exists and the null that no such effect exists once the channels are held constant.</w:t>
      </w:r>
    </w:p>
    <w:bookmarkEnd w:id="78"/>
    <w:bookmarkEnd w:id="79"/>
    <w:bookmarkStart w:id="80" w:name="X732249ab2413a2293744f68b4309069d6fa2e6e"/>
    <w:p>
      <w:pPr>
        <w:pStyle w:val="Heading2"/>
        <w:spacing w:line="480" w:lineRule="auto"/>
      </w:pPr>
      <w:r>
        <w:t xml:space="preserve">3.4 Auxiliary Predictions and the Temporal Extension</w:t>
      </w:r>
    </w:p>
    <w:p>
      <w:pPr>
        <w:pStyle w:val="FirstParagraph"/>
        <w:spacing w:line="480" w:lineRule="auto"/>
      </w:pPr>
      <w:r>
        <w:t xml:space="preserve">The spatial argument above predicts a residual class effect on reachability share. The temporal extension developed in Chapter 5 predicts a corresponding residual class effect on the hazard of reaching first flight for operational programs anchored on a given class of node. Bridging the spatial and temporal arguments is the doctrinal premise that geography is schedule: a base on the lane carries the fleet through its development pathway faster than a base off the lane. Should the spatial analysis identify a residual locational effect on reachability share, the survival analysis should identify a corresponding residual effect on time-to-first-flight, with at least one node-class indicator carrying a hazard ratio distinguishable from unity after cargo class and propellant supply geometry are entered as controls. The temporal extension is not the primary test. It is a doctrinal consistency check and a robustness probe on the spatial finding.</w:t>
      </w:r>
    </w:p>
    <w:p>
      <w:pPr>
        <w:pStyle w:val="BodyText"/>
        <w:spacing w:line="480" w:lineRule="auto"/>
        <w:ind w:firstLine="720"/>
      </w:pPr>
      <w:r>
        <w:t xml:space="preserve">A second auxiliary prediction concerns the directionality of the residual across the three node classes. NRHO is hypothesised to carry a positive premium on reachability share, since the orbit is geometrically privileged for staging high-mass transfers between Earth-side propellant infrastructure and the lunar surface [1, 4, 22]. Collinear libration nodes are hypothesised to carry a positive premium, since their manifold structure connects them at low cost to a wide range of cislunar destinations [6, 7]. South-polar surface nodes are hypothesised to carry a mixed sign: they pay a high delta-v premium on departure yet are positioned at the destination of the resource-bearing portion of the mission catalogue [3, 25]. The framework does not impose these directional priors on the test. The hypotheses in Section 3.5 are stated as two-sided contrasts.</w:t>
      </w:r>
    </w:p>
    <w:bookmarkEnd w:id="80"/>
    <w:bookmarkStart w:id="81" w:name="formal-statement-of-h0-and-h1"/>
    <w:p>
      <w:pPr>
        <w:pStyle w:val="Heading2"/>
        <w:spacing w:line="480" w:lineRule="auto"/>
      </w:pPr>
      <w:r>
        <w:t xml:space="preserve">3.5 Formal Statement of H0 and H1</w:t>
      </w:r>
    </w:p>
    <w:p>
      <w:pPr>
        <w:pStyle w:val="FirstParagraph"/>
        <w:spacing w:line="480" w:lineRule="auto"/>
      </w:pPr>
      <w:r>
        <w:t xml:space="preserve">Let the unit of analysis be a candidate base node placement, indexed by i, drawn from a population stratified across three node classes: NRHO, collinear libration (L1 or L2), and lunar south-polar surface. Let R_i denote the reachability share of placement i, the share of a fixed catalogue of mission-relevant cislunar transfers that placement i can service inside a budgeted delta-v and a time-of-flight ceiling. Let C_i denote a vector of node-class indicators with the lunar south-polar surface class held as the omitted reference. Let P_i denote the propellant supply geometry index for placement i, constructed from the published optimal-transfer numerical results of Kikuchi and Ueda</w:t>
      </w:r>
      <w:r>
        <w:t xml:space="preserve"> </w:t>
      </w:r>
      <w:hyperlink w:anchor="ref-1">
        <w:r>
          <w:rPr>
            <w:rStyle w:val="Hyperlink"/>
          </w:rPr>
          <w:t xml:space="preserve">[1]</w:t>
        </w:r>
      </w:hyperlink>
      <w:r>
        <w:t xml:space="preserve">, Pozzi and colleagues</w:t>
      </w:r>
      <w:r>
        <w:t xml:space="preserve"> </w:t>
      </w:r>
      <w:hyperlink w:anchor="ref-4">
        <w:r>
          <w:rPr>
            <w:rStyle w:val="Hyperlink"/>
          </w:rPr>
          <w:t xml:space="preserve">[4]</w:t>
        </w:r>
      </w:hyperlink>
      <w:r>
        <w:t xml:space="preserve">, and Davis and colleagues</w:t>
      </w:r>
      <w:r>
        <w:t xml:space="preserve"> </w:t>
      </w:r>
      <w:hyperlink w:anchor="ref-22">
        <w:r>
          <w:rPr>
            <w:rStyle w:val="Hyperlink"/>
          </w:rPr>
          <w:t xml:space="preserve">[22]</w:t>
        </w:r>
      </w:hyperlink>
      <w:r>
        <w:t xml:space="preserve"> </w:t>
      </w:r>
      <w:r>
        <w:t xml:space="preserve">and rescaled to the unit interval. Let O_i denote the observation accessibility index for placement i, constructed from the cislunar SSA results of Bolden and colleagues [5, 24], Rosengren</w:t>
      </w:r>
      <w:r>
        <w:t xml:space="preserve"> </w:t>
      </w:r>
      <w:hyperlink w:anchor="ref-6">
        <w:r>
          <w:rPr>
            <w:rStyle w:val="Hyperlink"/>
          </w:rPr>
          <w:t xml:space="preserve">[6]</w:t>
        </w:r>
      </w:hyperlink>
      <w:r>
        <w:t xml:space="preserve">, and Wright and colleagues [7, 23] and rescaled to the unit interval. The structural specification is</w:t>
      </w:r>
    </w:p>
    <w:p>
      <w:pPr>
        <w:pStyle w:val="BodyText"/>
        <w:spacing w:line="480" w:lineRule="auto"/>
        <w:ind w:firstLine="720"/>
      </w:pPr>
      <w:r>
        <w:t xml:space="preserve">R_i = alpha + beta’ C_i + gamma P_i + delta O_i + epsilon_i,</w:t>
      </w:r>
    </w:p>
    <w:p>
      <w:pPr>
        <w:pStyle w:val="BodyText"/>
        <w:spacing w:line="480" w:lineRule="auto"/>
        <w:ind w:firstLine="720"/>
      </w:pPr>
      <w:r>
        <w:t xml:space="preserve">where epsilon_i is a placement-specific disturbance with heteroskedasticity-consistent variance.</w:t>
      </w:r>
    </w:p>
    <w:p>
      <w:pPr>
        <w:pStyle w:val="BodyText"/>
        <w:spacing w:line="480" w:lineRule="auto"/>
        <w:ind w:firstLine="720"/>
      </w:pPr>
      <w:r>
        <w:t xml:space="preserve">H0. After controlling for propellant supply geometry P_i and observation accessibility O_i, node class is not a statistically significant predictor of reachability share. Formally, beta = 0 in the population.</w:t>
      </w:r>
    </w:p>
    <w:p>
      <w:pPr>
        <w:pStyle w:val="BodyText"/>
        <w:spacing w:line="480" w:lineRule="auto"/>
        <w:ind w:firstLine="720"/>
      </w:pPr>
      <w:r>
        <w:t xml:space="preserve">H1. After controlling for propellant supply geometry P_i and observation accessibility O_i, node class is a statistically significant predictor of reachability share, with at least one component of beta exhibiting a coefficient distinguishable from zero at the 0.05 level under heteroskedasticity-robust inference and surviving a Bonferroni adjustment across the three pairwise class contrasts.</w:t>
      </w:r>
    </w:p>
    <w:p>
      <w:pPr>
        <w:pStyle w:val="BodyText"/>
        <w:spacing w:line="480" w:lineRule="auto"/>
        <w:ind w:firstLine="720"/>
      </w:pPr>
      <w:r>
        <w:t xml:space="preserve">Reject H0 and the Mahanian reading of cislunar geography finds support. Fail to reject it and the engineering reading holds: any apparent locational premium operates through the propellant supply and observation accessibility channels, and the doctrinal frame is shown to be operationally inert at the reachability margin.</w:t>
      </w:r>
    </w:p>
    <w:p>
      <w:pPr>
        <w:pStyle w:val="BodyText"/>
        <w:spacing w:line="480" w:lineRule="auto"/>
        <w:ind w:firstLine="720"/>
      </w:pPr>
      <w:r>
        <w:t xml:space="preserve">These hypotheses are stated at the level of the spatial test. The temporal extension restates them in survival form. Let T_j denote the duration in months from program authorization to first flight for program j, with an event indicator e_j taking value one for first flight and zero for right censoring. Let X_j denote the analogous vector of node-class indicators for program j’s target node and let Q_j and S_j denote the cargo-class and propellant supply geometry controls. The hazard function is h(t | X_j, Q_j, S_j) = h_0(t) exp(eta’ X_j + theta Q_j + phi S_j). In the temporal frame H0 and H1 become the analogous statements that eta is or is not distinguishable from zero. The temporal test is the doctrinal consistency check identified in Section 3.4.</w:t>
      </w:r>
    </w:p>
    <w:bookmarkEnd w:id="81"/>
    <w:bookmarkStart w:id="82" w:name="Xdb65abfa4a06f0a7a541bc3adda081e12f68ed5"/>
    <w:p>
      <w:pPr>
        <w:pStyle w:val="Heading2"/>
        <w:spacing w:line="480" w:lineRule="auto"/>
      </w:pPr>
      <w:r>
        <w:t xml:space="preserve">3.6 Identifying Assumptions and Scope Conditions</w:t>
      </w:r>
    </w:p>
    <w:p>
      <w:pPr>
        <w:pStyle w:val="FirstParagraph"/>
        <w:spacing w:line="480" w:lineRule="auto"/>
      </w:pPr>
      <w:r>
        <w:t xml:space="preserve">Five identifying assumptions carry the inferential validity of the test.</w:t>
      </w:r>
    </w:p>
    <w:p>
      <w:pPr>
        <w:pStyle w:val="BodyText"/>
        <w:spacing w:line="480" w:lineRule="auto"/>
        <w:ind w:firstLine="720"/>
      </w:pPr>
      <w:r>
        <w:t xml:space="preserve">Exogeneity of the transfer catalogue comes first. The catalogue against which reachability share is scored is drawn from the published trajectory literature [1, 4, 6, 7, 22] and is not constructed by the analyst with reference to the node-class assignment of any candidate placement. Should the published literature systematically over-represent Gateway-adjacent designs, the reachability metric will tilt toward NRHO; the analysis mitigates that risk by weighting the catalogue against independent mission demand drawn from the space-economy literature [8, 9, 10, 11, 12] and by reporting both weighted and unweighted estimates.</w:t>
      </w:r>
    </w:p>
    <w:p>
      <w:pPr>
        <w:pStyle w:val="BodyText"/>
        <w:spacing w:line="480" w:lineRule="auto"/>
        <w:ind w:firstLine="720"/>
      </w:pPr>
      <w:r>
        <w:t xml:space="preserve">Measurability of the controls comes second. The propellant supply geometry index P_i is constructed from published numerical optimal-transfer results [1, 4, 22], and the observation accessibility index O_i from published cislunar SSA results [5, 6, 7, 23, 24]. The framework assumes those published results are accurate within their reported tolerances and that rescaling to the unit interval preserves the ordinal structure of the underlying numerical inputs.</w:t>
      </w:r>
    </w:p>
    <w:p>
      <w:pPr>
        <w:pStyle w:val="BodyText"/>
        <w:spacing w:line="480" w:lineRule="auto"/>
        <w:ind w:firstLine="720"/>
      </w:pPr>
      <w:r>
        <w:t xml:space="preserve">Independence of placements across node classes comes third. Placements within the same class share dynamical structure and are not strictly independent, which would bias the standard errors of the OLS specification downward. The framework addresses this through heteroskedasticity-consistent inference at the placement level and through cluster-robust inference at the node-class level in the secondary specification.</w:t>
      </w:r>
    </w:p>
    <w:p>
      <w:pPr>
        <w:pStyle w:val="BodyText"/>
        <w:spacing w:line="480" w:lineRule="auto"/>
        <w:ind w:firstLine="720"/>
      </w:pPr>
      <w:r>
        <w:t xml:space="preserve">Stability of the node-class taxonomy comes fourth. The three-class taxonomy adopted here is the one the cislunar architecture literature has converged on at the time of writing [1, 3, 4, 5, 6, 7, 22, 25]. The framework assumes it will remain stable across the analysis horizon. Future expansion of the mission set to include distant retrograde orbits, halo orbits at other Earth-Moon libration points, or cislunar relay constellations would extend rather than overturn the framework.</w:t>
      </w:r>
    </w:p>
    <w:p>
      <w:pPr>
        <w:pStyle w:val="BodyText"/>
        <w:spacing w:line="480" w:lineRule="auto"/>
        <w:ind w:firstLine="720"/>
      </w:pPr>
      <w:r>
        <w:t xml:space="preserve">The fifth assumption is that strategic position is operationalisable as reachability share. The framework treats reachability share as one defensible operationalisation, motivated by the Mahanian premise that the share of mission-relevant traffic a base can service is the primary measurable correlate of locational privilege. This operationalisation does not capture the political-economic factors the Mahanian frame itself foregrounds in its terrestrial application, and so the analysis reports the regression result alongside the underlying reachability vectors, leaving readers free to substitute alternative aggregations.</w:t>
      </w:r>
    </w:p>
    <w:p>
      <w:pPr>
        <w:pStyle w:val="BodyText"/>
        <w:spacing w:line="480" w:lineRule="auto"/>
        <w:ind w:firstLine="720"/>
      </w:pPr>
      <w:r>
        <w:t xml:space="preserve">Three scope conditions bound the framework. The analysis horizon is the present generation of cislunar mission designs, terminating in 2026 [1, 3, 4]; the result is not claimed for mission sets beyond that horizon. The framework treats civilian, scientific, and dual-use mission categories on a common reachability metric and imposes no separate scoring for time-critical military transfers; the negative control specification that reassigns class labels at random tests whether the result depends on the catalogue rather than the labels. And the framework does not predict the magnitude of the residual locational effect, only its existence and the sign on the contrasts that survive Bonferroni adjustment. Magnitude is an empirical question the analyses of Chapters 4 and 5 answer rather than assume.</w:t>
      </w:r>
    </w:p>
    <w:bookmarkEnd w:id="82"/>
    <w:bookmarkStart w:id="83" w:name="X3019509d6d7ffe74c46d624022a648cbd62b2bd"/>
    <w:p>
      <w:pPr>
        <w:pStyle w:val="Heading2"/>
        <w:spacing w:line="480" w:lineRule="auto"/>
      </w:pPr>
      <w:r>
        <w:t xml:space="preserve">3.7 Relationship to the Companion Empirical Papers</w:t>
      </w:r>
    </w:p>
    <w:p>
      <w:pPr>
        <w:pStyle w:val="FirstParagraph"/>
        <w:spacing w:line="480" w:lineRule="auto"/>
      </w:pPr>
      <w:r>
        <w:t xml:space="preserve">The framework specified above is the analytic backbone of the two companion papers reported as Chapter 4 and Chapter 5. Chapter 4 implements the spatial test as an ordinary least squares regression of reachability share on node-class indicators and the two control indices, on a sample of candidate placements coded from the published trajectory and SSA literature [1, 3, 4, 5, 6, 7]. Chapter 5 implements the temporal test as a Cox proportional-hazards regression of program time-to-first-flight on the node-class indicators and the cargo-class and propellant supply controls, on a sample of operational lunar and cislunar programs documented from 2003 to 2026 [1, 4, 22, 26 through 36]. The two chapters are designed to be readable in either order; together they constitute the falsification test of the recast doctrinal proposition. The chapters that follow Chapter 5 interpret the joint pattern of results and locate the finding within the broader literature on cislunar architecture, space-economy modelling, and the maritime-analogy tradition in space strategy [8, 9, 10, 11, 12].</w:t>
      </w:r>
    </w:p>
    <w:bookmarkEnd w:id="83"/>
    <w:bookmarkStart w:id="84" w:name="summary"/>
    <w:p>
      <w:pPr>
        <w:pStyle w:val="Heading2"/>
        <w:spacing w:line="480" w:lineRule="auto"/>
      </w:pPr>
      <w:r>
        <w:t xml:space="preserve">3.8 Summary</w:t>
      </w:r>
    </w:p>
    <w:p>
      <w:pPr>
        <w:pStyle w:val="FirstParagraph"/>
        <w:spacing w:line="480" w:lineRule="auto"/>
      </w:pPr>
      <w:r>
        <w:t xml:space="preserve">The chapter has restated the Mahanian doctrinal proposition in a form portable to the cislunar volume, decomposed the causal mechanism linking logistics-base geography to reachability share into a propellant supply channel, an observation accessibility channel, and a residual locational channel, and stated H0 and H1 formally at the level of the regression specification Chapter 4 will fit. The propellant and observation channels are treated as measurable controls; the residual locational channel is the doctrinal object under test. Reject H0 and the doctrinal proposition finds support; fail to reject it and the proposition reduces to an engineering programming claim. The temporal extension developed in Chapter 5 places the spatial finding under an additional consistency check on the hazard of reaching first flight, with the auxiliary prediction that the same node-class signal should manifest as a residual hazard effect once cargo class and propellant supply geometry have been entered as controls. Conservative in scope, narrow in claim, the framework is falsifiable at the level of two pre-specified statistical tests.</w:t>
      </w:r>
    </w:p>
    <w:bookmarkEnd w:id="84"/>
    <w:bookmarkEnd w:id="85"/>
    <w:bookmarkStart w:id="92" w:name="chapter-4.-data-and-measurement"/>
    <w:p>
      <w:pPr>
        <w:pStyle w:val="Heading1"/>
        <w:spacing w:line="480" w:lineRule="auto"/>
      </w:pPr>
      <w:r>
        <w:t xml:space="preserve">Chapter 4. Data and Measurement</w:t>
      </w:r>
    </w:p>
    <w:bookmarkStart w:id="86" w:name="purpose-and-organisation"/>
    <w:p>
      <w:pPr>
        <w:pStyle w:val="Heading2"/>
        <w:spacing w:line="480" w:lineRule="auto"/>
      </w:pPr>
      <w:r>
        <w:t xml:space="preserve">4.1 Purpose and Organisation</w:t>
      </w:r>
    </w:p>
    <w:p>
      <w:pPr>
        <w:pStyle w:val="FirstParagraph"/>
        <w:spacing w:line="480" w:lineRule="auto"/>
      </w:pPr>
      <w:r>
        <w:t xml:space="preserve">Here the chapter sets out the empirical material behind the two analytic papers. What the dissertation asks is whether logistics-base geography, carried over from Mahanian sea-power doctrine into the Earth-Moon system, forecasts strategic position on the cislunar sea. In Paper 1 that construct becomes a spatial quantity, reachability share across thirty-two candidate base-node placements, and ordinary least squares does the fitting [1, 3, 4, 5, 6, 7]. In Paper 2 the same construct turns temporal, program time-to-first-flight across thirty-two lunar and cislunar programs authorised or contracted between 2003 and 2026, with Cox proportional-hazards regression doing the work [13, 14, 20, 22, 26]. Both papers lean on one doctrinal claim and one measurement frame, yet each pulls from its own primary record and fixes its own unit of analysis. Five parts organise what follows. Section 4.2 names the two datasets, cites their authoritative sources, and pins the unit of analysis in each. Section 4.3 walks through variable construction for the Paper 1 reachability dataset, node-class indicators, propellant supply geometry index, observation accessibility index, and dependent reachability share alike. Section 4.4 does the same for the Paper 2 program duration dataset, covering duration in months, the first-flight event indicator, the polar-node and NRHO-node indicators, the cargo-class indicator, and the propellant supply index. Section 4.5 lays out the provenance discipline riding on every row, from DOI tracking and public-record auditability through illustrative-flag accounting to the cross-paper rules that keep the propellant supply construct coherent across the OLS and survival specifications. Section 4.6 sets down the principal measurement threats and how each was held inside the bounds the prospectus committed to [Prospectus 5, 6].</w:t>
      </w:r>
    </w:p>
    <w:bookmarkEnd w:id="86"/>
    <w:bookmarkStart w:id="87" w:name="datasets-and-units-of-analysis"/>
    <w:p>
      <w:pPr>
        <w:pStyle w:val="Heading2"/>
        <w:spacing w:line="480" w:lineRule="auto"/>
      </w:pPr>
      <w:r>
        <w:t xml:space="preserve">4.2 Datasets and Units of Analysis</w:t>
      </w:r>
    </w:p>
    <w:p>
      <w:pPr>
        <w:pStyle w:val="FirstParagraph"/>
        <w:spacing w:line="480" w:lineRule="auto"/>
      </w:pPr>
      <w:r>
        <w:t xml:space="preserve">Two purpose-built datasets carry the dissertation. Each was assembled from open-access primary sources, each is tracked at the row level to a DOI or to some equally durable public reference, and neither draws on proprietary or classified material.</w:t>
      </w:r>
    </w:p>
    <w:p>
      <w:pPr>
        <w:pStyle w:val="BodyText"/>
        <w:spacing w:line="480" w:lineRule="auto"/>
        <w:ind w:firstLine="720"/>
      </w:pPr>
      <w:r>
        <w:t xml:space="preserve">Behind Paper 1 stands a candidate base-node panel whose unit of analysis is a candidate logistics-base placement in cislunar space. One such candidate fills each row, set at a specified location class, given a fixed local propellant supply geometry and a fixed observation accessibility profile, and scored against a published catalogue of cislunar transfers. Thirty-two observations make up the realised sample, spread over three node classes: Near Rectilinear Halo Orbit placements anchored on Gateway-class architecture [1, 4], collinear libration placements near the Earth-Moon L1 and L2 points [5, 6, 7], and lunar south-polar surface placements sitting near permanently shadowed ice-bearing terrain</w:t>
      </w:r>
      <w:r>
        <w:t xml:space="preserve"> </w:t>
      </w:r>
      <w:hyperlink w:anchor="ref-3">
        <w:r>
          <w:rPr>
            <w:rStyle w:val="Hyperlink"/>
          </w:rPr>
          <w:t xml:space="preserve">[3]</w:t>
        </w:r>
      </w:hyperlink>
      <w:r>
        <w:t xml:space="preserve">. Stratifying the thirty-two placements across the three classes leaves the omitted reference class in the regression with observations enough to discipline the constant. Roughly two hundred placements were what the prospectus foresaw, but the demand that every row be reconstructible from numerical inputs published in the cited literature pared the sample down to those placements the source studies actually score in a comparable delta-v and time-of-flight idiom. That is a binding limit, not a discretionary one, and the chapter carries the resulting N forward as the operative sample for inference.</w:t>
      </w:r>
    </w:p>
    <w:p>
      <w:pPr>
        <w:pStyle w:val="BodyText"/>
        <w:spacing w:line="480" w:lineRule="auto"/>
        <w:ind w:firstLine="720"/>
      </w:pPr>
      <w:r>
        <w:t xml:space="preserve">Behind Paper 2 stands a lunar and cislunar program panel whose unit of analysis is an authorised or contracted lunar or cislunar program. Each row logs one program’s authorisation date, its first-flight date where that came, its censoring date where it did not, the resulting duration in months, a binary first-flight event indicator, and the covariate profile that seats the program inside the doctrinal frame. Thirty-two programs authorised or contracted between 2003 and 2026 with status recoverable at the data cutoff populate the sample. Twenty-two reached first flight; ten stayed in development or were cancelled before flight. Reaching across the principal NASA lines and the principal international lunar programs of the period, the sample keeps each row’s source string in the data file [26, 27, 28, 29, 30, 31, 32, 33, 34, 35, 36].</w:t>
      </w:r>
    </w:p>
    <w:p>
      <w:pPr>
        <w:pStyle w:val="BodyText"/>
        <w:spacing w:line="480" w:lineRule="auto"/>
        <w:ind w:firstLine="720"/>
      </w:pPr>
      <w:r>
        <w:t xml:space="preserve">One doctrinal frame joins the two datasets, but different questions divide them. Paper 1 wants to know whether geography, as node class encodes it, forecasts a spatial reachability outcome with propellant geometry and observation accessibility held constant. Paper 2 wants to know whether geography, as the operational program’s anchoring node encodes it, forecasts a temporal first-flight outcome with cargo class and propellant geometry held constant. At the construct level a shared idea ties the two outcomes together, that base geography drives both reach and schedule; at the measurement level they stay apart, so the spatial and temporal channels of the doctrine can be probed on their own.</w:t>
      </w:r>
    </w:p>
    <w:bookmarkEnd w:id="87"/>
    <w:bookmarkStart w:id="88" w:name="Xdd048764226579a7acd4535bb56f017bb5c7f66"/>
    <w:p>
      <w:pPr>
        <w:pStyle w:val="Heading2"/>
        <w:spacing w:line="480" w:lineRule="auto"/>
      </w:pPr>
      <w:r>
        <w:t xml:space="preserve">4.3 Variable Construction in the Paper 1 Reachability Dataset</w:t>
      </w:r>
    </w:p>
    <w:p>
      <w:pPr>
        <w:pStyle w:val="FirstParagraph"/>
        <w:spacing w:line="480" w:lineRule="auto"/>
      </w:pPr>
      <w:r>
        <w:t xml:space="preserve">Six measured quantities go on record for each candidate placement in the Paper 1 dataset: the node-class label, the NRHO indicator, the libration indicator, the propellant supply geometry index, the observation accessibility index, and the dependent reachability share. Because the lunar south-polar surface class serves as the omitted reference in the regression, every placement in that class shows a zero on both the NRHO indicator and the libration indicator.</w:t>
      </w:r>
    </w:p>
    <w:p>
      <w:pPr>
        <w:pStyle w:val="BodyText"/>
        <w:spacing w:line="480" w:lineRule="auto"/>
        <w:ind w:firstLine="720"/>
      </w:pPr>
      <w:r>
        <w:t xml:space="preserve">Whatever primary source scores the placement supplies its node-class label. NRHO placements come from the reusable orbital transfer vehicle and Gateway transfer geometry of Kikuchi and Ueda</w:t>
      </w:r>
      <w:r>
        <w:t xml:space="preserve"> </w:t>
      </w:r>
      <w:hyperlink w:anchor="ref-1">
        <w:r>
          <w:rPr>
            <w:rStyle w:val="Hyperlink"/>
          </w:rPr>
          <w:t xml:space="preserve">[1]</w:t>
        </w:r>
      </w:hyperlink>
      <w:r>
        <w:t xml:space="preserve"> </w:t>
      </w:r>
      <w:r>
        <w:t xml:space="preserve">and from the optimal low-thrust Gateway-Earth-Moon transfers of Pozzi, Pontani, Beolchi, and Fantino</w:t>
      </w:r>
      <w:r>
        <w:t xml:space="preserve"> </w:t>
      </w:r>
      <w:hyperlink w:anchor="ref-4">
        <w:r>
          <w:rPr>
            <w:rStyle w:val="Hyperlink"/>
          </w:rPr>
          <w:t xml:space="preserve">[4]</w:t>
        </w:r>
      </w:hyperlink>
      <w:r>
        <w:t xml:space="preserve">. Libration placements come from the cislunar multiscale dynamics analysis of Rosengren</w:t>
      </w:r>
      <w:r>
        <w:t xml:space="preserve"> </w:t>
      </w:r>
      <w:hyperlink w:anchor="ref-6">
        <w:r>
          <w:rPr>
            <w:rStyle w:val="Hyperlink"/>
          </w:rPr>
          <w:t xml:space="preserve">[6]</w:t>
        </w:r>
      </w:hyperlink>
      <w:r>
        <w:t xml:space="preserve">, the accessible invariant manifolds analysis of Wright, Tafur, Owens Fahrner, and Wysack</w:t>
      </w:r>
      <w:r>
        <w:t xml:space="preserve"> </w:t>
      </w:r>
      <w:hyperlink w:anchor="ref-7">
        <w:r>
          <w:rPr>
            <w:rStyle w:val="Hyperlink"/>
          </w:rPr>
          <w:t xml:space="preserve">[7]</w:t>
        </w:r>
      </w:hyperlink>
      <w:r>
        <w:t xml:space="preserve">, the observing constellation orbit stability analysis of Bolden, Craychee, and Griggs at the L1, L2, L4, and L5 points [5, 24], and the Bayesian game-theoretic minimum-delta-v transfer analysis of Boh and colleagues at L1 and L2</w:t>
      </w:r>
      <w:r>
        <w:t xml:space="preserve"> </w:t>
      </w:r>
      <w:hyperlink w:anchor="ref-19">
        <w:r>
          <w:rPr>
            <w:rStyle w:val="Hyperlink"/>
          </w:rPr>
          <w:t xml:space="preserve">[19]</w:t>
        </w:r>
      </w:hyperlink>
      <w:r>
        <w:t xml:space="preserve">. Lunar south-polar surface placements come from the mining feasibility framing of McKeown, Dempster, Saydam, and Coulton at the lunar south pole</w:t>
      </w:r>
      <w:r>
        <w:t xml:space="preserve"> </w:t>
      </w:r>
      <w:hyperlink w:anchor="ref-3">
        <w:r>
          <w:rPr>
            <w:rStyle w:val="Hyperlink"/>
          </w:rPr>
          <w:t xml:space="preserve">[3]</w:t>
        </w:r>
      </w:hyperlink>
      <w:r>
        <w:t xml:space="preserve">. The label belongs, then, to the source study rather than to any analyst judgement, and the indicator variables merely recode it by rule.</w:t>
      </w:r>
    </w:p>
    <w:p>
      <w:pPr>
        <w:pStyle w:val="BodyText"/>
        <w:spacing w:line="480" w:lineRule="auto"/>
        <w:ind w:firstLine="720"/>
      </w:pPr>
      <w:r>
        <w:t xml:space="preserve">Chief among the OLS controls stands the propellant supply geometry index, built out of the numerical delta-v and time-of-flight results in the optimal low-thrust transfer literature [1, 4]. What it records, for each candidate placement, is the delta-v cost of moving a unit propellant mass from the nearest published depot geometry to that placement, normalised across the observed sample onto the unit interval so that the most efficient propellant pathway lands near one and the most costly near zero. Only published numerical inputs go into the construction, which is reproducible straight from the source tables. Placements that share a propellant pathway in the source literature draw the same index value, and that property both powers the propellant supply geometry channel seen in the Paper 1 results and warrants the heteroskedasticity-consistent HC1 standard errors used in the regression.</w:t>
      </w:r>
    </w:p>
    <w:p>
      <w:pPr>
        <w:pStyle w:val="BodyText"/>
        <w:spacing w:line="480" w:lineRule="auto"/>
        <w:ind w:firstLine="720"/>
      </w:pPr>
      <w:r>
        <w:t xml:space="preserve">Second among the architectural controls stands the observation accessibility index, built out of the cislunar space-domain awareness literature. Its numerical inputs come from the observing constellation stability evaluations of Bolden and colleagues at the principal libration points [5, 24], from the multiscale dynamics analysis of Rosengren</w:t>
      </w:r>
      <w:r>
        <w:t xml:space="preserve"> </w:t>
      </w:r>
      <w:hyperlink w:anchor="ref-6">
        <w:r>
          <w:rPr>
            <w:rStyle w:val="Hyperlink"/>
          </w:rPr>
          <w:t xml:space="preserve">[6]</w:t>
        </w:r>
      </w:hyperlink>
      <w:r>
        <w:t xml:space="preserve">, and from the manifold accessibility tabulations of Wright and colleagues [7, 23]. For each placement it records what fraction of the published catalogue of cislunar transfers has an accessible invariant manifold intersecting an observation cone reachable from that placement, again normalised onto the unit interval. Collinear libration placements usually draw higher index values, since the L1 and L2 manifold structure carries more of the catalogue [6, 7]; lunar south-polar surface placements draw intermediate values that reflect the local viewing geometry</w:t>
      </w:r>
      <w:r>
        <w:t xml:space="preserve"> </w:t>
      </w:r>
      <w:hyperlink w:anchor="ref-3">
        <w:r>
          <w:rPr>
            <w:rStyle w:val="Hyperlink"/>
          </w:rPr>
          <w:t xml:space="preserve">[3]</w:t>
        </w:r>
      </w:hyperlink>
      <w:r>
        <w:t xml:space="preserve">; NRHO placements draw the lowest, in keeping with the orbit’s considerable distance from the observation regions the cited AMOS studies stress [5, 6, 7]. Built once and applied identically to every placement in its source class, the index leaves the analyst no row-level discretion.</w:t>
      </w:r>
    </w:p>
    <w:p>
      <w:pPr>
        <w:pStyle w:val="BodyText"/>
        <w:spacing w:line="480" w:lineRule="auto"/>
        <w:ind w:firstLine="720"/>
      </w:pPr>
      <w:r>
        <w:t xml:space="preserve">The dependent reachability share is how strategic position gets operationalised in Paper 1. It is the fraction of a fixed catalogue of mission-relevant cislunar transfers that the candidate placement can service inside a budgeted delta-v and time-of-flight envelope. That catalogue is stitched together from published numerical results: Kikuchi and Ueda on NRHO-to-Gateway-to-lunar-surface reusable orbital transfer vehicle chains</w:t>
      </w:r>
      <w:r>
        <w:t xml:space="preserve"> </w:t>
      </w:r>
      <w:hyperlink w:anchor="ref-1">
        <w:r>
          <w:rPr>
            <w:rStyle w:val="Hyperlink"/>
          </w:rPr>
          <w:t xml:space="preserve">[1]</w:t>
        </w:r>
      </w:hyperlink>
      <w:r>
        <w:t xml:space="preserve">, Pozzi and colleagues on optimal low-thrust Gateway-Earth-Moon transfers</w:t>
      </w:r>
      <w:r>
        <w:t xml:space="preserve"> </w:t>
      </w:r>
      <w:hyperlink w:anchor="ref-4">
        <w:r>
          <w:rPr>
            <w:rStyle w:val="Hyperlink"/>
          </w:rPr>
          <w:t xml:space="preserve">[4]</w:t>
        </w:r>
      </w:hyperlink>
      <w:r>
        <w:t xml:space="preserve">, Bolden and colleagues on cislunar observation constellation accessibility tables</w:t>
      </w:r>
      <w:r>
        <w:t xml:space="preserve"> </w:t>
      </w:r>
      <w:hyperlink w:anchor="ref-5">
        <w:r>
          <w:rPr>
            <w:rStyle w:val="Hyperlink"/>
          </w:rPr>
          <w:t xml:space="preserve">[5]</w:t>
        </w:r>
      </w:hyperlink>
      <w:r>
        <w:t xml:space="preserve">, Rosengren on L1 and L2 manifold transfer arrivals to low lunar orbit</w:t>
      </w:r>
      <w:r>
        <w:t xml:space="preserve"> </w:t>
      </w:r>
      <w:hyperlink w:anchor="ref-6">
        <w:r>
          <w:rPr>
            <w:rStyle w:val="Hyperlink"/>
          </w:rPr>
          <w:t xml:space="preserve">[6]</w:t>
        </w:r>
      </w:hyperlink>
      <w:r>
        <w:t xml:space="preserve">, and Wright and colleagues on accessible invariant manifold transit</w:t>
      </w:r>
      <w:r>
        <w:t xml:space="preserve"> </w:t>
      </w:r>
      <w:hyperlink w:anchor="ref-7">
        <w:r>
          <w:rPr>
            <w:rStyle w:val="Hyperlink"/>
          </w:rPr>
          <w:t xml:space="preserve">[7]</w:t>
        </w:r>
      </w:hyperlink>
      <w:r>
        <w:t xml:space="preserve">. Budget thresholds in delta-v and time-of-flight take the published values the source studies report. For each candidate placement, reachability share is simply the count of catalogue transfers meeting the placement’s budget divided by the catalogue cardinality, scored by rule from the published numerical inputs. So the dependent variable draws its numerical content from the published trajectory literature, not from any analyst computation reaching past the source.</w:t>
      </w:r>
    </w:p>
    <w:p>
      <w:pPr>
        <w:pStyle w:val="BodyText"/>
        <w:spacing w:line="480" w:lineRule="auto"/>
        <w:ind w:firstLine="720"/>
      </w:pPr>
      <w:r>
        <w:t xml:space="preserve">Three replicate scoring passes carry the prospectus sensitivity bands into the dataset. A first pass fixes the delta-v budget and the time-of-flight ceiling at the source studies’ nominal values [1, 4, 7]. A second tightens both budgets by a fixed fraction; a third loosens both by the same fixed fraction. All three replicate scores ride along with each placement, so the regression can be refit under tighter or looser budget assumptions without disturbing the row-level identity of any placement.</w:t>
      </w:r>
    </w:p>
    <w:bookmarkEnd w:id="88"/>
    <w:bookmarkStart w:id="89" w:name="Xe96f0f3c91606d2f35917458286a92f5e896b9f"/>
    <w:p>
      <w:pPr>
        <w:pStyle w:val="Heading2"/>
        <w:spacing w:line="480" w:lineRule="auto"/>
      </w:pPr>
      <w:r>
        <w:t xml:space="preserve">4.4 Variable Construction in the Paper 2 Program Duration Dataset</w:t>
      </w:r>
    </w:p>
    <w:p>
      <w:pPr>
        <w:pStyle w:val="FirstParagraph"/>
        <w:spacing w:line="480" w:lineRule="auto"/>
      </w:pPr>
      <w:r>
        <w:t xml:space="preserve">Eight measured quantities go on record for each program in the Paper 2 dataset: the program identifier, the authorisation or contract award date, the first-flight date, the censoring date where relevant, the duration in months, the first-flight event indicator, the polar-node indicator, the NRHO-node indicator, the cargo-class indicator, and the propellant supply index. Because the libration and lunar-orbit baseline class serves as the omitted reference, programs anchored on that baseline show a zero on both the polar-node and the NRHO-node indicators.</w:t>
      </w:r>
    </w:p>
    <w:p>
      <w:pPr>
        <w:pStyle w:val="BodyText"/>
        <w:spacing w:line="480" w:lineRule="auto"/>
        <w:ind w:firstLine="720"/>
      </w:pPr>
      <w:r>
        <w:t xml:space="preserve">Whatever authoritative announcement record covers a program supplies its authorisation date. For NASA programs that record spans the Artemis I press kit and associated announcements</w:t>
      </w:r>
      <w:r>
        <w:t xml:space="preserve"> </w:t>
      </w:r>
      <w:hyperlink w:anchor="ref-27">
        <w:r>
          <w:rPr>
            <w:rStyle w:val="Hyperlink"/>
          </w:rPr>
          <w:t xml:space="preserve">[27]</w:t>
        </w:r>
      </w:hyperlink>
      <w:r>
        <w:t xml:space="preserve">, the Human Landing System Option A award announcement for SpaceX</w:t>
      </w:r>
      <w:r>
        <w:t xml:space="preserve"> </w:t>
      </w:r>
      <w:hyperlink w:anchor="ref-28">
        <w:r>
          <w:rPr>
            <w:rStyle w:val="Hyperlink"/>
          </w:rPr>
          <w:t xml:space="preserve">[28]</w:t>
        </w:r>
      </w:hyperlink>
      <w:r>
        <w:t xml:space="preserve"> </w:t>
      </w:r>
      <w:r>
        <w:t xml:space="preserve">and the Sustained Lunar Development award announcement for Blue Origin</w:t>
      </w:r>
      <w:r>
        <w:t xml:space="preserve"> </w:t>
      </w:r>
      <w:hyperlink w:anchor="ref-29">
        <w:r>
          <w:rPr>
            <w:rStyle w:val="Hyperlink"/>
          </w:rPr>
          <w:t xml:space="preserve">[29]</w:t>
        </w:r>
      </w:hyperlink>
      <w:r>
        <w:t xml:space="preserve">, the Commercial Lunar Payload Services task-order announcements for Intuitive Machines</w:t>
      </w:r>
      <w:r>
        <w:t xml:space="preserve"> </w:t>
      </w:r>
      <w:hyperlink w:anchor="ref-30">
        <w:r>
          <w:rPr>
            <w:rStyle w:val="Hyperlink"/>
          </w:rPr>
          <w:t xml:space="preserve">[30]</w:t>
        </w:r>
      </w:hyperlink>
      <w:r>
        <w:t xml:space="preserve">, Astrobotic Technology</w:t>
      </w:r>
      <w:r>
        <w:t xml:space="preserve"> </w:t>
      </w:r>
      <w:hyperlink w:anchor="ref-31">
        <w:r>
          <w:rPr>
            <w:rStyle w:val="Hyperlink"/>
          </w:rPr>
          <w:t xml:space="preserve">[31]</w:t>
        </w:r>
      </w:hyperlink>
      <w:r>
        <w:t xml:space="preserve">, and Firefly Aerospace</w:t>
      </w:r>
      <w:r>
        <w:t xml:space="preserve"> </w:t>
      </w:r>
      <w:hyperlink w:anchor="ref-32">
        <w:r>
          <w:rPr>
            <w:rStyle w:val="Hyperlink"/>
          </w:rPr>
          <w:t xml:space="preserve">[32]</w:t>
        </w:r>
      </w:hyperlink>
      <w:r>
        <w:t xml:space="preserve">, the VIPER mission discontinuation announcement</w:t>
      </w:r>
      <w:r>
        <w:t xml:space="preserve"> </w:t>
      </w:r>
      <w:hyperlink w:anchor="ref-33">
        <w:r>
          <w:rPr>
            <w:rStyle w:val="Hyperlink"/>
          </w:rPr>
          <w:t xml:space="preserve">[33]</w:t>
        </w:r>
      </w:hyperlink>
      <w:r>
        <w:t xml:space="preserve">, and the CAPSTONE press kit and post-arrival mission release</w:t>
      </w:r>
      <w:r>
        <w:t xml:space="preserve"> </w:t>
      </w:r>
      <w:hyperlink w:anchor="ref-36">
        <w:r>
          <w:rPr>
            <w:rStyle w:val="Hyperlink"/>
          </w:rPr>
          <w:t xml:space="preserve">[36]</w:t>
        </w:r>
      </w:hyperlink>
      <w:r>
        <w:t xml:space="preserve">. For international programs it spans the Chandrayaan-3 mission press kit and Acta Astronautica overview</w:t>
      </w:r>
      <w:r>
        <w:t xml:space="preserve"> </w:t>
      </w:r>
      <w:hyperlink w:anchor="ref-34">
        <w:r>
          <w:rPr>
            <w:rStyle w:val="Hyperlink"/>
          </w:rPr>
          <w:t xml:space="preserve">[34]</w:t>
        </w:r>
      </w:hyperlink>
      <w:r>
        <w:t xml:space="preserve">, the SLIM mission press kit and Acta Astronautica overview</w:t>
      </w:r>
      <w:r>
        <w:t xml:space="preserve"> </w:t>
      </w:r>
      <w:hyperlink w:anchor="ref-35">
        <w:r>
          <w:rPr>
            <w:rStyle w:val="Hyperlink"/>
          </w:rPr>
          <w:t xml:space="preserve">[35]</w:t>
        </w:r>
      </w:hyperlink>
      <w:r>
        <w:t xml:space="preserve">, and equivalent public records for the Chang’e 3 through 6 line, for Chandrayaan-2, for KPLO Danuri, for Luna 25, for SMART-1, for Lunar Pathfinder, and for ispace Hakuto-R Mission 1 and Mission 2, each row’s source string preserved in the data file. Where a program flew, its first-flight date is read from that same public record. Where a program had not reached first flight by the October 2026 cutoff, its censoring date is set to the cutoff or to the cancellation date, whichever falls first.</w:t>
      </w:r>
    </w:p>
    <w:p>
      <w:pPr>
        <w:pStyle w:val="BodyText"/>
        <w:spacing w:line="480" w:lineRule="auto"/>
        <w:ind w:firstLine="720"/>
      </w:pPr>
      <w:r>
        <w:t xml:space="preserve">Computing duration in months means counting the elapsed months from authorisation to first flight for programs that flew, and from authorisation to censoring for those that did not. Anchoring the development status, the baselined schedule, and the cancellation timeline of every NASA program in the sample are the Government Accountability Office Major Project Assessments published in 2022, 2024, and 2025 [10, 9, 8, 26], so every NASA row’s duration figure reconciles against a published independent audit. For the principal international rows the Acta Astronautica mission overviews for Chandrayaan-3</w:t>
      </w:r>
      <w:r>
        <w:t xml:space="preserve"> </w:t>
      </w:r>
      <w:hyperlink w:anchor="ref-34">
        <w:r>
          <w:rPr>
            <w:rStyle w:val="Hyperlink"/>
          </w:rPr>
          <w:t xml:space="preserve">[34]</w:t>
        </w:r>
      </w:hyperlink>
      <w:r>
        <w:t xml:space="preserve"> </w:t>
      </w:r>
      <w:r>
        <w:t xml:space="preserve">and for SLIM</w:t>
      </w:r>
      <w:r>
        <w:t xml:space="preserve"> </w:t>
      </w:r>
      <w:hyperlink w:anchor="ref-35">
        <w:r>
          <w:rPr>
            <w:rStyle w:val="Hyperlink"/>
          </w:rPr>
          <w:t xml:space="preserve">[35]</w:t>
        </w:r>
      </w:hyperlink>
      <w:r>
        <w:t xml:space="preserve"> </w:t>
      </w:r>
      <w:r>
        <w:t xml:space="preserve">furnish the same anchoring discipline.</w:t>
      </w:r>
    </w:p>
    <w:p>
      <w:pPr>
        <w:pStyle w:val="BodyText"/>
        <w:spacing w:line="480" w:lineRule="auto"/>
        <w:ind w:firstLine="720"/>
      </w:pPr>
      <w:r>
        <w:t xml:space="preserve">Three programs in the sample carry public records that give a window rather than an exact month for the duration value: SMART-1, the CLPS Griffin Mission 1, and Lunar Pathfinder. Flagged as illustrative in the data file, these three rows have their window endpoints logged along with the midpoint that stands in as the duration figure in the survival fit. Illustrative rows come to a share below the fifteen percent ceiling the prospectus committed to for any single coding category.</w:t>
      </w:r>
    </w:p>
    <w:p>
      <w:pPr>
        <w:pStyle w:val="BodyText"/>
        <w:spacing w:line="480" w:lineRule="auto"/>
        <w:ind w:firstLine="720"/>
      </w:pPr>
      <w:r>
        <w:t xml:space="preserve">Binary is the first-flight event indicator. It reads one where the program reached first flight before the October 2026 cutoff and zero otherwise. Twenty-two of the thirty-two rows read one on that indicator and ten read zero.</w:t>
      </w:r>
    </w:p>
    <w:p>
      <w:pPr>
        <w:pStyle w:val="BodyText"/>
        <w:spacing w:line="480" w:lineRule="auto"/>
        <w:ind w:firstLine="720"/>
      </w:pPr>
      <w:r>
        <w:t xml:space="preserve">Where a program anchors geographically is what the polar-node and NRHO-node indicators encode. A program whose target landing site falls in the lunar south-polar region reads one on the polar-node indicator, and that class takes in the Human Landing System awards [28, 29], the VIPER mission</w:t>
      </w:r>
      <w:r>
        <w:t xml:space="preserve"> </w:t>
      </w:r>
      <w:hyperlink w:anchor="ref-33">
        <w:r>
          <w:rPr>
            <w:rStyle w:val="Hyperlink"/>
          </w:rPr>
          <w:t xml:space="preserve">[33]</w:t>
        </w:r>
      </w:hyperlink>
      <w:r>
        <w:t xml:space="preserve"> </w:t>
      </w:r>
      <w:r>
        <w:t xml:space="preserve">up to its discontinuation, the Chandrayaan-3 mission</w:t>
      </w:r>
      <w:r>
        <w:t xml:space="preserve"> </w:t>
      </w:r>
      <w:hyperlink w:anchor="ref-34">
        <w:r>
          <w:rPr>
            <w:rStyle w:val="Hyperlink"/>
          </w:rPr>
          <w:t xml:space="preserve">[34]</w:t>
        </w:r>
      </w:hyperlink>
      <w:r>
        <w:t xml:space="preserve">, and the CLPS landings aimed at the south-polar region [30, 31, 32]. A program whose operational orbit is the Gateway NRHO, or whose mission anchors on the NRHO architecture, reads one on the NRHO-node indicator, and that class takes in the Gateway Power and Propulsion Element and Habitation and Logistics Outpost, the CAPSTONE pathfinder mission</w:t>
      </w:r>
      <w:r>
        <w:t xml:space="preserve"> </w:t>
      </w:r>
      <w:hyperlink w:anchor="ref-36">
        <w:r>
          <w:rPr>
            <w:rStyle w:val="Hyperlink"/>
          </w:rPr>
          <w:t xml:space="preserve">[36]</w:t>
        </w:r>
      </w:hyperlink>
      <w:r>
        <w:t xml:space="preserve">, and the Artemis crewed lunar architecture that stages through the Gateway NRHO</w:t>
      </w:r>
      <w:r>
        <w:t xml:space="preserve"> </w:t>
      </w:r>
      <w:hyperlink w:anchor="ref-27">
        <w:r>
          <w:rPr>
            <w:rStyle w:val="Hyperlink"/>
          </w:rPr>
          <w:t xml:space="preserve">[27]</w:t>
        </w:r>
      </w:hyperlink>
      <w:r>
        <w:t xml:space="preserve">. Whatever programs remain anchor on libration or low-lunar-orbit geometries and form the omitted reference class. Since each program’s published target node fixes the coding, the indicators are attributes of the program record, not analyst judgements.</w:t>
      </w:r>
    </w:p>
    <w:p>
      <w:pPr>
        <w:pStyle w:val="BodyText"/>
        <w:spacing w:line="480" w:lineRule="auto"/>
        <w:ind w:firstLine="720"/>
      </w:pPr>
      <w:r>
        <w:t xml:space="preserve">Crew-class and large-cargo programs are what the cargo-class indicator marks off from the rest of the sample. It reads one where a program’s payload class is crewed or where its payload mass lands in the large-cargo regime the GAO assessments and the NASA program records tag as the heavy development line [8, 9, 10, 26, 27, 28, 29]. It reads zero for the smaller robotic missions, the CLPS landers [30, 31, 32] and the lunar science line among them.</w:t>
      </w:r>
    </w:p>
    <w:p>
      <w:pPr>
        <w:pStyle w:val="BodyText"/>
        <w:spacing w:line="480" w:lineRule="auto"/>
        <w:ind w:firstLine="720"/>
      </w:pPr>
      <w:r>
        <w:t xml:space="preserve">Tying the two papers together at the construct level is the propellant supply index, a continuous covariate. Built out of the optimal-transfer propellant geometry results in Kikuchi and Ueda [1, 13, 20] and in Pozzi and colleagues [4, 14, 21], it is rescaled onto the unit interval across the observed Paper 2 sample. For each program it logs the propellant-architecture quality of the lane the program runs on, richer geometry drawing higher values. The same underlying source studies and the same normalising convention drive it as drive the Paper 1 propellant supply geometry index, keeping the propellant supply construct coherent across the OLS and the Cox specifications even where the unit of analysis differs between the two papers. That cross-paper coupling is set down explicitly in the data file, so readers can audit it without rebuilding the index from scratch.</w:t>
      </w:r>
    </w:p>
    <w:bookmarkEnd w:id="89"/>
    <w:bookmarkStart w:id="90" w:name="X0c687b4882bdc716656cc9ff196cb6083e71c84"/>
    <w:p>
      <w:pPr>
        <w:pStyle w:val="Heading2"/>
        <w:spacing w:line="480" w:lineRule="auto"/>
      </w:pPr>
      <w:r>
        <w:t xml:space="preserve">4.5 Provenance, Auditability, and Cross-Paper Consistency</w:t>
      </w:r>
    </w:p>
    <w:p>
      <w:pPr>
        <w:pStyle w:val="FirstParagraph"/>
        <w:spacing w:line="480" w:lineRule="auto"/>
      </w:pPr>
      <w:r>
        <w:t xml:space="preserve">Row by row, provenance is enforced in both datasets. Each Paper 1 placement record carries the DOI of the source study supplying its delta-v and time-of-flight inputs [1, 3, 4, 5, 6, 7]. Each Paper 2 program record carries an explicit source string naming the authorisation announcement, the first-flight announcement or censoring record, and the GAO Major Project Assessment that anchors the development status of the NASA rows [8, 9, 10, 26]. For the international rows the same anchoring falls to the Acta Astronautica mission overviews for Chandrayaan-3</w:t>
      </w:r>
      <w:r>
        <w:t xml:space="preserve"> </w:t>
      </w:r>
      <w:hyperlink w:anchor="ref-34">
        <w:r>
          <w:rPr>
            <w:rStyle w:val="Hyperlink"/>
          </w:rPr>
          <w:t xml:space="preserve">[34]</w:t>
        </w:r>
      </w:hyperlink>
      <w:r>
        <w:t xml:space="preserve"> </w:t>
      </w:r>
      <w:r>
        <w:t xml:space="preserve">and SLIM</w:t>
      </w:r>
      <w:r>
        <w:t xml:space="preserve"> </w:t>
      </w:r>
      <w:hyperlink w:anchor="ref-35">
        <w:r>
          <w:rPr>
            <w:rStyle w:val="Hyperlink"/>
          </w:rPr>
          <w:t xml:space="preserve">[35]</w:t>
        </w:r>
      </w:hyperlink>
      <w:r>
        <w:t xml:space="preserve">. Applied at the row level rather than the dataset level, the illustrative flag lets the analysis code report every inferential result both with and without the illustrative rows, so a reader can confirm that no substantive conclusion hinges on the three flagged rows.</w:t>
      </w:r>
    </w:p>
    <w:p>
      <w:pPr>
        <w:pStyle w:val="BodyText"/>
        <w:spacing w:line="480" w:lineRule="auto"/>
        <w:ind w:firstLine="720"/>
      </w:pPr>
      <w:r>
        <w:t xml:space="preserve">Binding, too, is the cross-paper consistency rule. Into the OLS specification of Paper 1 the propellant supply construct enters as the propellant supply geometry index; into the Cox specification of Paper 2 it enters as the propellant supply index. The same source studies build both [1, 4, 13, 14, 20, 21], and both are rescaled onto the unit interval across their respective observed samples. Paper 1 computes its index for candidate base-node placements, Paper 2 for operational programs. Not numerically identical, therefore, yet built alike, sourced alike, normalised alike. That shared construction is what lets the Discussion in Paper 2 read the negative coefficient on the propellant supply index in the Cox specification as a development-overhead artefact for the heaviest programs, not as any contradiction of the Paper 1 result, which pins propellant geometry as the dominant channel through which orbit class delivers reachability [Paper 1, Paper 2].</w:t>
      </w:r>
    </w:p>
    <w:p>
      <w:pPr>
        <w:pStyle w:val="BodyText"/>
        <w:spacing w:line="480" w:lineRule="auto"/>
        <w:ind w:firstLine="720"/>
      </w:pPr>
      <w:r>
        <w:t xml:space="preserve">Three levels of reproducibility support the whole. The source set is open-access for the trajectory and AMOS components [1, 3, 4, 5, 6, 7] and publicly available for the program-record component [8, 9, 10, 26, 27, 28, 29, 30, 31, 32, 33, 34, 35, 36]. Every variable’s construction rule uses only numerical inputs the source studies print in tables and figures, so a third party with access to the same sources can rebuild the dataset from scratch. And the analysis code recomputes reachability share and the propellant supply indices from the published numerical inputs rather than reading derived values off a cached file, so the dataset itself audits against the source studies.</w:t>
      </w:r>
    </w:p>
    <w:bookmarkEnd w:id="90"/>
    <w:bookmarkStart w:id="91" w:name="threats-to-measurement-and-mitigations"/>
    <w:p>
      <w:pPr>
        <w:pStyle w:val="Heading2"/>
        <w:spacing w:line="480" w:lineRule="auto"/>
      </w:pPr>
      <w:r>
        <w:t xml:space="preserve">4.6 Threats to Measurement and Mitigations</w:t>
      </w:r>
    </w:p>
    <w:p>
      <w:pPr>
        <w:pStyle w:val="FirstParagraph"/>
        <w:spacing w:line="480" w:lineRule="auto"/>
      </w:pPr>
      <w:r>
        <w:t xml:space="preserve">Four measurement threats warrant explicit handling. Construct validity in the Paper 1 reachability share is the first. As one operationalisation of strategic position, the share may understate the political-economic factors the Mahanian frame foregrounds [11, 12, 38]. To mitigate, the underlying reachability vectors are reproduced beside the regression results, letting readers swap in alternative aggregations without rebuilding the source dataset.</w:t>
      </w:r>
    </w:p>
    <w:p>
      <w:pPr>
        <w:pStyle w:val="BodyText"/>
        <w:spacing w:line="480" w:lineRule="auto"/>
        <w:ind w:firstLine="720"/>
      </w:pPr>
      <w:r>
        <w:t xml:space="preserve">Selection in the transfer catalogue used to score reachability share is the second. Published cislunar trajectory work leans heavily toward Gateway-adjacent designs [1, 4], tilting the catalogue toward node classes that service Gateway. To mitigate, the catalogue is weighted by independent mission demand drawn from the space-economy literature on cislunar depots and lunar bases [9, 10], and the regression is reported under both weighted and unweighted catalogues. The published numerical inputs suffice to support both passes.</w:t>
      </w:r>
    </w:p>
    <w:p>
      <w:pPr>
        <w:pStyle w:val="BodyText"/>
        <w:spacing w:line="480" w:lineRule="auto"/>
        <w:ind w:firstLine="720"/>
      </w:pPr>
      <w:r>
        <w:t xml:space="preserve">A third threat is dependence, across placements in Paper 1 and across rows in Paper 2. Node placements within the same class share dynamical structure and observation geometry [5, 6, 7], and operational programs within the same prime line share the same authorising organisation, schedule pressures, and cargo class [27, 28, 29]. In Paper 1 the mitigation runs cluster-robust inference at the node-class level, recorded in the heteroskedasticity-consistent HC1 standard error the regression reports. In Paper 2 it acknowledges the dominance of the cargo-class channel in the Cox findings and reads the geographic point estimates as conditional on cargo class, the reading the directional pattern on the polar-node and NRHO-node indicators supports at the present sample size.</w:t>
      </w:r>
    </w:p>
    <w:p>
      <w:pPr>
        <w:pStyle w:val="BodyText"/>
        <w:spacing w:line="480" w:lineRule="auto"/>
        <w:ind w:firstLine="720"/>
      </w:pPr>
      <w:r>
        <w:t xml:space="preserve">External validity is the fourth. Both datasets stop at the October 2026 cutoff and mirror the current generation of cislunar mission designs [1, 3, 4] and the current generation of operational programs [26, 27]. To mitigate, every quantitative result carries an explicit horizon statement: the reachability inference holds for the published trajectory literature through 2026, and the survival inference holds for the program record through October 2026. Both papers name the natural extension as a re-run of the analyses once the trajectory catalogue grows and once the next Artemis flights and the next Commercial Lunar Payload Services cohort clear their event windows.</w:t>
      </w:r>
    </w:p>
    <w:p>
      <w:pPr>
        <w:pStyle w:val="BodyText"/>
        <w:spacing w:line="480" w:lineRule="auto"/>
        <w:ind w:firstLine="720"/>
      </w:pPr>
      <w:r>
        <w:t xml:space="preserve">A final note closes the chapter, on what the data cannot do. Reachability and duration outcomes are engineered to falsify a doctrinal claim about geography. They are not engineered to settle the wider question of whether the Mahanian frame is the right interpretive lens for cislunar strategy. That wider question needs the theoretical work Chapter 2 lays out and the discussion Chapter 6 conducts. What the data do, and what this chapter does, is make the falsification test reproducible from the published primary record. The two papers that follow show the data equal to that purpose [1, 3, 4, 5, 6, 7, 8, 9, 10, 13, 14, 20, 22, 26, 27, 28, 29, 30, 31, 32, 33, 34, 35, 36].</w:t>
      </w:r>
    </w:p>
    <w:bookmarkEnd w:id="91"/>
    <w:bookmarkEnd w:id="92"/>
    <w:bookmarkStart w:id="98" w:name="chapter-5.-methods-and-identification"/>
    <w:p>
      <w:pPr>
        <w:pStyle w:val="Heading1"/>
        <w:spacing w:line="480" w:lineRule="auto"/>
      </w:pPr>
      <w:r>
        <w:t xml:space="preserve">Chapter 5. Methods and Identification</w:t>
      </w:r>
    </w:p>
    <w:bookmarkStart w:id="93" w:name="overview-of-the-empirical-strategy"/>
    <w:p>
      <w:pPr>
        <w:pStyle w:val="Heading2"/>
        <w:spacing w:line="480" w:lineRule="auto"/>
      </w:pPr>
      <w:r>
        <w:t xml:space="preserve">5.1 Overview of the Empirical Strategy</w:t>
      </w:r>
    </w:p>
    <w:p>
      <w:pPr>
        <w:pStyle w:val="FirstParagraph"/>
        <w:spacing w:line="480" w:lineRule="auto"/>
      </w:pPr>
      <w:r>
        <w:t xml:space="preserve">What the empirical strategy does is turn the Mahanian claim, that logistics-base geography confers strategic position, into a falsifiable statistical statement about reachability share. That dependent construct was defined in the prospectus and developed across Chapters 2 and 3. A candidate base node placement in the Earth-Moon system serves as the unit of analysis, and the analytic sample runs to roughly two hundred placements stratified over three structural classes: Near Rectilinear Halo Orbit nodes, collinear libration nodes at L1 and L2, and lunar south polar surface nodes. Every placement is scored against a published catalogue of cislunar transfers pulled from the trajectory and astrodynamics literature of the past six years, its reachability judged under a fixed delta-v budget and a fixed time-of-flight ceiling. For its principal estimator the strategy reaches for a heteroskedasticity-robust ordinary least squares regression of reachability share on node-class indicators, controlling for propellant supply geometry and observation accessibility, and it backs that up with a survival specification whose duration variable is the time needed to attain reachability thresholds. The strategy runs conservative on purpose. Familiar estimators do the work, the identifying assumptions are put on the table rather than tucked away, and the threats to validity are held down by explicit pre-registered checks rather than by any appeal to plausibility. The estimators are described in Section 5.2, the identification strategy in Section 5.3, the threats to validity and their bounds in Section 5.4, and the pre-registration and reproducibility protocol in Section 5.5.</w:t>
      </w:r>
    </w:p>
    <w:p>
      <w:pPr>
        <w:pStyle w:val="BodyText"/>
        <w:spacing w:line="480" w:lineRule="auto"/>
        <w:ind w:firstLine="720"/>
      </w:pPr>
      <w:r>
        <w:t xml:space="preserve">Choosing the estimators this way keeps the inferential weight on the substantive claim rather than on the econometric machinery. As a bounded proportion, reachability share admits both linear and generalised linear treatments, and a sensitivity protocol, not theoretical fiat, settles the choice between them. Meanwhile the trajectory catalogue feeding the dependent variable is a public, archived object in its own right, assembled from the numerical results of Kikuchi and Ueda on reusable orbital transfer vehicle operations through NRHO [1, 13, 20], Pozzi and colleagues on optimal low-thrust transfers connecting Gateway with Earth and the Moon [4, 14, 21], Davis and colleagues on stationkeeping in the Gateway NRHO under realistic ephemeris and operations constraints</w:t>
      </w:r>
      <w:r>
        <w:t xml:space="preserve"> </w:t>
      </w:r>
      <w:hyperlink w:anchor="ref-22">
        <w:r>
          <w:rPr>
            <w:rStyle w:val="Hyperlink"/>
          </w:rPr>
          <w:t xml:space="preserve">[22]</w:t>
        </w:r>
      </w:hyperlink>
      <w:r>
        <w:t xml:space="preserve">, Houin and Sood on cislunar trajectory design and maneuver autonomy for the Moon to Mars architecture</w:t>
      </w:r>
      <w:r>
        <w:t xml:space="preserve"> </w:t>
      </w:r>
      <w:hyperlink w:anchor="ref-50">
        <w:r>
          <w:rPr>
            <w:rStyle w:val="Hyperlink"/>
          </w:rPr>
          <w:t xml:space="preserve">[50]</w:t>
        </w:r>
      </w:hyperlink>
      <w:r>
        <w:t xml:space="preserve">, and the AMOS cislunar dynamics record that Bolden and colleagues [5, 17, 24], Rosengren [6, 15], and Wright and colleagues [7, 16, 23] represent. Lunar surface candidate locations and resource scoring lean on the mining feasibility frame of McKeown and colleagues [3, 18, 25]. Section 5 of the prospectus pre-committed to this source set, and the chapter here does nothing to widen it.</w:t>
      </w:r>
    </w:p>
    <w:bookmarkEnd w:id="93"/>
    <w:bookmarkStart w:id="94" w:name="estimators"/>
    <w:p>
      <w:pPr>
        <w:pStyle w:val="Heading2"/>
        <w:spacing w:line="480" w:lineRule="auto"/>
      </w:pPr>
      <w:r>
        <w:t xml:space="preserve">5.2 Estimators</w:t>
      </w:r>
    </w:p>
    <w:p>
      <w:pPr>
        <w:pStyle w:val="FirstParagraph"/>
        <w:spacing w:line="480" w:lineRule="auto"/>
      </w:pPr>
      <w:r>
        <w:t xml:space="preserve">An ordinary least squares regression of the form below is the primary estimator:</w:t>
      </w:r>
    </w:p>
    <w:p>
      <w:pPr>
        <w:pStyle w:val="BodyText"/>
        <w:spacing w:line="480" w:lineRule="auto"/>
        <w:ind w:firstLine="720"/>
      </w:pPr>
      <w:r>
        <w:t xml:space="preserve">reachability_share_i = beta_0 + beta_1 NRHO_i + beta_2 LIB_i + gamma propellant_geometry_i + delta observation_accessibility_i + epsilon_i,</w:t>
      </w:r>
    </w:p>
    <w:p>
      <w:pPr>
        <w:pStyle w:val="BodyText"/>
        <w:spacing w:line="480" w:lineRule="auto"/>
        <w:ind w:firstLine="720"/>
      </w:pPr>
      <w:r>
        <w:t xml:space="preserve">with the lunar south polar surface class as the omitted reference category. Here NRHO_i and LIB_i mark Near Rectilinear Halo Orbit and collinear libration node placements; propellant_geometry_i is a continuous control drawn from the published reusable OTV transfer cost vector in Kikuchi and Ueda [1, 13, 20] and the Gateway low-thrust connection costs in Pozzi and colleagues [4, 14, 21]; and observation_accessibility_i is a continuous control drawn from the constellation stability and signal-to-noise tables of Bolden and colleagues [5, 17, 24] and the manifold-accessibility scores of Wright and colleagues [7, 16, 23]. Heteroskedasticity-robust standard errors stand as the default, with cluster-robust standard errors at the node-class level reported as a sensitivity. Rejection of the prospectus null H0 comes if and only if one of the indicator coefficients beta_1 or beta_2 separates from zero at the conventional level under heteroskedasticity-robust inference, and the inference then holds up under a Bonferroni adjustment for the three pairwise class contrasts.</w:t>
      </w:r>
    </w:p>
    <w:p>
      <w:pPr>
        <w:pStyle w:val="BodyText"/>
        <w:spacing w:line="480" w:lineRule="auto"/>
        <w:ind w:firstLine="720"/>
      </w:pPr>
      <w:r>
        <w:t xml:space="preserve">Since reachability share is bounded in the unit interval, two further estimators are pre-specified as robustness checks. One is a fractional logit specification estimated by quasi-maximum likelihood, which honours the bounded support of the dependent variable without asking that zero-valued or one-valued observations be transformed. The other is a beta regression estimated by maximum likelihood, following a standard end-point compression that keeps the relative ordering of the data intact. A substantive conclusion goes on record only where the sign and significance of the node-class coefficients line up across the linear, fractional logit, and beta regression specifications. Where the three disagree, that disagreement is itself reported as a finding rather than settled by selection.</w:t>
      </w:r>
    </w:p>
    <w:p>
      <w:pPr>
        <w:pStyle w:val="BodyText"/>
        <w:spacing w:line="480" w:lineRule="auto"/>
        <w:ind w:firstLine="720"/>
      </w:pPr>
      <w:r>
        <w:t xml:space="preserve">A survival model serves as the secondary estimator, its duration variable the time of flight at which a placement first crosses a pre-specified reachability threshold, with placements that never cross it inside the budgeted horizon treated as right censored. A Cox proportional hazards specification does the primary survival work, and a Weibull accelerated failure time model together with a stratified Cox model, strata set by node class, are reported as sensitivities. Scaled Schoenfeld residuals are inspected to test the proportional hazards assumption, and any violation hands the reported result to the stratified specification. Because it follows the design logic of cislunar accessibility studies that bind time and energy jointly [5, 6, 7, 23], the survival framework escapes the independent-observations assumption the OLS specification leans on. It thus works as a non-redundant check on the cross-sectional regression rather than a second telling of the same evidence.</w:t>
      </w:r>
    </w:p>
    <w:bookmarkEnd w:id="94"/>
    <w:bookmarkStart w:id="95" w:name="identification-strategy"/>
    <w:p>
      <w:pPr>
        <w:pStyle w:val="Heading2"/>
        <w:spacing w:line="480" w:lineRule="auto"/>
      </w:pPr>
      <w:r>
        <w:t xml:space="preserve">5.3 Identification Strategy</w:t>
      </w:r>
    </w:p>
    <w:p>
      <w:pPr>
        <w:pStyle w:val="FirstParagraph"/>
        <w:spacing w:line="480" w:lineRule="auto"/>
      </w:pPr>
      <w:r>
        <w:t xml:space="preserve">Recovering the partial association between node class and reachability share, the part not driven by how the underlying transfer catalogue was selected or how the controls were built, is the identification problem. Three moves do that work.</w:t>
      </w:r>
    </w:p>
    <w:p>
      <w:pPr>
        <w:pStyle w:val="BodyText"/>
        <w:spacing w:line="480" w:lineRule="auto"/>
        <w:ind w:firstLine="720"/>
      </w:pPr>
      <w:r>
        <w:t xml:space="preserve">The first freezes the transfer catalogue under a pre-registered inclusion rule before any placement is scored. That rule admits only published cislunar transfers that report numerical delta-v and time-of-flight values in the open literature and that their authors tag to one of three mission families: reusable propellant logistics chains anchored on NRHO [1, 13, 20], Gateway connections to Earth orbits and to lunar staging orbits [4, 14, 21, 22], and low-energy or invariant-manifold transits via collinear libration points [5, 6, 7, 15, 16, 17, 23, 24]. Mechanical, and applied before the node-class labels come into view in the analysis dataset, the inclusion rule shuts off the most direct route by which an analyst could tilt the catalogue toward a favoured node class. The catalogue is then frozen and archived under a content hash, so any later re-estimation replicates.</w:t>
      </w:r>
    </w:p>
    <w:p>
      <w:pPr>
        <w:pStyle w:val="BodyText"/>
        <w:spacing w:line="480" w:lineRule="auto"/>
        <w:ind w:firstLine="720"/>
      </w:pPr>
      <w:r>
        <w:t xml:space="preserve">The second builds the controls for propellant supply geometry and observation accessibility from published numerical inputs rather than estimating them off the same data that produce the outcome. Propellant supply geometry comes straight from the transfer cost vectors and propellant infrastructure architecture of Kikuchi and Ueda [1, 13, 20] and from the Gateway low-thrust connection costs of Pozzi and colleagues [4, 14, 21], the relative ranking of nodes carried over exactly as published. Observation accessibility comes from the constellation siting evaluations of Bolden and colleagues [5, 17, 24] and the manifold-accessibility tables of Wright and colleagues [7, 16, 23], with the multiscale dynamics characterisation of Rosengren [6, 15] filling in the libration-point regions. Since both controls trace to independent published numerical results, neither is jointly estimated with the outcome, and whatever partial association of node class with reachability share survives their inclusion reads as a contribution of geometry not already booked to the propellant logistics chain or the sensing layer.</w:t>
      </w:r>
    </w:p>
    <w:p>
      <w:pPr>
        <w:pStyle w:val="BodyText"/>
        <w:spacing w:line="480" w:lineRule="auto"/>
        <w:ind w:firstLine="720"/>
      </w:pPr>
      <w:r>
        <w:t xml:space="preserve">The third writes in a pre-registered negative control specification that reassigns the node-class labels at random across placements while holding the outcome and the controls fixed. Only if this negative control returns coefficients indistinguishable from zero, under the very inference procedure the main specification uses, does the identification claim carry any meaning. The negative control runs once per random seed across a pre-specified grid of seeds, and the empirical distribution of coefficients under the permutation is reported alongside the point estimates from the main specification. Rejection of H0 in the main specification counts as substantively credible only where the negative control coefficients cluster tightly around zero. That makes for a strong design check, forcing the geometry signal, if one exists, to clear both a structural control and an explicit randomisation benchmark.</w:t>
      </w:r>
    </w:p>
    <w:p>
      <w:pPr>
        <w:pStyle w:val="BodyText"/>
        <w:spacing w:line="480" w:lineRule="auto"/>
        <w:ind w:firstLine="720"/>
      </w:pPr>
      <w:r>
        <w:t xml:space="preserve">A complementary move meets the worry that the published transfer catalogue tilts toward Gateway-adjacent designs to begin with. Since Gateway-adjacent NRHO trajectories are a live architectural focus of the program literature [1, 4, 13, 14, 21, 22, 50], the catalogue may over-represent transfers that flatter the NRHO class. The dissertation answers by reporting a catalogue-weighted estimate that weights each transfer by an independent measure of mission demand drawn from the space-economy literature on cislunar depots and lunar surface operations [8, 9, 10, 11, 12, 47]. The weighted estimate sits beside the unweighted one, and any divergence between the two counts as a substantive finding about the structure of the literature rather than a nuisance to be buried.</w:t>
      </w:r>
    </w:p>
    <w:bookmarkEnd w:id="95"/>
    <w:bookmarkStart w:id="96" w:name="threats-to-validity-and-their-bounds"/>
    <w:p>
      <w:pPr>
        <w:pStyle w:val="Heading2"/>
        <w:spacing w:line="480" w:lineRule="auto"/>
      </w:pPr>
      <w:r>
        <w:t xml:space="preserve">5.4 Threats to Validity and Their Bounds</w:t>
      </w:r>
    </w:p>
    <w:p>
      <w:pPr>
        <w:pStyle w:val="FirstParagraph"/>
        <w:spacing w:line="480" w:lineRule="auto"/>
      </w:pPr>
      <w:r>
        <w:t xml:space="preserve">Now the chapter turns to the principal threats to validity and to the explicit bounds the design sets on each.</w:t>
      </w:r>
    </w:p>
    <w:p>
      <w:pPr>
        <w:pStyle w:val="BodyText"/>
        <w:spacing w:line="480" w:lineRule="auto"/>
        <w:ind w:firstLine="720"/>
      </w:pPr>
      <w:r>
        <w:t xml:space="preserve">Construct validity comes first. As one operationalisation of strategic position, reachability share leaves out on purpose the political and economic factors the Mahanian analogy foregrounds. The bound here is procedural, not rhetorical. Alongside the aggregated share the analysis reports the full reachability vector by mission family, so a reader who favours a different aggregation can recompute the dependent variable from the published numerical inputs without re-running the underlying trajectory propagations. The construct claim thus rides conditional on the operationalisation, bounded by the explicit availability of alternative aggregations. A second procedural bound anchors the lunar surface class in the resource feasibility frame of McKeown and colleagues [3, 18, 25], fixing the reference category against an independent published methodology rather than by analyst choice.</w:t>
      </w:r>
    </w:p>
    <w:p>
      <w:pPr>
        <w:pStyle w:val="BodyText"/>
        <w:spacing w:line="480" w:lineRule="auto"/>
        <w:ind w:firstLine="720"/>
      </w:pPr>
      <w:r>
        <w:t xml:space="preserve">Selection in the transfer catalogue comes second, entering through two doors. Behind the first stands the over-representation of Gateway-adjacent designs already discussed, bounded by the catalogue-weighted estimate of Section 5.3. Behind the second stands publication selection on trajectory results that are novel or that flatter a sponsor program. The dissertation bounds that second door by admitting only results that report full numerical delta-v and time-of-flight values, a non-trivial inclusion threshold that turns away commentary, advocacy, and qualitative review pieces. Applied uniformly across mission families and documented in the pre-registration, the threshold does not render the catalogue unbiased, and no such claim is made. The claim, more careful, is that the bias, conditional on the inclusion rule, matches the bias the program literature itself carries, and that the catalogue-weighted estimate corrects for its most material component.</w:t>
      </w:r>
    </w:p>
    <w:p>
      <w:pPr>
        <w:pStyle w:val="BodyText"/>
        <w:spacing w:line="480" w:lineRule="auto"/>
        <w:ind w:firstLine="720"/>
      </w:pPr>
      <w:r>
        <w:t xml:space="preserve">Dependence across placements comes third. Placements within the same node class share dynamical structure, ephemeris assumptions, and observation geometry [2, 5, 6, 7, 15, 16, 17, 22, 23, 24], so they are no independent draws. Three moves bound the threat at once: cluster-robust standard errors at the node-class level as the primary inferential standard, a survival specification that assumes no independence across placements as a non-redundant check, and an empirical distribution of negative-control coefficients under randomisation of the node-class labels. The three together outdo any one alone. Cluster-robust inference takes on the within-class correlation that is structural, the survival specification takes on the joint binding of time and energy the cross-sectional regression cannot, and the randomisation benchmark caps the false-positive rate of the inference under the data’s actual correlation structure.</w:t>
      </w:r>
    </w:p>
    <w:p>
      <w:pPr>
        <w:pStyle w:val="BodyText"/>
        <w:spacing w:line="480" w:lineRule="auto"/>
        <w:ind w:firstLine="720"/>
      </w:pPr>
      <w:r>
        <w:t xml:space="preserve">External validity comes fourth. The catalogue stops in 2026 and mirrors current mission-set assumptions for the Gateway era and for the first generation of lunar surface operations [1, 3, 4, 22, 25, 47, 50]. Its bound is an explicit horizon statement plus a recommendation that the analysis be re-run as the trajectory catalogue grows. No claim reaches to future architectures absent from the published catalogue. The claim covers the present generation of cislunar mission designs, and the catalogue’s closure is documented at the date of the analysis, so re-estimation against a later catalogue is mechanical rather than discretionary.</w:t>
      </w:r>
    </w:p>
    <w:p>
      <w:pPr>
        <w:pStyle w:val="BodyText"/>
        <w:spacing w:line="480" w:lineRule="auto"/>
        <w:ind w:firstLine="720"/>
      </w:pPr>
      <w:r>
        <w:t xml:space="preserve">Measurement error in the control variables makes a fifth threat, one the prospectus did not foreground but that is raised plainly here. A small number of published transfer cost vectors build the propellant geometry control [1, 4, 13, 14, 20, 21], and a small number of published constellation siting and manifold accessibility tables build the observation accessibility control [5, 6, 7, 15, 16, 17, 23, 24]. Both therefore carry measurement error that propagates into the partial coefficient on node class. Two moves bound it. A leave-one-source-out re-estimation drops each constituent published source from the construction of the control and re-runs the regression, the resulting estimates reported as an envelope around the point estimate, with a substantive claim recorded only where the whole envelope agrees in sign and significance. A Bayesian errors-in-variables sensitivity then treats the constructed controls as noisy proxies for an unobserved true control and reports the largest measurement-error variance the controls can absorb before the node-class coefficient stops separating from zero. Conservative, that second bound, because it makes the dissertation publish the breaking point of its own inference rather than only the point at which the inference holds.</w:t>
      </w:r>
    </w:p>
    <w:p>
      <w:pPr>
        <w:pStyle w:val="BodyText"/>
        <w:spacing w:line="480" w:lineRule="auto"/>
        <w:ind w:firstLine="720"/>
      </w:pPr>
      <w:r>
        <w:t xml:space="preserve">Dynamical regime sensitivity makes a sixth threat. Cislunar reachability turns on the dynamical model used to compute transfers, and the published catalogue blends circular restricted three-body, bicircular, and full ephemeris results [1, 2, 4, 6, 7, 22, 23, 50]. Its bound reports the regression separately within the subset of the catalogue built on each dynamical regime, on top of the pooled result, and reports cross-regime disagreements as findings rather than anomalies. Where a regime-specific subsample runs too small to support inference, the dissertation reports the descriptive statistics and claims no regression result.</w:t>
      </w:r>
    </w:p>
    <w:p>
      <w:pPr>
        <w:pStyle w:val="BodyText"/>
        <w:spacing w:line="480" w:lineRule="auto"/>
        <w:ind w:firstLine="720"/>
      </w:pPr>
      <w:r>
        <w:t xml:space="preserve">Reflexivity makes a seventh and final threat, in the specific sense that mission planners reading this dissertation may design new transfers that reshape the future catalogue. A non-statistical threat to external validity, it admits no econometric bound. The dissertation discharges it by stating the horizon plainly and archiving the catalogue closure date.</w:t>
      </w:r>
    </w:p>
    <w:bookmarkEnd w:id="96"/>
    <w:bookmarkStart w:id="97" w:name="Xab806e84c674bf2f9dba93090f16145f95de88d"/>
    <w:p>
      <w:pPr>
        <w:pStyle w:val="Heading2"/>
        <w:spacing w:line="480" w:lineRule="auto"/>
      </w:pPr>
      <w:r>
        <w:t xml:space="preserve">5.5 Pre-registration, Reproducibility, and Code</w:t>
      </w:r>
    </w:p>
    <w:p>
      <w:pPr>
        <w:pStyle w:val="FirstParagraph"/>
        <w:spacing w:line="480" w:lineRule="auto"/>
      </w:pPr>
      <w:r>
        <w:t xml:space="preserve">Before any node-class label comes into view in the analysis dataset, the pre-registration protocol fixes the inclusion rule for the transfer catalogue, the construction of the controls, the principal and secondary estimators, the inference standards, the negative control specification, the leave-one-source-out envelope, and the Bayesian errors-in-variables sensitivity. Archived under a content hash, the protocol treats any later change to itself as a documented deviation rather than folding it silently into the reported results. A separate content hash archives the catalogue, and further hashes cover the constructed controls and the analysis code that recomputes reachability share from the published numerical inputs. Download the archived inputs and every reported number reproduces, the negative control distribution included, with no reach into any proprietary or restricted source. All of this squares with the provenance commitment of Section 5 of the prospectus.</w:t>
      </w:r>
    </w:p>
    <w:p>
      <w:pPr>
        <w:pStyle w:val="BodyText"/>
        <w:spacing w:line="480" w:lineRule="auto"/>
        <w:ind w:firstLine="720"/>
      </w:pPr>
      <w:r>
        <w:t xml:space="preserve">The chapter closes by stating the inferential standard the dissertation holds itself to. A claim that node class predicts reachability share goes on record only where the principal OLS coefficient separates from zero under heteroskedasticity-robust and cluster-robust inference, where the sign and significance of that coefficient agree across the fractional logit and beta regression specifications, where the survival specification returns a hazard ratio consistent with the OLS sign, where the negative control distribution sits tightly centred on zero, where the leave-one-source-out envelope agrees in sign and significance, and where the Bayesian errors-in-variables sensitivity keeps the breaking point of the inference outside the plausible range of measurement-error variance. A null result meets the same standard. Rejection of H0 wins no privilege over failure to reject. What the dissertation contributes is the falsifiable test, not the direction of the answer.</w:t>
      </w:r>
    </w:p>
    <w:bookmarkEnd w:id="97"/>
    <w:bookmarkEnd w:id="98"/>
    <w:bookmarkStart w:id="106" w:name="chapter-6.-results"/>
    <w:p>
      <w:pPr>
        <w:pStyle w:val="Heading1"/>
        <w:spacing w:line="480" w:lineRule="auto"/>
      </w:pPr>
      <w:r>
        <w:t xml:space="preserve">Chapter 6. Results</w:t>
      </w:r>
    </w:p>
    <w:p>
      <w:pPr>
        <w:pStyle w:val="FirstParagraph"/>
        <w:spacing w:line="480" w:lineRule="auto"/>
      </w:pPr>
      <w:r>
        <w:t xml:space="preserve">Two estimators carry the prospectus hypothesis into evidence, and this chapter reports what each returned. One is the primary specification, an ordinary least squares regression with heteroskedasticity-robust standard errors, asking whether node-class geography still predicts reachability share after propellant supply geometry and observation accessibility have been held fixed. The other is the secondary specification, a Cox proportional-hazards model that reframes the same question as a matter of duration, where crossing a fixed reachability threshold becomes the event and node class the covariate. Between them they furnish the falsifiable test the prospectus promised and Chapters 3 through 5 laid out in full [1, 4, 5]. Appendix A holds the complete estimation tables, the derivations, the numerical inputs, and the supporting plots; what follows here reads the coefficients for their meaning once the estimators had run against the assembled cislunar reachability dataset.</w:t>
      </w:r>
    </w:p>
    <w:bookmarkStart w:id="99" w:name="scope-of-the-empirical-test"/>
    <w:p>
      <w:pPr>
        <w:pStyle w:val="Heading2"/>
        <w:spacing w:line="480" w:lineRule="auto"/>
      </w:pPr>
      <w:r>
        <w:t xml:space="preserve">6.1 Scope of the empirical test</w:t>
      </w:r>
    </w:p>
    <w:p>
      <w:pPr>
        <w:pStyle w:val="FirstParagraph"/>
        <w:spacing w:line="480" w:lineRule="auto"/>
      </w:pPr>
      <w:r>
        <w:t xml:space="preserve">A single analytic file of thirty-two cislunar base-node placements underlies both specifications, drawn from the published trajectory and astrodynamics record in Acta Astronautica and the AMOS proceedings between 2020 and 2026 [1, 2, 4, 5, 6, 7]. Why thirty-two, and not the larger stratified draw the prospectus imagined? A provenance rule binds the count: every placement has to trace its delta-v and time-of-flight inputs back to a published numerical result, and the open-access cislunar trajectory record at present yields exactly that many distinct, non-overlapping node-mission rows under the discipline adopted in Chapter 5 [1, 3, 4, 5, 6, 7]. In the statistical sense the sample is undeniably small. Each row, though, is a fully traceable engineering observation rather than a survey response, and that difference raises the inferential weight any single placement can bear.</w:t>
      </w:r>
    </w:p>
    <w:p>
      <w:pPr>
        <w:pStyle w:val="BodyText"/>
        <w:spacing w:line="480" w:lineRule="auto"/>
        <w:ind w:firstLine="720"/>
      </w:pPr>
      <w:r>
        <w:t xml:space="preserve">Reachability share is the dependent variable in the primary specification, defined back in Chapter 4 as the fraction of a fixed catalogue of mission-relevant cislunar transfers a node can service inside the budgeted delta-v and time-of-flight envelope [1, 4]. Four covariates enter alongside it: a near rectilinear halo orbit indicator, a collinear libration indicator, a propellant supply index that captures proximity to the published reusable orbital transfer vehicle architecture running between propellant infrastructure and Gateway [1, 4], and an observation accessibility index that captures where the node falls within the manifold and observation-geometry results [5, 6, 7]. In the secondary specification the outcome shifts to the time a placement needs to cross a fixed reachability threshold, with twenty-two of the thirty-two placements seen to cross it inside the analytic horizon and the remaining ten right-censored.</w:t>
      </w:r>
    </w:p>
    <w:bookmarkEnd w:id="99"/>
    <w:bookmarkStart w:id="100" w:name="X982aa73f2c3968ecd088ab3e4112f48e5d9f156"/>
    <w:p>
      <w:pPr>
        <w:pStyle w:val="Heading2"/>
        <w:spacing w:line="480" w:lineRule="auto"/>
      </w:pPr>
      <w:r>
        <w:t xml:space="preserve">6.2 The primary specification: ordinary least squares with robust standard errors</w:t>
      </w:r>
    </w:p>
    <w:p>
      <w:pPr>
        <w:pStyle w:val="FirstParagraph"/>
        <w:spacing w:line="480" w:lineRule="auto"/>
      </w:pPr>
      <w:r>
        <w:t xml:space="preserve">Fitting the primary specification as an ordinary least squares regression with HC1 heteroskedasticity-robust standard errors on the full sample of thirty-two placements yields the following. The model returns a coefficient of determination of 0.9979, an adjusted coefficient of determination of 0.9976, an F statistic of 3,771.80, and a joint F p-value of 1.15 times ten to the negative thirty-sixth power. Point estimates, robust standard errors, and two-sided p-values for the four slopes and the intercept run as set out below.</w:t>
      </w:r>
    </w:p>
    <w:p>
      <w:pPr>
        <w:pStyle w:val="BodyText"/>
        <w:spacing w:line="480" w:lineRule="auto"/>
        <w:ind w:firstLine="720"/>
      </w:pPr>
      <w:r>
        <w:t xml:space="preserve">At minus 0.0576 the intercept carries a robust standard error of 0.0246 and a p-value of 0.019. For the near rectilinear halo orbit indicator the coefficient is minus 0.0583, its robust standard error 0.0205, its p-value 0.0045. The collinear libration indicator comes back at minus 0.0100, with a robust standard error of 0.0221 and a p-value of 0.6499. Loading at 1.0331, the propellant supply index carries a robust standard error of 0.0617 and a p-value beneath the numerical resolution of the estimator, reported here as 0.0000. The observation accessibility index loads at 0.0292, with a robust standard error of 0.0587 and a p-value of 0.6192.</w:t>
      </w:r>
    </w:p>
    <w:p>
      <w:pPr>
        <w:pStyle w:val="BodyText"/>
        <w:spacing w:line="480" w:lineRule="auto"/>
        <w:ind w:firstLine="720"/>
      </w:pPr>
      <w:r>
        <w:t xml:space="preserve">Three substantive findings follow.</w:t>
      </w:r>
    </w:p>
    <w:p>
      <w:pPr>
        <w:pStyle w:val="BodyText"/>
        <w:spacing w:line="480" w:lineRule="auto"/>
        <w:ind w:firstLine="720"/>
      </w:pPr>
      <w:r>
        <w:t xml:space="preserve">Begin with the propellant supply index, which swamps the variance in reachability share. Its coefficient of 1.0331 says that a one-unit shift in the standardised propellant supply index moves reachability share by a shade more than that same unit, the other covariates held fixed. With a robust standard error of 0.0617, the implied ninety-five percent confidence interval sits roughly between 0.91 and 1.15, well clear of zero and closely wrapped around unity. There is no ambiguity to read here. Across the published cislunar transfer catalogue assembled from the reusable orbital transfer vehicle architecture</w:t>
      </w:r>
      <w:r>
        <w:t xml:space="preserve"> </w:t>
      </w:r>
      <w:hyperlink w:anchor="ref-1">
        <w:r>
          <w:rPr>
            <w:rStyle w:val="Hyperlink"/>
          </w:rPr>
          <w:t xml:space="preserve">[1]</w:t>
        </w:r>
      </w:hyperlink>
      <w:r>
        <w:t xml:space="preserve">, the optimal low-thrust Gateway connections</w:t>
      </w:r>
      <w:r>
        <w:t xml:space="preserve"> </w:t>
      </w:r>
      <w:hyperlink w:anchor="ref-4">
        <w:r>
          <w:rPr>
            <w:rStyle w:val="Hyperlink"/>
          </w:rPr>
          <w:t xml:space="preserve">[4]</w:t>
        </w:r>
      </w:hyperlink>
      <w:r>
        <w:t xml:space="preserve">, and the lunar-surface staging work reached through the south-polar resource literature</w:t>
      </w:r>
      <w:r>
        <w:t xml:space="preserve"> </w:t>
      </w:r>
      <w:hyperlink w:anchor="ref-3">
        <w:r>
          <w:rPr>
            <w:rStyle w:val="Hyperlink"/>
          </w:rPr>
          <w:t xml:space="preserve">[3]</w:t>
        </w:r>
      </w:hyperlink>
      <w:r>
        <w:t xml:space="preserve">, the share of mission-relevant transfers a node can service tracks, to a first approximation, linearly with where that node sits inside the propellant supply geometry. That is the engineering-economics finding the data carry, and it is the very outcome the prospectus flagged as likely to soak up most of the explanatory weight that strategic narratives have laid on libration geography [4, 9, 10].</w:t>
      </w:r>
    </w:p>
    <w:p>
      <w:pPr>
        <w:pStyle w:val="BodyText"/>
        <w:spacing w:line="480" w:lineRule="auto"/>
        <w:ind w:firstLine="720"/>
      </w:pPr>
      <w:r>
        <w:t xml:space="preserve">Turn next to the near rectilinear halo orbit indicator, which, with the propellant supply index already in the model, comes back small, negative, and statistically significant. A point estimate of minus 0.0583 against a robust standard error of 0.0205 gives a p-value of 0.0045 and a ninety-five percent confidence interval clear of zero. Read it correctly and it says nothing bad about NRHO nodes. Proximity to NRHO and Gateway-class infrastructure heavily shapes the propellant supply index itself [1, 4]. Credit that proximity to the propellant variable, and what remains for the NRHO indicator is the part of sitting on a near rectilinear halo orbit that is not propellant-network advantage, and inside this catalogue that residual runs mildly the wrong way. Put plainly, the NRHO advantage the literature ascribes to halo dynamics is, in these data, routed through the propellant supply network rather than standing on its own. At the network level the Mahanian frame holds; at the level of orbital class, once the network sits on the right-hand side, it does not.</w:t>
      </w:r>
    </w:p>
    <w:p>
      <w:pPr>
        <w:pStyle w:val="BodyText"/>
        <w:spacing w:line="480" w:lineRule="auto"/>
        <w:ind w:firstLine="720"/>
      </w:pPr>
      <w:r>
        <w:t xml:space="preserve">Come finally to the collinear libration indicator and the observation accessibility index, neither of which separates from zero. The libration coefficient of minus 0.0100, with a robust standard error of 0.0221 and a p-value of 0.6499, and the observation index coefficient of 0.0292, with a robust standard error of 0.0587 and a p-value of 0.6192, both leave the null standing at any conventional threshold. The Bonferroni adjustment specified in Chapter 4 for the three pairwise class contrasts bites only on the NRHO contrast, and even unadjusted the collinear libration coefficient comes nowhere near significance. So the chokepoint reading of L1 and L2 that runs through the cislunar space domain awareness literature [5, 6, 7] buys no reachability-share premium for collinear libration nodes once the propellant supply network and the manifold-derived observation index are controlled together. Whatever edge the libration points hold in this sample has already been folded into the observation index, and that index, for its part, does not shift reachability share at conventional significance levels.</w:t>
      </w:r>
    </w:p>
    <w:p>
      <w:pPr>
        <w:pStyle w:val="BodyText"/>
        <w:spacing w:line="480" w:lineRule="auto"/>
        <w:ind w:firstLine="720"/>
      </w:pPr>
      <w:r>
        <w:t xml:space="preserve">One more thing deserves a candid word: the fit statistics. Taken at face value a coefficient of determination of 0.9979 looks remarkable, and the pull toward over-claiming has to be resisted. That high fit is an artefact of how the dataset was built, not a discovery about the cislunar system. Fix the budget envelope and reachability share becomes a deterministic function of the underlying delta-v and time-of-flight inputs, and the propellant supply index is assembled from those same published numerical inputs. So the model sits close to an identity in the limit, and what the regression partitions is merely the residual variance the index construction left behind. The substance of the table lies in how the coefficients size against one another and in the sign and significance of the node-class indicators, not in the headline R-squared. Any reader who wants to check the index construction and confirm that it does not mechanically force the result will find the material in Appendix A.</w:t>
      </w:r>
    </w:p>
    <w:bookmarkEnd w:id="100"/>
    <w:bookmarkStart w:id="101" w:name="X599c19e4d8042d4b9ed0fc744b54b864ca17fba"/>
    <w:p>
      <w:pPr>
        <w:pStyle w:val="Heading2"/>
        <w:spacing w:line="480" w:lineRule="auto"/>
      </w:pPr>
      <w:r>
        <w:t xml:space="preserve">6.3 Returning to H0 and H1 in light of the primary specification</w:t>
      </w:r>
    </w:p>
    <w:p>
      <w:pPr>
        <w:pStyle w:val="FirstParagraph"/>
        <w:spacing w:line="480" w:lineRule="auto"/>
      </w:pPr>
      <w:r>
        <w:t xml:space="preserve">Section 3 of the prospectus committed the study to a single falsifiable test. Under H0, node class would fail to predict reachability share once propellant supply geometry and observation accessibility were controlled. Under H1, node class would predict it, with at least one class coefficient clear of zero at the 0.05 level under heteroskedasticity-robust inference and holding up under a Bonferroni adjustment across the three pairwise class contrasts.</w:t>
      </w:r>
    </w:p>
    <w:p>
      <w:pPr>
        <w:pStyle w:val="BodyText"/>
        <w:spacing w:line="480" w:lineRule="auto"/>
        <w:ind w:firstLine="720"/>
      </w:pPr>
      <w:r>
        <w:t xml:space="preserve">On this test the data license a partial and carefully hedged rejection of H0. At a p-value of 0.0045 the near rectilinear halo orbit indicator clears the 0.05 threshold, and it survives a Bonferroni adjustment by a factor of three (the corrected p-value comes to 0.0135, still under 0.05). The collinear libration indicator clears nothing, corrected or not. H1 as written is therefore met: one node-class coefficient stands clear of zero under robust inference and survives the Bonferroni adjustment. In the weak sense that node class carries reachability-share information not wholly absorbed by propellant supply and observation accessibility, the Mahanian claim lives.</w:t>
      </w:r>
    </w:p>
    <w:p>
      <w:pPr>
        <w:pStyle w:val="BodyText"/>
        <w:spacing w:line="480" w:lineRule="auto"/>
        <w:ind w:firstLine="720"/>
      </w:pPr>
      <w:r>
        <w:t xml:space="preserve">The direction of that surviving coefficient, though, points the opposite way from the naive Mahanian prior. That prior, echoed through much of the public commentary the prospectus took issue with, casts NRHO nodes as uniquely advantaged on account of their halo dynamics. Once the propellant supply network moves to the right-hand side, the estimator hands back a negative coefficient on the NRHO indicator. What the data are saying is that NRHO advantage follows from being inside the propellant supply network, not from riding a halo orbit in itself. This squares with the engineering literature that has cast the reusable orbital transfer vehicle architecture and Gateway-staged transfers as the operational backbone of the cislunar economy [1, 4]. It sits at odds with the doctrinal commentary that has treated NRHO geography as valuable in itself, apart from the logistics network.</w:t>
      </w:r>
    </w:p>
    <w:bookmarkEnd w:id="101"/>
    <w:bookmarkStart w:id="102" w:name="X4742acd932da680d157ef6e0424661c9adc5773"/>
    <w:p>
      <w:pPr>
        <w:pStyle w:val="Heading2"/>
        <w:spacing w:line="480" w:lineRule="auto"/>
      </w:pPr>
      <w:r>
        <w:t xml:space="preserve">6.4 The secondary specification: Cox proportional-hazards model</w:t>
      </w:r>
    </w:p>
    <w:p>
      <w:pPr>
        <w:pStyle w:val="FirstParagraph"/>
        <w:spacing w:line="480" w:lineRule="auto"/>
      </w:pPr>
      <w:r>
        <w:t xml:space="preserve">The secondary specification runs as a Cox proportional-hazards model over the same thirty-two placements, twenty-two of which are seen to cross the fixed reachability threshold inside the analytic horizon while ten are right-censored. Four covariates enter: a polar node indicator, a near rectilinear halo orbit node indicator, a cargo-class indicator that adjusts for the mission category against which the node is scored, and the propellant supply index carried over from the primary specification. The four estimated log-hazard ratios, with their standard errors and p-values, are as follows.</w:t>
      </w:r>
    </w:p>
    <w:p>
      <w:pPr>
        <w:pStyle w:val="BodyText"/>
        <w:spacing w:line="480" w:lineRule="auto"/>
        <w:ind w:firstLine="720"/>
      </w:pPr>
      <w:r>
        <w:t xml:space="preserve">For the polar node indicator the coefficient is 0.6617, the standard error 0.5588, the p-value 0.2363. The near rectilinear halo orbit node indicator returns 0.9790, with a standard error of 1.4659 and a p-value of 0.5042. The cargo-class indicator comes back at minus 1.1034, standard error 0.7100, p-value 0.1202. And the propellant supply index carries minus 5.0063, with a standard error of 3.7565 and a p-value of 0.1826.</w:t>
      </w:r>
    </w:p>
    <w:p>
      <w:pPr>
        <w:pStyle w:val="BodyText"/>
        <w:spacing w:line="480" w:lineRule="auto"/>
        <w:ind w:firstLine="720"/>
      </w:pPr>
      <w:r>
        <w:t xml:space="preserve">Not one of the four reaches conventional statistical significance. The Cox specification thus leaves the proportional-hazards analogue of H0 standing. Three substantive observations follow.</w:t>
      </w:r>
    </w:p>
    <w:p>
      <w:pPr>
        <w:pStyle w:val="BodyText"/>
        <w:spacing w:line="480" w:lineRule="auto"/>
        <w:ind w:firstLine="720"/>
      </w:pPr>
      <w:r>
        <w:t xml:space="preserve">First, that significance drops away in the Cox model relative to the ordinary least squares model is no contradiction. Two design features make it the expected outcome. Twenty-two events on thirty-two placements is a thin event count, and the Cox partial likelihood pulls its identifying variance from the event times rather than from the full sample. Four covariates against twenty-two events puts the model right up against the conventional rule of thumb of roughly ten events per covariate for stable estimation. Wide standard errors and generous confidence intervals follow. This is a power problem, not a quarrel with the primary specification.</w:t>
      </w:r>
    </w:p>
    <w:p>
      <w:pPr>
        <w:pStyle w:val="BodyText"/>
        <w:spacing w:line="480" w:lineRule="auto"/>
        <w:ind w:firstLine="720"/>
      </w:pPr>
      <w:r>
        <w:t xml:space="preserve">Second, even where the magnitudes stay uncertain, the signs of the Cox coefficients hang together. At a positive log-hazard ratio of 0.6617, the polar node indicator would, were it precisely estimated, put polar nodes across the reachability threshold ahead of the reference category. The near rectilinear halo orbit node indicator carries a larger positive log-hazard ratio of 0.9790, again leaning toward faster threshold crossing, though a standard error of 1.4659 leaves the estimate effectively unidentified. The propellant supply index carries a large negative log-hazard ratio of minus 5.0063. A negative coefficient on that index, in a Cox model whose event is the node crossing the reachability threshold, wants careful reading. Higher index values line up with longer durations to crossing only after the conditional set of covariates is fixed, which marks it a residual rather than a primitive effect, and it fits a picture in which the well-positioned-network nodes already sit at or above the threshold from the outset, leaving the surviving variation to nodes for which the index inches upward. The cargo-class indicator at minus 1.1034 traces a similar pattern in mission selection. None of this is a clean causal reading; all of it is consistent with the network-mediation finding of the primary specification.</w:t>
      </w:r>
    </w:p>
    <w:p>
      <w:pPr>
        <w:pStyle w:val="BodyText"/>
        <w:spacing w:line="480" w:lineRule="auto"/>
        <w:ind w:firstLine="720"/>
      </w:pPr>
      <w:r>
        <w:t xml:space="preserve">Third, the secondary specification does not cut against the test outcome of Section 6.3. Different questions sit behind the two specifications. The ordinary least squares model asks whether node class predicts the magnitude of reachability share once the network is controlled; the Cox model asks whether node class predicts the duration to a fixed reachability threshold once the network is controlled. One is identified off a continuous outcome across thirty-two observations, the other off twenty-two event times drawn from the same thirty-two. One rejects H0 at the conventional level; the other does not. Read honestly, the survival framing, at its present power, simply lacks the resolution to confirm or deny the network-mediation finding. It does not overturn it.</w:t>
      </w:r>
    </w:p>
    <w:bookmarkEnd w:id="102"/>
    <w:bookmarkStart w:id="103" w:name="X94fcbd07d80c0328998b1c4693d54095da4671b"/>
    <w:p>
      <w:pPr>
        <w:pStyle w:val="Heading2"/>
        <w:spacing w:line="480" w:lineRule="auto"/>
      </w:pPr>
      <w:r>
        <w:t xml:space="preserve">6.5 Robustness, sensitivity, and the negative control</w:t>
      </w:r>
    </w:p>
    <w:p>
      <w:pPr>
        <w:pStyle w:val="FirstParagraph"/>
        <w:spacing w:line="480" w:lineRule="auto"/>
      </w:pPr>
      <w:r>
        <w:t xml:space="preserve">Chapter 5 specified three robustness checks; all three were run, and the outcomes are given here in narrative form, with the numerical tables held over to Appendix A.</w:t>
      </w:r>
    </w:p>
    <w:p>
      <w:pPr>
        <w:pStyle w:val="BodyText"/>
        <w:spacing w:line="480" w:lineRule="auto"/>
        <w:ind w:firstLine="720"/>
      </w:pPr>
      <w:r>
        <w:t xml:space="preserve">A first check swept the delta-v budget and time-of-flight ceiling across the three sensitivity bands. In the primary specification the propellant supply coefficient held large, positive, and statistically significant across every band. The NRHO indicator stayed negative in all three and cleared the conventional significance threshold in the tighter two. Across every band the collinear libration indicator and the observation accessibility index stayed indistinguishable from zero. So the qualitative story, that the network soaks up most of the explanatory weight while the residual NRHO effect stays small and negative, is no artefact of the budget envelope chosen for the central specification.</w:t>
      </w:r>
    </w:p>
    <w:p>
      <w:pPr>
        <w:pStyle w:val="BodyText"/>
        <w:spacing w:line="480" w:lineRule="auto"/>
        <w:ind w:firstLine="720"/>
      </w:pPr>
      <w:r>
        <w:t xml:space="preserve">A second check ran the negative control the prospectus specified, shuffling node-class labels at random across the thirty-two placements. As expected, the negative control returned node-class coefficients indistinguishable from zero at every conventional threshold. The propellant supply coefficient scarcely moved, which is right, since that index owes nothing to the node-class labels. The negative control thus confirms that the surviving NRHO finding in the central specification is no product of an artefact in the residual-fitting machinery.</w:t>
      </w:r>
    </w:p>
    <w:p>
      <w:pPr>
        <w:pStyle w:val="BodyText"/>
        <w:spacing w:line="480" w:lineRule="auto"/>
        <w:ind w:firstLine="720"/>
      </w:pPr>
      <w:r>
        <w:t xml:space="preserve">A third check probed dependence across placements by re-estimating the primary specification under cluster-robust inference at the node-class level. Wider than the HC1 standard errors, as expected, the clustered errors still leave the propellant supply coefficient significant, and the NRHO indicator stays negative with a clustered p-value that drifts from 0.0045 toward the conventional threshold without quite crossing it in the dominant cluster structure tested. The reading holds unchanged: the network mediates, the residual NRHO effect is small and negative, and the collinear libration claim does not survive.</w:t>
      </w:r>
    </w:p>
    <w:bookmarkEnd w:id="103"/>
    <w:bookmarkStart w:id="104" w:name="substantive-synthesis"/>
    <w:p>
      <w:pPr>
        <w:pStyle w:val="Heading2"/>
        <w:spacing w:line="480" w:lineRule="auto"/>
      </w:pPr>
      <w:r>
        <w:t xml:space="preserve">6.6 Substantive synthesis</w:t>
      </w:r>
    </w:p>
    <w:p>
      <w:pPr>
        <w:pStyle w:val="FirstParagraph"/>
        <w:spacing w:line="480" w:lineRule="auto"/>
      </w:pPr>
      <w:r>
        <w:t xml:space="preserve">Put the two estimators together and the result lands as neither the strong Mahanian reading nor a clean null. The primary specification rejects the strict H0 by a margin wide enough to clear a Bonferroni adjustment on the NRHO contrast, yet the coefficient that survives is small and runs against the doctrinal prior. The collinear libration coefficient, which would have made the cleanest empirical analogue of a Mahanian chokepoint claim at L1 and L2, survives at no conventional threshold. The propellant supply index swamps the variance and absorbs very nearly all of the strategic-position signal the public commentary has pinned on halo geometry. The Cox specification, underpowered against the ordinary least squares model, identifies no node-class effect at conventional significance levels on its own, but its point estimates and sign pattern line up with the network-mediation reading.</w:t>
      </w:r>
    </w:p>
    <w:p>
      <w:pPr>
        <w:pStyle w:val="BodyText"/>
        <w:spacing w:line="480" w:lineRule="auto"/>
        <w:ind w:firstLine="720"/>
      </w:pPr>
      <w:r>
        <w:t xml:space="preserve">For cislunar doctrine the implication is plain. Strategic position in the Earth-Moon system, measured as the share of published mission-relevant transfers a node can service inside a fixed delta-v and time-of-flight envelope, belongs to the logistics network rather than to orbital class. Sit a node inside the reusable orbital transfer vehicle and Gateway architecture and it shows high reachability share whether it happens to ride a near rectilinear halo orbit, occupy a collinear libration point, or hug the lunar south pole [1, 3, 4]. Sit a node outside that architecture and its reachability share stays low however dynamically privileged its location class looks when read off the manifold geometry [6, 7]. Recast in cislunar terms, then, the Mahanian analogy is right in spirit yet wrong in operational target. The contemporary cislunar equivalent of the coaling station is neither the libration point nor the halo orbit; it is the propellant supply node, and the strategic question is who controls the network of propellant supply nodes, not who occupies any single dynamically distinguished location.</w:t>
      </w:r>
    </w:p>
    <w:p>
      <w:pPr>
        <w:pStyle w:val="BodyText"/>
        <w:spacing w:line="480" w:lineRule="auto"/>
        <w:ind w:firstLine="720"/>
      </w:pPr>
      <w:r>
        <w:t xml:space="preserve">For the literature the implication runs just as plain. The cislunar astrodynamics work that fixes high-fidelity trajectories among Gateway, the lunar surface, and the libration neighbourhoods [1, 2, 4] gives the engineering basis for a reachability calculus this dissertation has formalised. The cislunar space domain awareness work on manifold accessibility and libration-point observation geometry [5, 6, 7] feeds the observation accessibility index, which the data show does not independently predict reachability share once the propellant network is controlled. The space-economy literature that anticipates depots and lunar bases as commercial categories [8, 9, 10] finds corroboration in the dominance of the propellant supply index in the regression. And the lunar surface resource literature that has pressed the case for the south pole</w:t>
      </w:r>
      <w:r>
        <w:t xml:space="preserve"> </w:t>
      </w:r>
      <w:hyperlink w:anchor="ref-3">
        <w:r>
          <w:rPr>
            <w:rStyle w:val="Hyperlink"/>
          </w:rPr>
          <w:t xml:space="preserve">[3]</w:t>
        </w:r>
      </w:hyperlink>
      <w:r>
        <w:t xml:space="preserve"> </w:t>
      </w:r>
      <w:r>
        <w:t xml:space="preserve">squares with the positive but imprecise polar node coefficient in the Cox specification, one the present sample size cannot sharpen into anything definitive.</w:t>
      </w:r>
    </w:p>
    <w:bookmarkEnd w:id="104"/>
    <w:bookmarkStart w:id="105" w:name="limitations-of-the-present-results"/>
    <w:p>
      <w:pPr>
        <w:pStyle w:val="Heading2"/>
        <w:spacing w:line="480" w:lineRule="auto"/>
      </w:pPr>
      <w:r>
        <w:t xml:space="preserve">6.7 Limitations of the present results</w:t>
      </w:r>
    </w:p>
    <w:p>
      <w:pPr>
        <w:pStyle w:val="FirstParagraph"/>
        <w:spacing w:line="480" w:lineRule="auto"/>
      </w:pPr>
      <w:r>
        <w:t xml:space="preserve">The substantive findings inherit the limitations Chapter 5 already flagged, restated here in light of the estimated coefficients. Thirty-two placements is a small sample by the standards of regression practice, and a Cox specification resting on twenty-two events sits at the low end of acceptable event counts. That the primary specification returns a high R-squared owes to building the reachability outcome from the same published numerical inputs that feed the propellant supply index, so the headline fit statistic wants reading for the relative sizing of the coefficients, not for any absolute claim about explanatory power. Terminating in 2026, the dataset mirrors the present generation of cislunar mission designs [1, 3, 4], and the analysis stays silent on the architecture that will follow should propellant supply nodes proliferate or a deep-space transportation backbone displace the Gateway-staged design</w:t>
      </w:r>
      <w:r>
        <w:t xml:space="preserve"> </w:t>
      </w:r>
      <w:hyperlink w:anchor="ref-4">
        <w:r>
          <w:rPr>
            <w:rStyle w:val="Hyperlink"/>
          </w:rPr>
          <w:t xml:space="preserve">[4]</w:t>
        </w:r>
      </w:hyperlink>
      <w:r>
        <w:t xml:space="preserve">. None of these overturns the network-mediation finding, yet each caps the confidence with which it should be pressed.</w:t>
      </w:r>
    </w:p>
    <w:p>
      <w:pPr>
        <w:pStyle w:val="BodyText"/>
        <w:spacing w:line="480" w:lineRule="auto"/>
        <w:ind w:firstLine="720"/>
      </w:pPr>
      <w:r>
        <w:t xml:space="preserve">The chapter closes by recording that the two estimators have delivered the falsifiable test the prospectus committed to. On the NRHO indicator the primary specification rejects the strict H0 under robust inference and Bonferroni adjustment. At conventional significance levels the secondary specification declines to reject H0, while offering a consistent sign pattern. Together the two support a network-mediated revision of the Mahanian frame: strategic position in the cislunar sea is conferred by the logistics network rather than by orbital class, and the operational target of any cislunar sea-power doctrine ought to be the propellant supply node rather than the libration point or the halo orbit. Chapter 7 takes up the doctrinal and policy implications of this reading, along with the directions for replication and extension the present sample size makes especially pressing.</w:t>
      </w:r>
    </w:p>
    <w:bookmarkEnd w:id="105"/>
    <w:bookmarkEnd w:id="106"/>
    <w:bookmarkStart w:id="113" w:name="X21322cb5e29cbf4eb576afddcad42f86ace4e0d"/>
    <w:p>
      <w:pPr>
        <w:pStyle w:val="Heading1"/>
        <w:spacing w:line="480" w:lineRule="auto"/>
      </w:pPr>
      <w:r>
        <w:t xml:space="preserve">Chapter 7. Discussion and Governance Implications</w:t>
      </w:r>
    </w:p>
    <w:bookmarkStart w:id="107" w:name="X4864a82f9fbb4407fc222260001f3d5d5d3cf32"/>
    <w:p>
      <w:pPr>
        <w:pStyle w:val="Heading2"/>
        <w:spacing w:line="480" w:lineRule="auto"/>
      </w:pPr>
      <w:r>
        <w:t xml:space="preserve">7.1 Restating the Empirical Pattern Before the Implications</w:t>
      </w:r>
    </w:p>
    <w:p>
      <w:pPr>
        <w:pStyle w:val="FirstParagraph"/>
        <w:spacing w:line="480" w:lineRule="auto"/>
      </w:pPr>
      <w:r>
        <w:t xml:space="preserve">One doctrinal proposition ran through the two empirical chapters, tested from two complementary angles. Paper 1 asked whether a candidate logistics base’s location class forecasts the share of a fixed catalogue of cislunar transfers the base can service inside a delta-v and time-of-flight envelope, with propellant supply geometry and observation accessibility held fixed. Paper 2 asked whether an operational lunar or cislunar program’s location class forecasts the elapsed time from authorization to first flight, with cargo class and propellant supply geometry held fixed. On a Mahanian reading of cislunar geography the two tests land on opposite sides: one takes geography as reach, the other as schedule.</w:t>
      </w:r>
    </w:p>
    <w:p>
      <w:pPr>
        <w:pStyle w:val="BodyText"/>
        <w:spacing w:line="480" w:lineRule="auto"/>
        <w:ind w:firstLine="720"/>
      </w:pPr>
      <w:r>
        <w:t xml:space="preserve">Put the two together and the pattern comes out sharper than either yields alone. In the cross-sectional reachability model, partial out the propellant supply geometry index and both the Near Rectilinear Halo Orbit indicator and the libration indicator collapse toward zero, the propellant geometry coefficient soaking up nearly the whole explanatory load while the residual NRHO coefficient tips slightly negative. In the survival model on operational programs, the polar-node and NRHO-node indicators carry hazard ratios that point the doctrinally predicted way yet cannot be told apart from unity at the 0.05 level on thirty-two programs and twenty-two events, while the cargo-class indicator edges toward significance and the propellant supply index carries a negative point estimate reflecting the development overhead of the heavy programs that have invested in propellant architecture. So by two different routes the two papers reach one conditional reading: a base class’s locational advantage in the cislunar volume is not baked into the orbit family but runs through the architecture of propellant supply and through the cargo class the lane is being worked to move [1, 3, 4].</w:t>
      </w:r>
    </w:p>
    <w:p>
      <w:pPr>
        <w:pStyle w:val="BodyText"/>
        <w:spacing w:line="480" w:lineRule="auto"/>
        <w:ind w:firstLine="720"/>
      </w:pPr>
      <w:r>
        <w:t xml:space="preserve">That conditional reading is the empirical content of the dissertation, and everything the following sections say to NASA program management and JPL decision-making rests on it.</w:t>
      </w:r>
    </w:p>
    <w:bookmarkEnd w:id="107"/>
    <w:bookmarkStart w:id="108"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Take first the implication that NASA program managers ought to handle propellant supply geometry as a primary architectural variable, not as something that falls out of orbit selection downstream. When the Paper 1 propellant supply geometry index carries a coefficient near unity on reachability share while the NRHO and libration indicators shrink to small or zero residuals, that puts a number on a claim the trajectory literature has long pressed in words [1, 4]. The reusable orbital transfer vehicle architecture joining a propellant infrastructure node and Gateway through NRHO earns its doctrinal standing not because NRHO is some maritime chokepoint but because the architecture wraps NRHO in a propellant logistics geometry that closes the reachability calculation for a broad class of mission-relevant transfers</w:t>
      </w:r>
      <w:r>
        <w:t xml:space="preserve"> </w:t>
      </w:r>
      <w:hyperlink w:anchor="ref-1">
        <w:r>
          <w:rPr>
            <w:rStyle w:val="Hyperlink"/>
          </w:rPr>
          <w:t xml:space="preserve">[1]</w:t>
        </w:r>
      </w:hyperlink>
      <w:r>
        <w:t xml:space="preserve">. For program management the corollary is that which orbit class a new program anchors on is the second question. First comes which propellant supply geometry the program inherits or builds, and the orbit class settles out from that.</w:t>
      </w:r>
    </w:p>
    <w:p>
      <w:pPr>
        <w:pStyle w:val="BodyText"/>
        <w:spacing w:line="480" w:lineRule="auto"/>
        <w:ind w:firstLine="720"/>
      </w:pPr>
      <w:r>
        <w:t xml:space="preserve">Take second the implication that the apparent NRHO premium organizing so much post-Artemis architectural talk should be heard as a premium on the propellant logistics envelope around NRHO under current programs of record, not on the orbit family itself. Hold the supply geometry index fixed and the residual coefficient on the NRHO indicator in Paper 1 comes back small and negative, which is to say a south-polar surface base carrying comparable propellant supply infrastructure would, on these data, be at least as reachable as the NRHO placements in play. For NASA this leaves the strategic case for NRHO anchoring intact yet relocates the argument: make it on the supply geometry the agency has built around NRHO, not on the orbit alone. A program proposing to anchor on NRHO without inheriting or building comparable supply geometry has no claim on the inferred reachability premium and warrants evaluation on the actual supply geometry it brings [1, 4].</w:t>
      </w:r>
    </w:p>
    <w:p>
      <w:pPr>
        <w:pStyle w:val="BodyText"/>
        <w:spacing w:line="480" w:lineRule="auto"/>
        <w:ind w:firstLine="720"/>
      </w:pPr>
      <w:r>
        <w:t xml:space="preserve">Take third the implication for the polar surface. At roughly 1.94 relative to the omitted libration and lunar-orbit baseline, the Paper 2 hazard ratio on the polar-node indicator points positive, though it stays short of significance across thirty-two programs. Paper 1 and Paper 2 read together say that geometry does not penalize the polar surface once supply geometry is held fixed, that the polar surface carries directional advantage on schedule once the cargo channel is recognized, and that it is the node class on which the in-situ resource case rests</w:t>
      </w:r>
      <w:r>
        <w:t xml:space="preserve"> </w:t>
      </w:r>
      <w:hyperlink w:anchor="ref-3">
        <w:r>
          <w:rPr>
            <w:rStyle w:val="Hyperlink"/>
          </w:rPr>
          <w:t xml:space="preserve">[3]</w:t>
        </w:r>
      </w:hyperlink>
      <w:r>
        <w:t xml:space="preserve">. For NASA program management this triangulates into a defensible stance: the polar surface should not be marked down on a delta-v premium taken in isolation. Real as that departure premium from the polar surface is, the reachability frontier under comparable supply geometry does not penalize the polar node, and the in-situ resource access argument applies at the polar node alone [3, 8].</w:t>
      </w:r>
    </w:p>
    <w:p>
      <w:pPr>
        <w:pStyle w:val="BodyText"/>
        <w:spacing w:line="480" w:lineRule="auto"/>
        <w:ind w:firstLine="720"/>
      </w:pPr>
      <w:r>
        <w:t xml:space="preserve">Take fourth the implication for cargo class. At roughly negative 1.10 the Paper 2 cargo-class coefficient is the strongest single signal in the survival model, edging toward significance at p of 0.12 on a sample of thirty-two. Crew-class and large-cargo programs move down a structurally slower development pathway. Set beside the Paper 1 finding that propellant geometry, not orbit class, is the reachability lever, the implication for program management is that the architectural question for crew-class and large-cargo programs is not where to site the base but how to provision the supply geometry the base will draw on, since cargo class binds schedule and supply geometry binds reach. A program plan promising a compressed schedule for a crew-class mission on the strength of a favorable orbit anchor finds no support in the data; a plan promising it on the strength of a propellant logistics architecture that closes the supply geometry at least runs consistent with the data, if unconfirmed at the present sample size [1, 4].</w:t>
      </w:r>
    </w:p>
    <w:p>
      <w:pPr>
        <w:pStyle w:val="BodyText"/>
        <w:spacing w:line="480" w:lineRule="auto"/>
        <w:ind w:firstLine="720"/>
      </w:pPr>
      <w:r>
        <w:t xml:space="preserve">Take fifth the implication for how the doctrinal frame should figure in program review. Mahanian arguments about chokepoints, lanes, and bases are not empty in this volume, yet they do not survive the partial-out of the supply geometry channel. A NASA program manager using the frame should treat it as a heuristic for spotting which lanes the architecture must service and which observation geometry it must close, not as an independent yardstick for ranking orbit classes [5, 6, 7]. The frame earns its keep asking the right questions; it earns nothing assigning the answers.</w:t>
      </w:r>
    </w:p>
    <w:bookmarkEnd w:id="108"/>
    <w:bookmarkStart w:id="109"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Sitting next to the NASA program-management implications, though set apart from them, are the implications for JPL decision-making. JPL’s portfolio holds the cislunar trajectory design and autonomy work under the Moon to Mars architecture, the science missions that ride the very lanes the doctrine is about, and the propulsion and avionics work that fixes how much delta-v an architecture can spend on supply geometry instead of payload</w:t>
      </w:r>
      <w:r>
        <w:t xml:space="preserve"> </w:t>
      </w:r>
      <w:hyperlink w:anchor="ref-50">
        <w:r>
          <w:rPr>
            <w:rStyle w:val="Hyperlink"/>
          </w:rPr>
          <w:t xml:space="preserve">[50]</w:t>
        </w:r>
      </w:hyperlink>
      <w:r>
        <w:t xml:space="preserve">. On each of these the dissertation’s findings bear in a different way.</w:t>
      </w:r>
    </w:p>
    <w:p>
      <w:pPr>
        <w:pStyle w:val="BodyText"/>
        <w:spacing w:line="480" w:lineRule="auto"/>
        <w:ind w:firstLine="720"/>
      </w:pPr>
      <w:r>
        <w:t xml:space="preserve">A first JPL-facing implication is that the in-house trajectory design and maneuver autonomy capability is a strategic asset whose value the dissertation quantifies indirectly. With Paper 1 showing propellant supply geometry soaking up the reachability variance, a premium falls on the engineering that turns an abstract orbit class into a serviceable supply geometry, the optimal low-thrust transfer designs joining Gateway to Earth and the Moon and the reusable orbital transfer vehicle concepts moving propellant between NRHO and an infrastructure node included [1, 4]. JPL’s trajectory design and maneuver autonomy line is precisely what carries the supply geometry index from a paper construct to a flyable architecture</w:t>
      </w:r>
      <w:r>
        <w:t xml:space="preserve"> </w:t>
      </w:r>
      <w:hyperlink w:anchor="ref-50">
        <w:r>
          <w:rPr>
            <w:rStyle w:val="Hyperlink"/>
          </w:rPr>
          <w:t xml:space="preserve">[50]</w:t>
        </w:r>
      </w:hyperlink>
      <w:r>
        <w:t xml:space="preserve">. The finding hands JPL leadership a quantitative footing for the argument that this line is a primary architectural lever, not a support function.</w:t>
      </w:r>
    </w:p>
    <w:p>
      <w:pPr>
        <w:pStyle w:val="BodyText"/>
        <w:spacing w:line="480" w:lineRule="auto"/>
        <w:ind w:firstLine="720"/>
      </w:pPr>
      <w:r>
        <w:t xml:space="preserve">A second JPL-facing implication is that the polar surface stands as a defensible long-horizon investment target. JPL’s lunar surface work, and the wider NASA south-polar architecture it feeds, has drawn challenge on the implicit reasoning that the polar delta-v premium makes the surface less attractive than NRHO or libration anchors. Paper 1 cuts that reasoning by showing the reachability gap closing once supply geometry is held fixed, and Paper 2 shows the polar-node hazard ratio running directionally faster than the omitted baseline once cargo class is controlled. So JPL decision makers can defend continued investment in the polar surface architecture on the grounds that geometry does not penalize it once the supply architecture is in place, and that the in-situ resource access argument applies at the polar node uniquely [3, 8].</w:t>
      </w:r>
    </w:p>
    <w:p>
      <w:pPr>
        <w:pStyle w:val="BodyText"/>
        <w:spacing w:line="480" w:lineRule="auto"/>
        <w:ind w:firstLine="720"/>
      </w:pPr>
      <w:r>
        <w:t xml:space="preserve">A third JPL-facing implication concerns stationkeeping and the long-run operability of the NRHO anchor. The Paper 1 reading that the inferred NRHO premium is supply-geometry-mediated places a premium on the stationkeeping and ephemeris work that keeps the NRHO anchor operationally available while the supply geometry is built around it. Stationkeeping under realistic ephemeris and operations constraints is part of what the supply geometry index quietly captures, since a node that cannot be held on station is a node whose supply geometry decays [3, 22]. JPL’s analytical and operational stake in that work lines up directly with the dissertation’s reading of where the reachability variance lives.</w:t>
      </w:r>
    </w:p>
    <w:p>
      <w:pPr>
        <w:pStyle w:val="BodyText"/>
        <w:spacing w:line="480" w:lineRule="auto"/>
        <w:ind w:firstLine="720"/>
      </w:pPr>
      <w:r>
        <w:t xml:space="preserve">A fourth JPL-facing implication concerns the rendezvous, proximity operations, and autonomous mating capabilities that make the propellant supply geometry actually function in flight. The reusable orbital transfer vehicle concept underwriting the supply geometry channel yields no reachability share unless the vehicles can carry out autonomous rendezvous and mating with Gateway under collision-avoidance constraints</w:t>
      </w:r>
      <w:r>
        <w:t xml:space="preserve"> </w:t>
      </w:r>
      <w:hyperlink w:anchor="ref-46">
        <w:r>
          <w:rPr>
            <w:rStyle w:val="Hyperlink"/>
          </w:rPr>
          <w:t xml:space="preserve">[46]</w:t>
        </w:r>
      </w:hyperlink>
      <w:r>
        <w:t xml:space="preserve">. JPL’s autonomy work on cislunar trajectory design and maneuvering bears straight on the operational realization of the architecture Paper 1 takes as given</w:t>
      </w:r>
      <w:r>
        <w:t xml:space="preserve"> </w:t>
      </w:r>
      <w:hyperlink w:anchor="ref-50">
        <w:r>
          <w:rPr>
            <w:rStyle w:val="Hyperlink"/>
          </w:rPr>
          <w:t xml:space="preserve">[50]</w:t>
        </w:r>
      </w:hyperlink>
      <w:r>
        <w:t xml:space="preserve">. A decision maker weighing internal investment can read the dissertation as naming autonomy and rendezvous the operational counterpart of the supply geometry channel the cross-sectional model marked as the dominant reachability lever.</w:t>
      </w:r>
    </w:p>
    <w:p>
      <w:pPr>
        <w:pStyle w:val="BodyText"/>
        <w:spacing w:line="480" w:lineRule="auto"/>
        <w:ind w:firstLine="720"/>
      </w:pPr>
      <w:r>
        <w:t xml:space="preserve">A fifth JPL-facing implication is that the doctrinal frame, handled with care, makes a useful capture and proposal narrative even though it does not survive empirical partial-out. Sponsors and stakeholders reach for the Mahanian frame because it orders the architectural conversation around lanes, chokepoints, and bases. A JPL proposal adopting the frame should say outright that the lane structure is being argued on propellant supply geometry rather than on the orbit family, since that is what the empirical evidence backs [1, 4]. A proposal that runs the frame at the narrative level while making the technical case on supply geometry sits with the dissertation’s findings; a proposal that runs the frame to argue for an orbit anchor on its own merits does not.</w:t>
      </w:r>
    </w:p>
    <w:bookmarkEnd w:id="109"/>
    <w:bookmarkStart w:id="110" w:name="limitations"/>
    <w:p>
      <w:pPr>
        <w:pStyle w:val="Heading2"/>
        <w:spacing w:line="480" w:lineRule="auto"/>
      </w:pPr>
      <w:r>
        <w:t xml:space="preserve">7.4 Limitations</w:t>
      </w:r>
    </w:p>
    <w:p>
      <w:pPr>
        <w:pStyle w:val="FirstParagraph"/>
        <w:spacing w:line="480" w:lineRule="auto"/>
      </w:pPr>
      <w:r>
        <w:t xml:space="preserve">Four classes of limitation hem in the findings, and decision makers should keep them in view when reading the implications above.</w:t>
      </w:r>
    </w:p>
    <w:p>
      <w:pPr>
        <w:pStyle w:val="BodyText"/>
        <w:spacing w:line="480" w:lineRule="auto"/>
        <w:ind w:firstLine="720"/>
      </w:pPr>
      <w:r>
        <w:t xml:space="preserve">Construct validity on the dependent variable heads the list. Reachability share in Paper 1 is one operationalization of strategic position, and it may underweight the political-economic and observational factors the Mahanian analogy foregrounds. Computed against a fixed transfer catalogue assembled from the published trajectory literature [1, 4, 5], the reachability metric would shift the coefficients on the observation accessibility index under a differently weighted catalogue, one built say around time-critical military transfers or science-driven observation campaigns, and could plausibly recover a residual libration premium the present catalogue misses. Time-to-first-flight in Paper 2 is likewise one operationalization of schedule and says nothing about program cost, technical risk, or post-flight operational tempo. So the implications above run conditional on these particular operationalizations, and should be read that way.</w:t>
      </w:r>
    </w:p>
    <w:p>
      <w:pPr>
        <w:pStyle w:val="BodyText"/>
        <w:spacing w:line="480" w:lineRule="auto"/>
        <w:ind w:firstLine="720"/>
      </w:pPr>
      <w:r>
        <w:t xml:space="preserve">Selection in the source data comes next. A comparatively small number of source studies, several Gateway-adjacent in design, dominates the trajectory and astrodynamics catalogue [1, 4, 22]. Should the published trajectory literature over-represent architectures routing through NRHO and Gateway, the reachability metric tilts toward node classes that service Gateway, and the propellant supply geometry index turns endogenous to the very architectural choices the model means to predict. The Paper 2 sample is likewise bounded by the population of programs whose status was recoverable from open documentation by the data cutoff</w:t>
      </w:r>
      <w:r>
        <w:t xml:space="preserve"> </w:t>
      </w:r>
      <w:hyperlink w:anchor="ref-26">
        <w:r>
          <w:rPr>
            <w:rStyle w:val="Hyperlink"/>
          </w:rPr>
          <w:t xml:space="preserve">[26]</w:t>
        </w:r>
      </w:hyperlink>
      <w:r>
        <w:t xml:space="preserve">, a handful of duration values flagged illustrative. None of this invalidates the findings, but it constrains the inferences and explains why both papers press directional readings of the coefficients rather than confident point estimates.</w:t>
      </w:r>
    </w:p>
    <w:p>
      <w:pPr>
        <w:pStyle w:val="BodyText"/>
        <w:spacing w:line="480" w:lineRule="auto"/>
        <w:ind w:firstLine="720"/>
      </w:pPr>
      <w:r>
        <w:t xml:space="preserve">Dependence across observations follows. Node placements within the same class share dynamical structure and observation geometry [5, 6, 7]. Programs within the same architecture share design heritage, contractor base, and institutional review pathway. So the independence assumption that both an ordinary least squares specification and a Cox proportional-hazards specification rest on runs approximate rather than strict, and the cluster-robust inference and stratified survival analyses reported in Papers 1 and 2 soften but do not erase the dependence. The upshot is that the confidence intervals reported in the empirical chapters should be read as lower bounds on the true uncertainty.</w:t>
      </w:r>
    </w:p>
    <w:p>
      <w:pPr>
        <w:pStyle w:val="BodyText"/>
        <w:spacing w:line="480" w:lineRule="auto"/>
        <w:ind w:firstLine="720"/>
      </w:pPr>
      <w:r>
        <w:t xml:space="preserve">Statistical power, the most consequential for inference, comes fourth. Paper 2’s thirty-two programs and twenty-two events fall under the power threshold needed to tell the geography channel from the cargo-class channel with high confidence at the 0.05 level. The directional readings the chapter offers hold up at the present sample size, but the strict-inference negative result on H1 in Paper 2 has to travel alongside the directional positive reading, and program managers and JPL decision makers drawing on the findings should weight the implications to match. The empirical record will firm up as the next Artemis flights, the next Commercial Lunar Payload Services cohort, and the Gateway Power and Propulsion Element and Habitation and Logistics Outpost milestones clear their event windows over the next several years</w:t>
      </w:r>
      <w:r>
        <w:t xml:space="preserve"> </w:t>
      </w:r>
      <w:hyperlink w:anchor="ref-26">
        <w:r>
          <w:rPr>
            <w:rStyle w:val="Hyperlink"/>
          </w:rPr>
          <w:t xml:space="preserve">[26]</w:t>
        </w:r>
      </w:hyperlink>
      <w:r>
        <w:t xml:space="preserve">.</w:t>
      </w:r>
    </w:p>
    <w:p>
      <w:pPr>
        <w:pStyle w:val="BodyText"/>
        <w:spacing w:line="480" w:lineRule="auto"/>
        <w:ind w:firstLine="720"/>
      </w:pPr>
      <w:r>
        <w:t xml:space="preserve">A fifth and narrower limitation belongs here for completeness. The dissertation’s external-validity statement is pinned at the present generation of cislunar mission designs and the supply geometry assumptions underwriting them [1, 3, 4]. As the trajectory catalogue grows, as new propellant logistics concepts mature, and as the polar surface architecture moves from feasibility envelopes to operational programs</w:t>
      </w:r>
      <w:r>
        <w:t xml:space="preserve"> </w:t>
      </w:r>
      <w:hyperlink w:anchor="ref-3">
        <w:r>
          <w:rPr>
            <w:rStyle w:val="Hyperlink"/>
          </w:rPr>
          <w:t xml:space="preserve">[3]</w:t>
        </w:r>
      </w:hyperlink>
      <w:r>
        <w:t xml:space="preserve">, the reachability and survival models want re-estimating on the expanded record. The conditional reading the dissertation defends is robust to that expansion in expectation; the specific coefficients are not.</w:t>
      </w:r>
    </w:p>
    <w:bookmarkEnd w:id="110"/>
    <w:bookmarkStart w:id="111" w:name="future-research"/>
    <w:p>
      <w:pPr>
        <w:pStyle w:val="Heading2"/>
        <w:spacing w:line="480" w:lineRule="auto"/>
      </w:pPr>
      <w:r>
        <w:t xml:space="preserve">7.5 Future Research</w:t>
      </w:r>
    </w:p>
    <w:p>
      <w:pPr>
        <w:pStyle w:val="FirstParagraph"/>
        <w:spacing w:line="480" w:lineRule="auto"/>
      </w:pPr>
      <w:r>
        <w:t xml:space="preserve">Five research directions carry the dissertation forward in ways that would directly strengthen the evidence base under the program management and JPL decision-making implications.</w:t>
      </w:r>
    </w:p>
    <w:p>
      <w:pPr>
        <w:pStyle w:val="BodyText"/>
        <w:spacing w:line="480" w:lineRule="auto"/>
        <w:ind w:firstLine="720"/>
      </w:pPr>
      <w:r>
        <w:t xml:space="preserve">A first direction widens the transfer catalogue past the published Acta Astronautica and AMOS record Paper 1 was built on. A reachability dataset taking in classified or restricted military transfer cases, time-critical science transfers, and the Moon to Mars architecture’s projected trajectory set</w:t>
      </w:r>
      <w:r>
        <w:t xml:space="preserve"> </w:t>
      </w:r>
      <w:hyperlink w:anchor="ref-50">
        <w:r>
          <w:rPr>
            <w:rStyle w:val="Hyperlink"/>
          </w:rPr>
          <w:t xml:space="preserve">[50]</w:t>
        </w:r>
      </w:hyperlink>
      <w:r>
        <w:t xml:space="preserve"> </w:t>
      </w:r>
      <w:r>
        <w:t xml:space="preserve">would test whether the residual libration premium the present model misses surfaces under a different catalogue weighting. Since the supply geometry index reconstructs for each new transfer class, the model ports to an expanded catalogue without redesign.</w:t>
      </w:r>
    </w:p>
    <w:p>
      <w:pPr>
        <w:pStyle w:val="BodyText"/>
        <w:spacing w:line="480" w:lineRule="auto"/>
        <w:ind w:firstLine="720"/>
      </w:pPr>
      <w:r>
        <w:t xml:space="preserve">A second direction grows the Paper 2 survival sample beyond thirty-two programs and twenty-two events. Additional Artemis flights, the next Commercial Lunar Payload Services cohort, the Gateway Power and Propulsion Element and Habitation and Logistics Outpost milestones, and the international lunar programs whose authorization windows fall over the next several years will all lift the event count. A re-estimated Cox proportional-hazards model on roughly fifty programs and forty events would carry the power to tell the geography channel from the cargo channel at conventional inference thresholds, and would either confirm or revise the directional reading this chapter defends.</w:t>
      </w:r>
    </w:p>
    <w:p>
      <w:pPr>
        <w:pStyle w:val="BodyText"/>
        <w:spacing w:line="480" w:lineRule="auto"/>
        <w:ind w:firstLine="720"/>
      </w:pPr>
      <w:r>
        <w:t xml:space="preserve">A third direction models the observation accessibility channel with the same rigor the propellant supply geometry channel already gets. Drawing on cislunar space domain awareness work treating libration manifolds and observation constellation geometry [5, 6, 7], the present observation accessibility index is comparatively coarse and may underweight the value of L1 and L2 vantage for time-critical observation. A future model building a richer observation accessibility index, perhaps along the lines of the manifold accessibility tables in the AMOS literature and the cislunar dynamics work behind them [6, 7], could recover a libration premium on observation reach the present specification misses.</w:t>
      </w:r>
    </w:p>
    <w:p>
      <w:pPr>
        <w:pStyle w:val="BodyText"/>
        <w:spacing w:line="480" w:lineRule="auto"/>
        <w:ind w:firstLine="720"/>
      </w:pPr>
      <w:r>
        <w:t xml:space="preserve">A fourth direction folds in the political-economic factors the Mahanian frame foregrounds but the reachability metric skips. The space-economy literature on resource markets, on architectural socio-technological transformation of space-use norms, and on whole-of-nation framing offers candidate covariates for a richer model of strategic position [8, 11, 12]. A design supplementing reachability share with a market-relevance weight drawn from the space-economy record would test whether the political-economic premium the doctrinal frame predicts is already captured by the engineering metrics or runs as a separable channel.</w:t>
      </w:r>
    </w:p>
    <w:p>
      <w:pPr>
        <w:pStyle w:val="BodyText"/>
        <w:spacing w:line="480" w:lineRule="auto"/>
        <w:ind w:firstLine="720"/>
      </w:pPr>
      <w:r>
        <w:t xml:space="preserve">A fifth direction lifts the spatial reachability model and the temporal survival model into a single integrated specification. As it stands the dissertation runs the two papers as complementary tests on different units of analysis. A future model joining them, letting each program carry both a reachability score on its anchor node and a hazard on its event window, would allow direct estimation of the geography-as-reach and geography-as-schedule channels in the same likelihood, and would clarify whether the supply geometry channel absorbing the reachability variance in Paper 1 is the same latent variable as the cargo-mediated schedule channel in Paper 2. That integrated specification is the natural next step from the dissertation’s reading that reach and schedule are two faces of a single architecture-mediated geography.</w:t>
      </w:r>
    </w:p>
    <w:bookmarkEnd w:id="111"/>
    <w:bookmarkStart w:id="112" w:name="X5c3291c836475b372e3b3d8b8165b76f369b194"/>
    <w:p>
      <w:pPr>
        <w:pStyle w:val="Heading2"/>
        <w:spacing w:line="480" w:lineRule="auto"/>
      </w:pPr>
      <w:r>
        <w:t xml:space="preserve">7.6 Closing Statement of the Conditional Reading</w:t>
      </w:r>
    </w:p>
    <w:p>
      <w:pPr>
        <w:pStyle w:val="FirstParagraph"/>
        <w:spacing w:line="480" w:lineRule="auto"/>
      </w:pPr>
      <w:r>
        <w:t xml:space="preserve">The dissertation set out to test whether logistics-base geography predicts strategic position in the Earth-Moon system, and on the present evidence the answer came back conditional. Geography predicts strategic position where the supply geometry that wraps the geography is itself in place. The Mahanian frame lives through the empirical encounter, but in a chastened form: the lane is real, the chokepoint is real, and the base is real, yet the strategic premium the frame hangs on the geography lives in the engineering of supply and observation rather than in the orbit family or the surface site taken alone. For NASA program management that makes supply geometry, not orbit class, the primary architectural variable. For JPL decision-making it makes the in-house capability to design, fly, and operate the supply geometry a primary strategic asset rather than a support function. For the doctrinal literature it makes the analogy useful for ordering the questions and inadequate for assigning the answers. The empirical record will firm up, the integrated specification will get built, and the conditional reading will face testing again as the cislunar architecture moves from feasibility envelopes to operational programs.</w:t>
      </w:r>
    </w:p>
    <w:bookmarkEnd w:id="112"/>
    <w:bookmarkEnd w:id="113"/>
    <w:bookmarkStart w:id="191" w:name="chapter-8.-conclusion"/>
    <w:p>
      <w:pPr>
        <w:pStyle w:val="Heading1"/>
        <w:spacing w:line="480" w:lineRule="auto"/>
      </w:pPr>
      <w:r>
        <w:t xml:space="preserve">Chapter 8. Conclusion</w:t>
      </w:r>
    </w:p>
    <w:bookmarkStart w:id="114" w:name="recapitulation-of-the-argument"/>
    <w:p>
      <w:pPr>
        <w:pStyle w:val="Heading2"/>
        <w:spacing w:line="480" w:lineRule="auto"/>
      </w:pPr>
      <w:r>
        <w:t xml:space="preserve">8.1 Recapitulation of the Argument</w:t>
      </w:r>
    </w:p>
    <w:p>
      <w:pPr>
        <w:pStyle w:val="FirstParagraph"/>
        <w:spacing w:line="480" w:lineRule="auto"/>
      </w:pPr>
      <w:r>
        <w:t xml:space="preserve">This dissertation posed a single, falsifiable question. Does logistics-base geography, recast from classical sea-power doctrine into the language of cislunar astrodynamics, predict strategic position in the Earth-Moon system? The prospectus framed the inquiry around three operationally distinct node classes that now organise public and commercial planning for cislunar activity. Near Rectilinear Halo Orbit placements anchored on the Gateway architecture, collinear libration nodes around L1 and L2, and lunar south-polar surface sites adjacent to ice-bearing permanently shadowed regions exhaust the categories within which present-generation programs are sited [1, 3, 4]. Transposed into this geometry, the Mahanian claim predicts that the location class of a candidate base node should exhibit a residual association with reachability and with schedule once the propellant supply architecture and the observation geometry layered on top of that location are partialled out. The dissertation tested both sides of that prediction, the spatial side through an ordinary least squares model of reachability share across thirty-two candidate placements and the temporal side through a Cox proportional-hazards model of time-to-first-flight across thirty-two lunar and cislunar programs of record running from 2003 through 2026.</w:t>
      </w:r>
    </w:p>
    <w:p>
      <w:pPr>
        <w:pStyle w:val="BodyText"/>
        <w:spacing w:line="480" w:lineRule="auto"/>
        <w:ind w:firstLine="720"/>
      </w:pPr>
      <w:r>
        <w:t xml:space="preserve">Taken together, the findings support a reading of the doctrine sharper and more disciplined than the maritime analogy as it has been deployed in the public discourse. On the spatial side, the OLS specification fitted in Paper 1 explained essentially all of the variation in reachability share across the candidate placements once propellant supply geometry was included in the regressor set. The propellant supply geometry index carried a coefficient indistinguishable from unity at conventional levels of confidence, while the NRHO indicator, after that channel was partialled out, turned slightly negative and statistically distinguishable from zero at the one percent level. The libration indicator and the observation accessibility index were not distinguishable from zero. The headline reading is that the apparent geometric privilege of NRHO operates almost entirely through the propellant supply architecture grafted onto it rather than through any residual locational premium attaching to the orbit class itself [1, 3, 4]. On the temporal side, the Cox model fitted in Paper 2 carried hazard ratios running in the doctrinally predicted direction for both the polar-node and the NRHO-node covariates, but with confidence intervals that crossed unity at the conventional threshold. The cargo-class coefficient approached significance and pointed to a slower schedule for crew-class and large-cargo programs. The propellant supply index in the temporal sample carried a negative sign that reflected, on inspection, the joint development overhead of the programs that had invested in propellant architecture rather than a discount on the supply lever itself [8, 9, 10].</w:t>
      </w:r>
    </w:p>
    <w:bookmarkEnd w:id="114"/>
    <w:bookmarkStart w:id="115" w:name="what-the-two-tests-say-in-concert"/>
    <w:p>
      <w:pPr>
        <w:pStyle w:val="Heading2"/>
        <w:spacing w:line="480" w:lineRule="auto"/>
      </w:pPr>
      <w:r>
        <w:t xml:space="preserve">8.2 What the Two Tests Say in Concert</w:t>
      </w:r>
    </w:p>
    <w:p>
      <w:pPr>
        <w:pStyle w:val="FirstParagraph"/>
        <w:spacing w:line="480" w:lineRule="auto"/>
      </w:pPr>
      <w:r>
        <w:t xml:space="preserve">The two papers are best read in concert. The spatial test demonstrates that the geography premium is a propellant-architecture premium once the artefacts of node class are stripped away. The temporal test demonstrates that the geography signal is empirically alive in the operational program sample but that the sample falls below the power threshold required to distinguish the geography channel from the cargo-class channel under strict inference. Where these two findings converge is the central empirical contribution of the dissertation. Mahanian doctrine, faithfully transposed, does not predict that NRHO, L1, L2, or the lunar south pole are intrinsically advantaged. It predicts that the base whose surrounding architecture closes the cost of delivering force or logistics to the contested operating area will dominate the reachability frontier and will move toward first flight sooner [11, 12]. The empirical record, on the data available, supports that prediction in its architecture-mediated form and does not support it in its naive geometric form. The reasoning literature on reusable orbital transfer between propellant infrastructure and Gateway</w:t>
      </w:r>
      <w:r>
        <w:t xml:space="preserve"> </w:t>
      </w:r>
      <w:hyperlink w:anchor="ref-1">
        <w:r>
          <w:rPr>
            <w:rStyle w:val="Hyperlink"/>
          </w:rPr>
          <w:t xml:space="preserve">[1]</w:t>
        </w:r>
      </w:hyperlink>
      <w:r>
        <w:t xml:space="preserve">, on optimal low-thrust transfers connecting Gateway with Earth and Moon</w:t>
      </w:r>
      <w:r>
        <w:t xml:space="preserve"> </w:t>
      </w:r>
      <w:hyperlink w:anchor="ref-4">
        <w:r>
          <w:rPr>
            <w:rStyle w:val="Hyperlink"/>
          </w:rPr>
          <w:t xml:space="preserve">[4]</w:t>
        </w:r>
      </w:hyperlink>
      <w:r>
        <w:t xml:space="preserve">, and on cislunar manifold accessibility [6, 7] all becomes legible under this reading as evidence that location is doctrinally inert until an architecture endows it with supply and observation geometry.</w:t>
      </w:r>
    </w:p>
    <w:p>
      <w:pPr>
        <w:pStyle w:val="BodyText"/>
        <w:spacing w:line="480" w:lineRule="auto"/>
        <w:ind w:firstLine="720"/>
      </w:pPr>
      <w:r>
        <w:t xml:space="preserve">The reading also clarifies a recurring confusion in the public commentary on cislunar competition. Statements that the lunar south pole is strategically decisive, or that NRHO is the indispensable anchor of the Earth-Moon system, conflate the resource and operational properties of a site with the architectural investments that turn those properties into reachability and schedule. McKeown and colleagues are explicit that south-polar resource access is necessary but not sufficient for a mining-feasibility case, and that the supply geometry built on top of the site is what closes the case [3, 8]. Kikuchi and Ueda demonstrate that the value of an NRHO node is realised through the reusable orbital transfer vehicle architecture that uses the orbit as an aggregation point, not through the orbit’s geometric properties considered in isolation</w:t>
      </w:r>
      <w:r>
        <w:t xml:space="preserve"> </w:t>
      </w:r>
      <w:hyperlink w:anchor="ref-1">
        <w:r>
          <w:rPr>
            <w:rStyle w:val="Hyperlink"/>
          </w:rPr>
          <w:t xml:space="preserve">[1]</w:t>
        </w:r>
      </w:hyperlink>
      <w:r>
        <w:t xml:space="preserve">. The libration literature [5, 6, 7] demonstrates that the dynamical structure of L1 and L2 is what makes a constellation siting decision tractable, but the constellation itself is the architectural investment that yields the observation budget. In each case the literature, read carefully, is consistent with the architecture-mediated reading the dissertation has produced.</w:t>
      </w:r>
    </w:p>
    <w:bookmarkEnd w:id="115"/>
    <w:bookmarkStart w:id="116" w:name="contribution-to-knowledge"/>
    <w:p>
      <w:pPr>
        <w:pStyle w:val="Heading2"/>
        <w:spacing w:line="480" w:lineRule="auto"/>
      </w:pPr>
      <w:r>
        <w:t xml:space="preserve">8.3 Contribution to Knowledge</w:t>
      </w:r>
    </w:p>
    <w:p>
      <w:pPr>
        <w:pStyle w:val="FirstParagraph"/>
        <w:spacing w:line="480" w:lineRule="auto"/>
      </w:pPr>
      <w:r>
        <w:t xml:space="preserve">The contribution of the dissertation to the scholarly record is fourfold, and it is intentionally narrower than the rhetorical range of the maritime analogy as it has been used in public commentary.</w:t>
      </w:r>
    </w:p>
    <w:p>
      <w:pPr>
        <w:pStyle w:val="BodyText"/>
        <w:spacing w:line="480" w:lineRule="auto"/>
        <w:ind w:firstLine="720"/>
      </w:pPr>
      <w:r>
        <w:t xml:space="preserve">The dissertation provides, to begin with, the first published falsifiable mapping from a Mahanian</w:t>
      </w:r>
      <w:r>
        <w:t xml:space="preserve"> </w:t>
      </w:r>
      <w:r>
        <w:t xml:space="preserve">“chokepoint plus base”</w:t>
      </w:r>
      <w:r>
        <w:t xml:space="preserve"> </w:t>
      </w:r>
      <w:r>
        <w:t xml:space="preserve">claim to a cislunar reachability metric grounded in published astrodynamics and to a survival metric grounded in the program-of-record archive [1, 4, 5, 6, 7]. Reachability share and time-to-first-flight, the two dependent constructs, are both operationalisations that can be reproduced from open data and that subsequent work can challenge or extend. The construct boundary is explicit and the operationalisation is transparent. Where the maritime analogy has been a generative metaphor in cislunar commentary, the dissertation converts it into a hypothesis that subsequent empirical work can reject.</w:t>
      </w:r>
    </w:p>
    <w:p>
      <w:pPr>
        <w:pStyle w:val="BodyText"/>
        <w:spacing w:line="480" w:lineRule="auto"/>
        <w:ind w:firstLine="720"/>
      </w:pPr>
      <w:r>
        <w:t xml:space="preserve">The dissertation establishes, second, that the geography premium in the cislunar volume, on the data available, is an architecture premium. Investment in propellant supply geometry and in observation constellation siting carries the reachability signal almost entirely; node class, once those channels are partialled out, carries little residual signal and turns slightly adverse in the NRHO case [1, 4]. This finding redirects the force-posture and resource-allocation debate from a competition over orbital real estate to a competition over the architectural investments that turn real estate into reach. That redirection has consequences for the way appropriations conversations, sponsor briefings, and capability portfolios are framed, and the dissertation supplies the empirical anchor for it.</w:t>
      </w:r>
    </w:p>
    <w:p>
      <w:pPr>
        <w:pStyle w:val="BodyText"/>
        <w:spacing w:line="480" w:lineRule="auto"/>
        <w:ind w:firstLine="720"/>
      </w:pPr>
      <w:r>
        <w:t xml:space="preserve">The dissertation contributes, third, a reproducible analytical procedure that pairs an OLS reachability regression with a Cox proportional-hazards survival model over a thirty-two-program operational sample. Implemented in transparent Python tooling, the procedure codes its input tables from open-access sources [1, 3, 4, 5, 6, 7, 8, 9, 10], constructs the propellant supply index from the optimal-transfer literature, and documents the censoring discipline to the program level. Subsequent investigators can extend the sample as the next Artemis flights and the next Commercial Lunar Payload Services cohort clear their event windows. The Cox specification is the natural extension when those events are recorded.</w:t>
      </w:r>
    </w:p>
    <w:p>
      <w:pPr>
        <w:pStyle w:val="BodyText"/>
        <w:spacing w:line="480" w:lineRule="auto"/>
        <w:ind w:firstLine="720"/>
      </w:pPr>
      <w:r>
        <w:t xml:space="preserve">The dissertation contributes, fourth, a disciplined doctrinal reading that distinguishes the architecture-mediated reading of Mahan from the naive geometric reading. The architecture-mediated reading is the doctrinally faithful one. Mahan’s argument about coaling stations was always an argument about the architecture of supply, observation, and political alignment that endowed a port with strategic value; it was not an argument about the longitude and latitude of the port itself [11, 12]. Properly stated, the cislunar analogue is an argument about the architecture of propellant supply, observation accessibility, and program alignment that endows a node class with reach and schedule. The dissertation supplies the empirical case for that reading.</w:t>
      </w:r>
    </w:p>
    <w:bookmarkEnd w:id="116"/>
    <w:bookmarkStart w:id="117" w:name="X1d5ce84676a2b92670220ac34bff7d8db32b60f"/>
    <w:p>
      <w:pPr>
        <w:pStyle w:val="Heading2"/>
        <w:spacing w:line="480" w:lineRule="auto"/>
      </w:pPr>
      <w:r>
        <w:t xml:space="preserve">8.4 Implications for Strategy, Investment, and Future Research</w:t>
      </w:r>
    </w:p>
    <w:p>
      <w:pPr>
        <w:pStyle w:val="FirstParagraph"/>
        <w:spacing w:line="480" w:lineRule="auto"/>
      </w:pPr>
      <w:r>
        <w:t xml:space="preserve">Three classes of consequence follow from the empirical findings and the contribution to knowledge.</w:t>
      </w:r>
    </w:p>
    <w:p>
      <w:pPr>
        <w:pStyle w:val="BodyText"/>
        <w:spacing w:line="480" w:lineRule="auto"/>
        <w:ind w:firstLine="720"/>
      </w:pPr>
      <w:r>
        <w:t xml:space="preserve">For strategy, the consequence is that the cislunar force-posture conversation should be reframed around architectural choice rather than around orbital real estate. The decision to invest in a reusable orbital transfer vehicle line, in Gateway propellant aggregation, in a cislunar observation constellation across L1 and L2, or in south-polar surface logistics is the decision that moves the reachability frontier. Selecting between NRHO, libration, and surface placements without the corresponding architectural investment is a sterile decision under the data presented [1, 4, 6, 7]. The Mahanian frame, used to justify the seizure of a particular orbital location without the corresponding architectural investment, is decorative and should be set aside.</w:t>
      </w:r>
    </w:p>
    <w:p>
      <w:pPr>
        <w:pStyle w:val="BodyText"/>
        <w:spacing w:line="480" w:lineRule="auto"/>
        <w:ind w:firstLine="720"/>
      </w:pPr>
      <w:r>
        <w:t xml:space="preserve">For investment, the consequence is that the propellant supply geometry index, however imperfectly it is constructed from the present trajectory literature, is the lever the empirical record identifies. The index aggregates the published numerical results on reusable transfer between propellant infrastructure and Gateway and on optimal low-thrust transfers connecting Gateway with Earth and Moon [1, 4]. The investment programmes that build out that geometry, whether public propellant depots, commercial transfer vehicle lines, or in-situ resource utilisation pipelines from the lunar south pole [3, 8], are the ones the doctrine, properly stated, endorses. The space-economy literature on cislunar markets and on the whole-of-nation imperative provides the demand-side framing within which those investments will be evaluated [9, 10].</w:t>
      </w:r>
    </w:p>
    <w:p>
      <w:pPr>
        <w:pStyle w:val="BodyText"/>
        <w:spacing w:line="480" w:lineRule="auto"/>
        <w:ind w:firstLine="720"/>
      </w:pPr>
      <w:r>
        <w:t xml:space="preserve">For future research, the consequence is that the analytical procedure should be re-run as the operational sample grows and as the trajectory catalogue is extended. Three specific extensions are warranted. The first is the inclusion of time-critical military transfers in the reachability catalogue, which the discussion in Paper 1 identified as the most likely source of a shift in the coefficient on the observation accessibility index. The second is the construction of an independent demand-weighting derived from the space-economy literature on cislunar depots and lunar bases, which would test whether the architecture-mediated reading survives a reweighting toward commercial demand rather than mission-set supply [8, 9, 10]. The third is the extension of the Cox sample to include the next two Artemis flights, the next Commercial Lunar Payload Services cohort, and the next generation of international lunar programs, which should bring the geography channel above the power threshold under strict inference. Each extension is achievable with the procedure as documented and with the open-access data sources catalogued in the dissertation.</w:t>
      </w:r>
    </w:p>
    <w:bookmarkEnd w:id="117"/>
    <w:bookmarkStart w:id="118" w:name="limits-acknowledged"/>
    <w:p>
      <w:pPr>
        <w:pStyle w:val="Heading2"/>
        <w:spacing w:line="480" w:lineRule="auto"/>
      </w:pPr>
      <w:r>
        <w:t xml:space="preserve">8.5 Limits Acknowledged</w:t>
      </w:r>
    </w:p>
    <w:p>
      <w:pPr>
        <w:pStyle w:val="FirstParagraph"/>
        <w:spacing w:line="480" w:lineRule="auto"/>
      </w:pPr>
      <w:r>
        <w:t xml:space="preserve">The dissertation does not claim more than the data support. Reachability share is one operationalisation of strategic position and underweights political-economic factors the Mahanian analogy itself foregrounds. The transfer catalogue is dominated by Gateway-adjacent designs and may be biased toward node classes that service Gateway, although the dissertation reported both weighted and unweighted estimates within the limits of the available data [1, 4]. The Cox sample of thirty-two programs falls below the power threshold required to distinguish the geography channel from the cargo-class channel under strict inference, and the negative sign on the propellant supply index in that sample reflects the joint development overhead of the programs that have invested in propellant architecture rather than a discount on the supply lever itself. Each of these limitations is documented in the underlying papers and is recoverable from the published tables and figures.</w:t>
      </w:r>
    </w:p>
    <w:p>
      <w:pPr>
        <w:pStyle w:val="BodyText"/>
        <w:spacing w:line="480" w:lineRule="auto"/>
        <w:ind w:firstLine="720"/>
      </w:pPr>
      <w:r>
        <w:t xml:space="preserve">The dissertation also restricts its horizon to the present generation of cislunar mission designs. The trajectory catalogue terminates in 2026, and the operational sample is bounded by the data cutoff of October 2026. The findings apply to the present generation and should be re-tested as the catalogue grows. The doctrinal reading, however, is not bounded in the same way; the architecture-mediated reading of Mahan is a claim about how location acquires strategic value, and that claim is not contingent on the particular catalogue from which the reachability metric is computed.</w:t>
      </w:r>
    </w:p>
    <w:bookmarkEnd w:id="118"/>
    <w:bookmarkStart w:id="119" w:name="closing-statement"/>
    <w:p>
      <w:pPr>
        <w:pStyle w:val="Heading2"/>
        <w:spacing w:line="480" w:lineRule="auto"/>
      </w:pPr>
      <w:r>
        <w:t xml:space="preserve">8.6 Closing Statement</w:t>
      </w:r>
    </w:p>
    <w:p>
      <w:pPr>
        <w:pStyle w:val="FirstParagraph"/>
        <w:spacing w:line="480" w:lineRule="auto"/>
      </w:pPr>
      <w:r>
        <w:t xml:space="preserve">The cislunar volume is now organised around a small set of base classes that public and commercial planning has identified and that the trajectory and space-domain-awareness literatures have characterised in high fidelity [1, 2, 3, 4, 5, 6, 7]. Pervasive throughout the commentary has been the temptation to read those base classes through the maritime analogy and to declare that one or another of them is intrinsically privileged. The dissertation tested that temptation against the underlying astrodynamics and against the program-of-record archive and found that the temptation, in its naive geometric form, does not survive the data. What survives, and what the dissertation has contributed to the scholarly record, is the architecture-mediated reading of Mahan: the doctrinal claim that location acquires strategic value through the architecture of supply, observation, and program alignment grafted onto it, and that the reachability and schedule premia attached to a base class are the empirical signatures of that architecture. On this reading, the cislunar sea is neither a featureless volume in which any node will do nor a deterministic geometry in which the orbital family is destiny. It is, as Mahan himself would have recognised, a domain in which the fleet that builds the supply lines, sites the observation posts, and aligns the programs will dominate the reachability frontier and will move toward first flight sooner than its competitors [11, 12]. What this dissertation contributes is to have made that claim falsifiable, to have tested it on the data available, and to have left a reproducible procedure by which subsequent investigators can extend, challenge, or overturn the test as the cislunar architecture continues to take shape.</w:t>
      </w:r>
    </w:p>
    <w:bookmarkEnd w:id="119"/>
    <w:bookmarkStart w:id="190" w:name="references"/>
    <w:p>
      <w:pPr>
        <w:pStyle w:val="Heading2"/>
        <w:spacing w:line="480" w:lineRule="auto"/>
      </w:pPr>
      <w:r>
        <w:t xml:space="preserve">References</w:t>
      </w:r>
    </w:p>
    <w:p>
      <w:pPr>
        <w:pStyle w:val="FirstParagraph"/>
        <w:spacing w:line="480" w:lineRule="auto"/>
      </w:pPr>
      <w:bookmarkStart w:id="120" w:name="ref-1"/>
      <w:bookmarkEnd w:id="120"/>
      <w:r>
        <w:t xml:space="preserve">1. J. Kikuchi and S. Ueda,</w:t>
      </w:r>
      <w:r>
        <w:t xml:space="preserve"> </w:t>
      </w:r>
      <w:r>
        <w:t xml:space="preserve">“Cislunar transfer trajectory for reusable OTV via NRHO between Propellant Infrastructure and gateway,”</w:t>
      </w:r>
      <w:r>
        <w:t xml:space="preserve"> </w:t>
      </w:r>
      <w:r>
        <w:t xml:space="preserve">Acta Astronautica, vol. 236, 2025, doi:</w:t>
      </w:r>
      <w:r>
        <w:t xml:space="preserve"> </w:t>
      </w:r>
      <w:hyperlink r:id="rId121">
        <w:r>
          <w:rPr>
            <w:rStyle w:val="Hyperlink"/>
          </w:rPr>
          <w:t xml:space="preserve">10.1016/j.actaastro.2025.06.038</w:t>
        </w:r>
      </w:hyperlink>
      <w:r>
        <w:t xml:space="preserve">.</w:t>
      </w:r>
    </w:p>
    <w:p>
      <w:pPr>
        <w:pStyle w:val="BodyText"/>
        <w:spacing w:line="480" w:lineRule="auto"/>
        <w:ind w:firstLine="720"/>
      </w:pPr>
      <w:bookmarkStart w:id="122" w:name="ref-2"/>
      <w:bookmarkEnd w:id="122"/>
      <w:r>
        <w:t xml:space="preserve">2. F. Colombi, A. Colagrossi, and M. Lavagna,</w:t>
      </w:r>
      <w:r>
        <w:t xml:space="preserve"> </w:t>
      </w:r>
      <w:r>
        <w:t xml:space="preserve">“Characterisation of 6DOF natural and controlled relative dynamics in cislunar space,”</w:t>
      </w:r>
      <w:r>
        <w:t xml:space="preserve"> </w:t>
      </w:r>
      <w:r>
        <w:t xml:space="preserve">Acta Astronautica, vol. 196, 2021, doi:</w:t>
      </w:r>
      <w:r>
        <w:t xml:space="preserve"> </w:t>
      </w:r>
      <w:hyperlink r:id="rId123">
        <w:r>
          <w:rPr>
            <w:rStyle w:val="Hyperlink"/>
          </w:rPr>
          <w:t xml:space="preserve">10.1016/j.actaastro.2021.01.017</w:t>
        </w:r>
      </w:hyperlink>
      <w:r>
        <w:t xml:space="preserve">.</w:t>
      </w:r>
    </w:p>
    <w:p>
      <w:pPr>
        <w:pStyle w:val="BodyText"/>
        <w:spacing w:line="480" w:lineRule="auto"/>
        <w:ind w:firstLine="720"/>
      </w:pPr>
      <w:bookmarkStart w:id="124" w:name="ref-3"/>
      <w:bookmarkEnd w:id="124"/>
      <w:r>
        <w:t xml:space="preserve">3. B. McKeown, A. G. Dempster, S. Saydam, and J. Coulton,</w:t>
      </w:r>
      <w:r>
        <w:t xml:space="preserve"> </w:t>
      </w:r>
      <w:r>
        <w:t xml:space="preserve">“Placing lunar resources research in the context of mining feasibility studies,”</w:t>
      </w:r>
      <w:r>
        <w:t xml:space="preserve"> </w:t>
      </w:r>
      <w:r>
        <w:t xml:space="preserve">Acta Astronautica, vol. 233, 2025, doi:</w:t>
      </w:r>
      <w:r>
        <w:t xml:space="preserve"> </w:t>
      </w:r>
      <w:hyperlink r:id="rId125">
        <w:r>
          <w:rPr>
            <w:rStyle w:val="Hyperlink"/>
          </w:rPr>
          <w:t xml:space="preserve">10.1016/j.actaastro.2025.04.041</w:t>
        </w:r>
      </w:hyperlink>
      <w:r>
        <w:t xml:space="preserve">.</w:t>
      </w:r>
    </w:p>
    <w:p>
      <w:pPr>
        <w:pStyle w:val="BodyText"/>
        <w:spacing w:line="480" w:lineRule="auto"/>
        <w:ind w:firstLine="720"/>
      </w:pPr>
      <w:bookmarkStart w:id="126" w:name="ref-4"/>
      <w:bookmarkEnd w:id="126"/>
      <w:r>
        <w:t xml:space="preserve">4. C. Pozzi, M. Pontani, A. Beolchi, and E. Fantino,</w:t>
      </w:r>
      <w:r>
        <w:t xml:space="preserve"> </w:t>
      </w:r>
      <w:r>
        <w:t xml:space="preserve">“Optimal low-thrust orbit transfers connecting Gateway with Earth and Moon,”</w:t>
      </w:r>
      <w:r>
        <w:t xml:space="preserve"> </w:t>
      </w:r>
      <w:r>
        <w:t xml:space="preserve">Acta Astronautica, vol. 228, 2024, doi:</w:t>
      </w:r>
      <w:r>
        <w:t xml:space="preserve"> </w:t>
      </w:r>
      <w:hyperlink r:id="rId127">
        <w:r>
          <w:rPr>
            <w:rStyle w:val="Hyperlink"/>
          </w:rPr>
          <w:t xml:space="preserve">10.1016/j.actaastro.2024.11.040</w:t>
        </w:r>
      </w:hyperlink>
      <w:r>
        <w:t xml:space="preserve">.</w:t>
      </w:r>
    </w:p>
    <w:p>
      <w:pPr>
        <w:pStyle w:val="BodyText"/>
        <w:spacing w:line="480" w:lineRule="auto"/>
        <w:ind w:firstLine="720"/>
      </w:pPr>
      <w:bookmarkStart w:id="128" w:name="ref-5"/>
      <w:bookmarkEnd w:id="128"/>
      <w:r>
        <w:t xml:space="preserve">5. M. Bolden, T. Craychee, and E. Griggs,</w:t>
      </w:r>
      <w:r>
        <w:t xml:space="preserve"> </w:t>
      </w:r>
      <w:r>
        <w:t xml:space="preserve">“An Evaluation of Observing Constellation Orbit Stability, Low Signal-to-Noise, and the Too-Short-Arc Challenges in the Cislunar Domain,”</w:t>
      </w:r>
      <w:r>
        <w:t xml:space="preserve"> </w:t>
      </w:r>
      <w:r>
        <w:t xml:space="preserve">Proc. Advanced Maui Optical and Space Surveillance Technologies (AMOS) Conference, 2020.</w:t>
      </w:r>
    </w:p>
    <w:p>
      <w:pPr>
        <w:pStyle w:val="BodyText"/>
        <w:spacing w:line="480" w:lineRule="auto"/>
        <w:ind w:firstLine="720"/>
      </w:pPr>
      <w:bookmarkStart w:id="129" w:name="ref-6"/>
      <w:bookmarkEnd w:id="129"/>
      <w:r>
        <w:t xml:space="preserve">6. A. J. Rosengren,</w:t>
      </w:r>
      <w:r>
        <w:t xml:space="preserve"> </w:t>
      </w:r>
      <w:r>
        <w:t xml:space="preserve">“Cislunar Multiscale Dynamics and Implications for SSA,”</w:t>
      </w:r>
      <w:r>
        <w:t xml:space="preserve"> </w:t>
      </w:r>
      <w:r>
        <w:t xml:space="preserve">Proc. Advanced Maui Optical and Space Surveillance Technologies (AMOS) Conference, 2021.</w:t>
      </w:r>
    </w:p>
    <w:p>
      <w:pPr>
        <w:pStyle w:val="BodyText"/>
        <w:spacing w:line="480" w:lineRule="auto"/>
        <w:ind w:firstLine="720"/>
      </w:pPr>
      <w:bookmarkStart w:id="130" w:name="ref-7"/>
      <w:bookmarkEnd w:id="130"/>
      <w:r>
        <w:t xml:space="preserve">7. R. Wright, L. Tafur, N. Owens Fahrner, and J. Wysack,</w:t>
      </w:r>
      <w:r>
        <w:t xml:space="preserve"> </w:t>
      </w:r>
      <w:r>
        <w:t xml:space="preserve">“Monitoring and Tracking Accessible Invariant Manifolds in The Cislunar Regime,”</w:t>
      </w:r>
      <w:r>
        <w:t xml:space="preserve"> </w:t>
      </w:r>
      <w:r>
        <w:t xml:space="preserve">Proc. Advanced Maui Optical and Space Surveillance Technologies (AMOS) Conference, 2023, doi:</w:t>
      </w:r>
      <w:r>
        <w:t xml:space="preserve"> </w:t>
      </w:r>
      <w:hyperlink r:id="rId131">
        <w:r>
          <w:rPr>
            <w:rStyle w:val="Hyperlink"/>
          </w:rPr>
          <w:t xml:space="preserve">10.64861/BVRP4972</w:t>
        </w:r>
      </w:hyperlink>
      <w:r>
        <w:t xml:space="preserve">.</w:t>
      </w:r>
    </w:p>
    <w:p>
      <w:pPr>
        <w:pStyle w:val="BodyText"/>
        <w:spacing w:line="480" w:lineRule="auto"/>
        <w:ind w:firstLine="720"/>
      </w:pPr>
      <w:bookmarkStart w:id="132" w:name="ref-8"/>
      <w:bookmarkEnd w:id="132"/>
      <w:r>
        <w:t xml:space="preserve">8. B. McKeown, A. G. Dempster, S. Saydam, and J. Coulton,</w:t>
      </w:r>
      <w:r>
        <w:t xml:space="preserve"> </w:t>
      </w:r>
      <w:r>
        <w:t xml:space="preserve">“How should potential space resources markets be evaluated?”</w:t>
      </w:r>
      <w:r>
        <w:t xml:space="preserve"> </w:t>
      </w:r>
      <w:r>
        <w:t xml:space="preserve">Acta Astronautica, vol. 245, 2026, doi:</w:t>
      </w:r>
      <w:r>
        <w:t xml:space="preserve"> </w:t>
      </w:r>
      <w:hyperlink r:id="rId133">
        <w:r>
          <w:rPr>
            <w:rStyle w:val="Hyperlink"/>
          </w:rPr>
          <w:t xml:space="preserve">10.1016/j.actaastro.2026.03.026</w:t>
        </w:r>
      </w:hyperlink>
      <w:r>
        <w:t xml:space="preserve">.</w:t>
      </w:r>
    </w:p>
    <w:p>
      <w:pPr>
        <w:pStyle w:val="BodyText"/>
        <w:spacing w:line="480" w:lineRule="auto"/>
        <w:ind w:firstLine="720"/>
      </w:pPr>
      <w:bookmarkStart w:id="134" w:name="ref-9"/>
      <w:bookmarkEnd w:id="134"/>
      <w:r>
        <w:t xml:space="preserve">9. Office of the Chief Economist and Analyst,</w:t>
      </w:r>
      <w:r>
        <w:t xml:space="preserve"> </w:t>
      </w:r>
      <w:r>
        <w:t xml:space="preserve">“Forecasting the Space Economy”</w:t>
      </w:r>
      <w:r>
        <w:t xml:space="preserve"> </w:t>
      </w:r>
      <w:r>
        <w:t xml:space="preserve">(OCEA), Space Economy Papers source SD08.</w:t>
      </w:r>
    </w:p>
    <w:p>
      <w:pPr>
        <w:pStyle w:val="BodyText"/>
        <w:spacing w:line="480" w:lineRule="auto"/>
        <w:ind w:firstLine="720"/>
      </w:pPr>
      <w:bookmarkStart w:id="135" w:name="ref-10"/>
      <w:bookmarkEnd w:id="135"/>
      <w:r>
        <w:t xml:space="preserve">10.</w:t>
      </w:r>
      <w:r>
        <w:t xml:space="preserve"> </w:t>
      </w:r>
      <w:r>
        <w:t xml:space="preserve">“The Space Imperative (Whole-of-Nation),”</w:t>
      </w:r>
      <w:r>
        <w:t xml:space="preserve"> </w:t>
      </w:r>
      <w:r>
        <w:t xml:space="preserve">Space Economy Papers source SD14.</w:t>
      </w:r>
    </w:p>
    <w:p>
      <w:pPr>
        <w:pStyle w:val="BodyText"/>
        <w:spacing w:line="480" w:lineRule="auto"/>
        <w:ind w:firstLine="720"/>
      </w:pPr>
      <w:bookmarkStart w:id="136" w:name="ref-11"/>
      <w:bookmarkEnd w:id="136"/>
      <w:r>
        <w:t xml:space="preserve">11. Stilwell, R., and colleagues. Architectural socio-technological transformative change of space-use norms. Space economy reference SD03.</w:t>
      </w:r>
    </w:p>
    <w:p>
      <w:pPr>
        <w:pStyle w:val="BodyText"/>
        <w:spacing w:line="480" w:lineRule="auto"/>
        <w:ind w:firstLine="720"/>
      </w:pPr>
      <w:bookmarkStart w:id="137" w:name="ref-12"/>
      <w:bookmarkEnd w:id="137"/>
      <w:r>
        <w:t xml:space="preserve">12. OCEA forecasting the space economy. Space economy reference SD08.</w:t>
      </w:r>
    </w:p>
    <w:p>
      <w:pPr>
        <w:pStyle w:val="BodyText"/>
        <w:spacing w:line="480" w:lineRule="auto"/>
        <w:ind w:firstLine="720"/>
      </w:pPr>
      <w:bookmarkStart w:id="138" w:name="ref-13"/>
      <w:bookmarkEnd w:id="138"/>
      <w:r>
        <w:t xml:space="preserve">13. Kikuchi, S., and Ueda, S. Reusable orbital transfer vehicle and NRHO-Gateway transfer architecture. Acta Astronautica 236, 2025. doi:</w:t>
      </w:r>
      <w:r>
        <w:t xml:space="preserve"> </w:t>
      </w:r>
      <w:hyperlink r:id="rId121">
        <w:r>
          <w:rPr>
            <w:rStyle w:val="Hyperlink"/>
          </w:rPr>
          <w:t xml:space="preserve">10.1016/j.actaastro.2025.06.038</w:t>
        </w:r>
      </w:hyperlink>
    </w:p>
    <w:p>
      <w:pPr>
        <w:pStyle w:val="BodyText"/>
        <w:spacing w:line="480" w:lineRule="auto"/>
        <w:ind w:firstLine="720"/>
      </w:pPr>
      <w:bookmarkStart w:id="139" w:name="ref-14"/>
      <w:bookmarkEnd w:id="139"/>
      <w:r>
        <w:t xml:space="preserve">14. Pozzi, C., Pontani, M., Beolchi, A., and Fantino, E. Optimal low-thrust Gateway-Earth-Moon transfers. Acta Astronautica 224, 2024. doi:</w:t>
      </w:r>
      <w:r>
        <w:t xml:space="preserve"> </w:t>
      </w:r>
      <w:hyperlink r:id="rId127">
        <w:r>
          <w:rPr>
            <w:rStyle w:val="Hyperlink"/>
          </w:rPr>
          <w:t xml:space="preserve">10.1016/j.actaastro.2024.11.040</w:t>
        </w:r>
      </w:hyperlink>
    </w:p>
    <w:p>
      <w:pPr>
        <w:pStyle w:val="BodyText"/>
        <w:spacing w:line="480" w:lineRule="auto"/>
        <w:ind w:firstLine="720"/>
      </w:pPr>
      <w:bookmarkStart w:id="140" w:name="ref-15"/>
      <w:bookmarkEnd w:id="140"/>
      <w:r>
        <w:t xml:space="preserve">15. Rosengren, A. J. Cislunar multiscale dynamics and L1-L2 libration accessibility. AMOS Conference Proceedings, 2021.</w:t>
      </w:r>
    </w:p>
    <w:p>
      <w:pPr>
        <w:pStyle w:val="BodyText"/>
        <w:spacing w:line="480" w:lineRule="auto"/>
        <w:ind w:firstLine="720"/>
      </w:pPr>
      <w:bookmarkStart w:id="141" w:name="ref-16"/>
      <w:bookmarkEnd w:id="141"/>
      <w:r>
        <w:t xml:space="preserve">16. Wright, T., Tafur, B., Owens Fahrner, J., and Wysack, J. Accessible invariant manifolds for cislunar operations. AMOS Conference Proceedings, 2023. doi:</w:t>
      </w:r>
      <w:r>
        <w:t xml:space="preserve"> </w:t>
      </w:r>
      <w:hyperlink r:id="rId131">
        <w:r>
          <w:rPr>
            <w:rStyle w:val="Hyperlink"/>
          </w:rPr>
          <w:t xml:space="preserve">10.64861/BVRP4972</w:t>
        </w:r>
      </w:hyperlink>
    </w:p>
    <w:p>
      <w:pPr>
        <w:pStyle w:val="BodyText"/>
        <w:spacing w:line="480" w:lineRule="auto"/>
        <w:ind w:firstLine="720"/>
      </w:pPr>
      <w:bookmarkStart w:id="142" w:name="ref-17"/>
      <w:bookmarkEnd w:id="142"/>
      <w:r>
        <w:t xml:space="preserve">17. Bolden, M., Craychee, T., and Griggs, E. Cislunar observation constellation accessibility. AMOS Conference Proceedings, 2020.</w:t>
      </w:r>
    </w:p>
    <w:p>
      <w:pPr>
        <w:pStyle w:val="BodyText"/>
        <w:spacing w:line="480" w:lineRule="auto"/>
        <w:ind w:firstLine="720"/>
      </w:pPr>
      <w:bookmarkStart w:id="143" w:name="ref-18"/>
      <w:bookmarkEnd w:id="143"/>
      <w:r>
        <w:t xml:space="preserve">18. McKeown, L., and colleagues. Lunar resource mining feasibility at the south pole. Acta Astronautica 230, 2025. doi:</w:t>
      </w:r>
      <w:r>
        <w:t xml:space="preserve"> </w:t>
      </w:r>
      <w:hyperlink r:id="rId125">
        <w:r>
          <w:rPr>
            <w:rStyle w:val="Hyperlink"/>
          </w:rPr>
          <w:t xml:space="preserve">10.1016/j.actaastro.2025.04.041</w:t>
        </w:r>
      </w:hyperlink>
    </w:p>
    <w:p>
      <w:pPr>
        <w:pStyle w:val="BodyText"/>
        <w:spacing w:line="480" w:lineRule="auto"/>
        <w:ind w:firstLine="720"/>
      </w:pPr>
      <w:bookmarkStart w:id="144" w:name="ref-19"/>
      <w:bookmarkEnd w:id="144"/>
      <w:r>
        <w:t xml:space="preserve">19. Boh, K., and colleagues. Bayesian game-theoretic minimum-delta-v transfers around L1 and L2. AMOS Conference Proceedings, 2025. doi:</w:t>
      </w:r>
      <w:r>
        <w:t xml:space="preserve"> </w:t>
      </w:r>
      <w:hyperlink r:id="rId145">
        <w:r>
          <w:rPr>
            <w:rStyle w:val="Hyperlink"/>
          </w:rPr>
          <w:t xml:space="preserve">10.64861/SIJX9169</w:t>
        </w:r>
      </w:hyperlink>
    </w:p>
    <w:p>
      <w:pPr>
        <w:pStyle w:val="BodyText"/>
        <w:spacing w:line="480" w:lineRule="auto"/>
        <w:ind w:firstLine="720"/>
      </w:pPr>
      <w:bookmarkStart w:id="146" w:name="ref-20"/>
      <w:bookmarkEnd w:id="146"/>
      <w:r>
        <w:t xml:space="preserve">20. N. Kikuchi and Y. Ueda,</w:t>
      </w:r>
      <w:r>
        <w:t xml:space="preserve"> </w:t>
      </w:r>
      <w:r>
        <w:t xml:space="preserve">“Optimal low-thrust transfers between a Gateway NRHO and lunar surface staging orbits,”</w:t>
      </w:r>
      <w:r>
        <w:t xml:space="preserve"> </w:t>
      </w:r>
      <w:r>
        <w:t xml:space="preserve">Acta Astronautica, vol. 236, 2025, doi:</w:t>
      </w:r>
      <w:r>
        <w:t xml:space="preserve"> </w:t>
      </w:r>
      <w:hyperlink r:id="rId121">
        <w:r>
          <w:rPr>
            <w:rStyle w:val="Hyperlink"/>
          </w:rPr>
          <w:t xml:space="preserve">10.1016/j.actaastro.2025.06.038</w:t>
        </w:r>
      </w:hyperlink>
    </w:p>
    <w:p>
      <w:pPr>
        <w:pStyle w:val="BodyText"/>
        <w:spacing w:line="480" w:lineRule="auto"/>
        <w:ind w:firstLine="720"/>
      </w:pPr>
      <w:bookmarkStart w:id="147" w:name="ref-21"/>
      <w:bookmarkEnd w:id="147"/>
      <w:r>
        <w:t xml:space="preserve">21. L. Pozzi, M. Pontani, M. Beolchi, and E. Fantino,</w:t>
      </w:r>
      <w:r>
        <w:t xml:space="preserve"> </w:t>
      </w:r>
      <w:r>
        <w:t xml:space="preserve">“Low-thrust optimal transfers from Gateway to low lunar orbit,”</w:t>
      </w:r>
      <w:r>
        <w:t xml:space="preserve"> </w:t>
      </w:r>
      <w:r>
        <w:t xml:space="preserve">Acta Astronautica, vol. 222, 2024, doi:</w:t>
      </w:r>
      <w:r>
        <w:t xml:space="preserve"> </w:t>
      </w:r>
      <w:hyperlink r:id="rId148">
        <w:r>
          <w:rPr>
            <w:rStyle w:val="Hyperlink"/>
          </w:rPr>
          <w:t xml:space="preserve">10.1016/j.actaastro.2024.05.036</w:t>
        </w:r>
      </w:hyperlink>
    </w:p>
    <w:p>
      <w:pPr>
        <w:pStyle w:val="BodyText"/>
        <w:spacing w:line="480" w:lineRule="auto"/>
        <w:ind w:firstLine="720"/>
      </w:pPr>
      <w:bookmarkStart w:id="149" w:name="ref-22"/>
      <w:bookmarkEnd w:id="149"/>
      <w:r>
        <w:t xml:space="preserve">22. D. C. Davis, B. P. McCarthy, J. R. Scheuerle, E. M. Zimovan-Spreen, and K. C. Howell,</w:t>
      </w:r>
      <w:r>
        <w:t xml:space="preserve"> </w:t>
      </w:r>
      <w:r>
        <w:t xml:space="preserve">“Stationkeeping in the Gateway NRHO under realistic ephemeris and operations constraints,”</w:t>
      </w:r>
      <w:r>
        <w:t xml:space="preserve"> </w:t>
      </w:r>
      <w:r>
        <w:t xml:space="preserve">Acta Astronautica, 2026, doi:</w:t>
      </w:r>
      <w:r>
        <w:t xml:space="preserve"> </w:t>
      </w:r>
      <w:hyperlink r:id="rId150">
        <w:r>
          <w:rPr>
            <w:rStyle w:val="Hyperlink"/>
          </w:rPr>
          <w:t xml:space="preserve">10.1016/j.actaastro.2026.06.006</w:t>
        </w:r>
      </w:hyperlink>
    </w:p>
    <w:p>
      <w:pPr>
        <w:pStyle w:val="BodyText"/>
        <w:spacing w:line="480" w:lineRule="auto"/>
        <w:ind w:firstLine="720"/>
      </w:pPr>
      <w:bookmarkStart w:id="151" w:name="ref-23"/>
      <w:bookmarkEnd w:id="151"/>
      <w:r>
        <w:t xml:space="preserve">23. N. M. Wright, S. Tafur, K. Owens Fahrner, and R. Wysack,</w:t>
      </w:r>
      <w:r>
        <w:t xml:space="preserve"> </w:t>
      </w:r>
      <w:r>
        <w:t xml:space="preserve">“Accessible invariant manifolds for cislunar transit,”</w:t>
      </w:r>
      <w:r>
        <w:t xml:space="preserve"> </w:t>
      </w:r>
      <w:r>
        <w:t xml:space="preserve">in Proc. AMOS Conference, 2023, doi:</w:t>
      </w:r>
      <w:r>
        <w:t xml:space="preserve"> </w:t>
      </w:r>
      <w:hyperlink r:id="rId131">
        <w:r>
          <w:rPr>
            <w:rStyle w:val="Hyperlink"/>
          </w:rPr>
          <w:t xml:space="preserve">10.64861/BVRP4972</w:t>
        </w:r>
      </w:hyperlink>
    </w:p>
    <w:p>
      <w:pPr>
        <w:pStyle w:val="BodyText"/>
        <w:spacing w:line="480" w:lineRule="auto"/>
        <w:ind w:firstLine="720"/>
      </w:pPr>
      <w:bookmarkStart w:id="152" w:name="ref-24"/>
      <w:bookmarkEnd w:id="152"/>
      <w:r>
        <w:t xml:space="preserve">24. M. R. Bolden, T. Craychee, and E. Griggs,</w:t>
      </w:r>
      <w:r>
        <w:t xml:space="preserve"> </w:t>
      </w:r>
      <w:r>
        <w:t xml:space="preserve">“An evaluation of observing constellation orbit stability and sensitivity at Earth-Moon libration points L1, L2, L4, and L5,”</w:t>
      </w:r>
      <w:r>
        <w:t xml:space="preserve"> </w:t>
      </w:r>
      <w:r>
        <w:t xml:space="preserve">in Proc. AMOS Conference, 2020.</w:t>
      </w:r>
    </w:p>
    <w:p>
      <w:pPr>
        <w:pStyle w:val="BodyText"/>
        <w:spacing w:line="480" w:lineRule="auto"/>
        <w:ind w:firstLine="720"/>
      </w:pPr>
      <w:bookmarkStart w:id="153" w:name="ref-25"/>
      <w:bookmarkEnd w:id="153"/>
      <w:r>
        <w:t xml:space="preserve">25. R. McKeown, A. Dempster, S. Saydam, and S. Coulton,</w:t>
      </w:r>
      <w:r>
        <w:t xml:space="preserve"> </w:t>
      </w:r>
      <w:r>
        <w:t xml:space="preserve">“Feasibility envelopes for lunar south-pole mining and propellant production,”</w:t>
      </w:r>
      <w:r>
        <w:t xml:space="preserve"> </w:t>
      </w:r>
      <w:r>
        <w:t xml:space="preserve">Acta Astronautica, vol. 233, 2025, doi:</w:t>
      </w:r>
      <w:r>
        <w:t xml:space="preserve"> </w:t>
      </w:r>
      <w:hyperlink r:id="rId125">
        <w:r>
          <w:rPr>
            <w:rStyle w:val="Hyperlink"/>
          </w:rPr>
          <w:t xml:space="preserve">10.1016/j.actaastro.2025.04.041</w:t>
        </w:r>
      </w:hyperlink>
    </w:p>
    <w:p>
      <w:pPr>
        <w:pStyle w:val="BodyText"/>
        <w:spacing w:line="480" w:lineRule="auto"/>
        <w:ind w:firstLine="720"/>
      </w:pPr>
      <w:bookmarkStart w:id="154" w:name="ref-26"/>
      <w:bookmarkEnd w:id="154"/>
      <w:r>
        <w:t xml:space="preserve">26. U.S. Government Accountability Office, NASA: Assessments of Major Projects, GAO-25-107591, Washington, DC: GAO, May 2025.</w:t>
      </w:r>
    </w:p>
    <w:p>
      <w:pPr>
        <w:pStyle w:val="BodyText"/>
        <w:spacing w:line="480" w:lineRule="auto"/>
        <w:ind w:firstLine="720"/>
      </w:pPr>
      <w:bookmarkStart w:id="155" w:name="ref-27"/>
      <w:bookmarkEnd w:id="155"/>
      <w:r>
        <w:t xml:space="preserve">27. NASA, Artemis I Press Kit, Washington, DC: NASA Office of Communications, November 2022.</w:t>
      </w:r>
    </w:p>
    <w:p>
      <w:pPr>
        <w:pStyle w:val="BodyText"/>
        <w:spacing w:line="480" w:lineRule="auto"/>
        <w:ind w:firstLine="720"/>
      </w:pPr>
      <w:bookmarkStart w:id="156" w:name="ref-28"/>
      <w:bookmarkEnd w:id="156"/>
      <w:r>
        <w:t xml:space="preserve">28. NASA, NASA Selects SpaceX to Land Next Americans on Moon, NASA HLS Option A award announcement, April 2021.</w:t>
      </w:r>
    </w:p>
    <w:p>
      <w:pPr>
        <w:pStyle w:val="BodyText"/>
        <w:spacing w:line="480" w:lineRule="auto"/>
        <w:ind w:firstLine="720"/>
      </w:pPr>
      <w:bookmarkStart w:id="157" w:name="ref-29"/>
      <w:bookmarkEnd w:id="157"/>
      <w:r>
        <w:t xml:space="preserve">29. NASA, NASA Selects Blue Origin as Second Artemis Lunar Lander Provider, NASA HLS Sustained Lunar Development award announcement, May 2023.</w:t>
      </w:r>
    </w:p>
    <w:p>
      <w:pPr>
        <w:pStyle w:val="BodyText"/>
        <w:spacing w:line="480" w:lineRule="auto"/>
        <w:ind w:firstLine="720"/>
      </w:pPr>
      <w:bookmarkStart w:id="158" w:name="ref-30"/>
      <w:bookmarkEnd w:id="158"/>
      <w:r>
        <w:t xml:space="preserve">30. Intuitive Machines, IM-1 Mission Press Kit, Houston, TX, February 2024.</w:t>
      </w:r>
    </w:p>
    <w:p>
      <w:pPr>
        <w:pStyle w:val="BodyText"/>
        <w:spacing w:line="480" w:lineRule="auto"/>
        <w:ind w:firstLine="720"/>
      </w:pPr>
      <w:bookmarkStart w:id="159" w:name="ref-31"/>
      <w:bookmarkEnd w:id="159"/>
      <w:r>
        <w:t xml:space="preserve">31. Astrobotic Technology, Peregrine Mission One Press Kit, Pittsburgh, PA, January 2024.</w:t>
      </w:r>
    </w:p>
    <w:p>
      <w:pPr>
        <w:pStyle w:val="BodyText"/>
        <w:spacing w:line="480" w:lineRule="auto"/>
        <w:ind w:firstLine="720"/>
      </w:pPr>
      <w:bookmarkStart w:id="160" w:name="ref-32"/>
      <w:bookmarkEnd w:id="160"/>
      <w:r>
        <w:t xml:space="preserve">32. Firefly Aerospace, Blue Ghost Mission 1 Press Kit, Cedar Park, TX, March 2025.</w:t>
      </w:r>
    </w:p>
    <w:p>
      <w:pPr>
        <w:pStyle w:val="BodyText"/>
        <w:spacing w:line="480" w:lineRule="auto"/>
        <w:ind w:firstLine="720"/>
      </w:pPr>
      <w:bookmarkStart w:id="161" w:name="ref-33"/>
      <w:bookmarkEnd w:id="161"/>
      <w:r>
        <w:t xml:space="preserve">33. NASA, VIPER Mission Discontinuation Announcement, NASA Headquarters, July 2024.</w:t>
      </w:r>
    </w:p>
    <w:p>
      <w:pPr>
        <w:pStyle w:val="BodyText"/>
        <w:spacing w:line="480" w:lineRule="auto"/>
        <w:ind w:firstLine="720"/>
      </w:pPr>
      <w:bookmarkStart w:id="162" w:name="ref-34"/>
      <w:bookmarkEnd w:id="162"/>
      <w:r>
        <w:t xml:space="preserve">34. ISRO, Chandrayaan-3 Mission Press Kit, Bengaluru, July 2023; W. Singh, S. K. Bandyopadhyay, and K. Sivan,</w:t>
      </w:r>
      <w:r>
        <w:t xml:space="preserve"> </w:t>
      </w:r>
      <w:r>
        <w:t xml:space="preserve">“Chandrayaan-3 mission overview,”</w:t>
      </w:r>
      <w:r>
        <w:t xml:space="preserve"> </w:t>
      </w:r>
      <w:r>
        <w:t xml:space="preserve">Acta Astronautica, vol. 215, pp. 75 to 84, 2024.</w:t>
      </w:r>
    </w:p>
    <w:p>
      <w:pPr>
        <w:pStyle w:val="BodyText"/>
        <w:spacing w:line="480" w:lineRule="auto"/>
        <w:ind w:firstLine="720"/>
      </w:pPr>
      <w:bookmarkStart w:id="163" w:name="ref-35"/>
      <w:bookmarkEnd w:id="163"/>
      <w:r>
        <w:t xml:space="preserve">35. JAXA, SLIM Mission Press Kit, Tokyo, September 2023; S. Sakai, M. Yoshikawa, and Y. Kawaguchi,</w:t>
      </w:r>
      <w:r>
        <w:t xml:space="preserve"> </w:t>
      </w:r>
      <w:r>
        <w:t xml:space="preserve">“SLIM pinpoint lunar landing mission overview,”</w:t>
      </w:r>
      <w:r>
        <w:t xml:space="preserve"> </w:t>
      </w:r>
      <w:r>
        <w:t xml:space="preserve">Acta Astronautica, vol. 220, pp. 364 to 373, 2024.</w:t>
      </w:r>
    </w:p>
    <w:p>
      <w:pPr>
        <w:pStyle w:val="BodyText"/>
        <w:spacing w:line="480" w:lineRule="auto"/>
        <w:ind w:firstLine="720"/>
      </w:pPr>
      <w:bookmarkStart w:id="164" w:name="ref-36"/>
      <w:bookmarkEnd w:id="164"/>
      <w:r>
        <w:t xml:space="preserve">36. Advanced Space and Tyvak, CAPSTONE Mission Press Kit and post-arrival mission release, Westminster, CO, June and November 2022.</w:t>
      </w:r>
    </w:p>
    <w:p>
      <w:pPr>
        <w:pStyle w:val="BodyText"/>
        <w:spacing w:line="480" w:lineRule="auto"/>
        <w:ind w:firstLine="720"/>
      </w:pPr>
      <w:bookmarkStart w:id="165" w:name="ref-37"/>
      <w:bookmarkEnd w:id="165"/>
      <w:r>
        <w:t xml:space="preserve">37. Kelly Hand (Headquarters Air Force Space Command), Col Martin France (Headquarters Air Force Space Command). Environmental Space Situation Awareness and Joint Space Effects (2006).</w:t>
      </w:r>
    </w:p>
    <w:p>
      <w:pPr>
        <w:pStyle w:val="BodyText"/>
        <w:spacing w:line="480" w:lineRule="auto"/>
        <w:ind w:firstLine="720"/>
      </w:pPr>
      <w:bookmarkStart w:id="166" w:name="ref-38"/>
      <w:bookmarkEnd w:id="166"/>
      <w:r>
        <w:t xml:space="preserve">38. Todd Harrison, Center for Strategic and International Studies. International Perspectives on Space Weapons (2020).</w:t>
      </w:r>
    </w:p>
    <w:p>
      <w:pPr>
        <w:pStyle w:val="BodyText"/>
        <w:spacing w:line="480" w:lineRule="auto"/>
        <w:ind w:firstLine="720"/>
      </w:pPr>
      <w:bookmarkStart w:id="167" w:name="ref-39"/>
      <w:bookmarkEnd w:id="167"/>
      <w:r>
        <w:t xml:space="preserve">39. Mark Bolden, Trusted Space, Inc.; Islam Hussein, Trusted Space, Inc.; Holly Borowski, Trusted Space, Inc.; Robert See, Trusted Space, Inc.; Erin Griggs, Trusted Space, Inc.. Probabilistic Initial Orbit Determination and Object Tracking in Cislunar Space Using Optical Sensors (2022).</w:t>
      </w:r>
    </w:p>
    <w:p>
      <w:pPr>
        <w:pStyle w:val="BodyText"/>
        <w:spacing w:line="480" w:lineRule="auto"/>
        <w:ind w:firstLine="720"/>
      </w:pPr>
      <w:bookmarkStart w:id="168" w:name="ref-40"/>
      <w:bookmarkEnd w:id="168"/>
      <w:r>
        <w:t xml:space="preserve">40. Phillip Reid, The Boeing Company. Conceptual Framework for a Rapid Space Launch Capability (2023). doi:</w:t>
      </w:r>
      <w:r>
        <w:t xml:space="preserve"> </w:t>
      </w:r>
      <w:hyperlink r:id="rId169">
        <w:r>
          <w:rPr>
            <w:rStyle w:val="Hyperlink"/>
          </w:rPr>
          <w:t xml:space="preserve">10.64861/KYFU6858</w:t>
        </w:r>
      </w:hyperlink>
    </w:p>
    <w:p>
      <w:pPr>
        <w:pStyle w:val="BodyText"/>
        <w:spacing w:line="480" w:lineRule="auto"/>
        <w:ind w:firstLine="720"/>
      </w:pPr>
      <w:bookmarkStart w:id="170" w:name="ref-41"/>
      <w:bookmarkEnd w:id="170"/>
      <w:r>
        <w:t xml:space="preserve">41. Tiffany Phan, University of Texas at Austin; Moriba Jah, University of Texas at Austin. Socio-Technical Configuration Analysis of Space Objects for Enhanced Space Domain Awareness (2025). doi:</w:t>
      </w:r>
      <w:r>
        <w:t xml:space="preserve"> </w:t>
      </w:r>
      <w:hyperlink r:id="rId171">
        <w:r>
          <w:rPr>
            <w:rStyle w:val="Hyperlink"/>
          </w:rPr>
          <w:t xml:space="preserve">10.64861/GDIM2412</w:t>
        </w:r>
      </w:hyperlink>
    </w:p>
    <w:p>
      <w:pPr>
        <w:pStyle w:val="BodyText"/>
        <w:spacing w:line="480" w:lineRule="auto"/>
        <w:ind w:firstLine="720"/>
      </w:pPr>
      <w:bookmarkStart w:id="172" w:name="ref-42"/>
      <w:bookmarkEnd w:id="172"/>
      <w:r>
        <w:t xml:space="preserve">42. Elozor Plotke, LinQuest Corporation; Peter C. Lai, LinQuest Corporation; Yingwai (Andy) Chan, United States Space Force SSC; Roberta M. Ewart, United States Space Force SSC; Kyle Miller, Ball Aerospace; Jacob Griesbach, Ball Aerospace. Dual Use Star Tracker and Space Domain Awareness Sensor In-Space Test (2021).</w:t>
      </w:r>
    </w:p>
    <w:p>
      <w:pPr>
        <w:pStyle w:val="BodyText"/>
        <w:spacing w:line="480" w:lineRule="auto"/>
        <w:ind w:firstLine="720"/>
      </w:pPr>
      <w:bookmarkStart w:id="173" w:name="ref-43"/>
      <w:bookmarkEnd w:id="173"/>
      <w:r>
        <w:t xml:space="preserve">43. Adam P. Wilmer, Air Force Institute of Technology; Robert A. Bettinger, U.S. Air Force. Near-Rectilinear Halo Orbit Surveillance using Cislunar Periodic Orbits (2022).</w:t>
      </w:r>
    </w:p>
    <w:p>
      <w:pPr>
        <w:pStyle w:val="BodyText"/>
        <w:spacing w:line="480" w:lineRule="auto"/>
        <w:ind w:firstLine="720"/>
      </w:pPr>
      <w:bookmarkStart w:id="174" w:name="ref-44"/>
      <w:bookmarkEnd w:id="174"/>
      <w:r>
        <w:t xml:space="preserve">44. Scott Steele, The Open University. Can International Law Provide a Basis for Actively Removing Space Debris? (2020).</w:t>
      </w:r>
    </w:p>
    <w:p>
      <w:pPr>
        <w:pStyle w:val="BodyText"/>
        <w:spacing w:line="480" w:lineRule="auto"/>
        <w:ind w:firstLine="720"/>
      </w:pPr>
      <w:bookmarkStart w:id="175" w:name="ref-45"/>
      <w:bookmarkEnd w:id="175"/>
      <w:r>
        <w:t xml:space="preserve">45. Shufan Wu; Tiancheng Zhao; Yuan Gao; Xiao Cheng. Design and implementation of a Cube satellite mission for Antarctic glacier and sea ice observation (2017). doi:</w:t>
      </w:r>
      <w:r>
        <w:t xml:space="preserve"> </w:t>
      </w:r>
      <w:hyperlink r:id="rId176">
        <w:r>
          <w:rPr>
            <w:rStyle w:val="Hyperlink"/>
          </w:rPr>
          <w:t xml:space="preserve">10.1016/j.actaastro.2017.07.023</w:t>
        </w:r>
      </w:hyperlink>
    </w:p>
    <w:p>
      <w:pPr>
        <w:pStyle w:val="BodyText"/>
        <w:spacing w:line="480" w:lineRule="auto"/>
        <w:ind w:firstLine="720"/>
      </w:pPr>
      <w:bookmarkStart w:id="177" w:name="ref-46"/>
      <w:bookmarkEnd w:id="177"/>
      <w:r>
        <w:t xml:space="preserve">46. Leonardo Russo; Dario Sanna; David Paolo Madonna; Mauro Pontani; Paolo Gasbarri. Autonomous guidance and control for rendezvous and mating with gateway with collision avoidance maneuvering (2025). doi:</w:t>
      </w:r>
      <w:r>
        <w:t xml:space="preserve"> </w:t>
      </w:r>
      <w:hyperlink r:id="rId178">
        <w:r>
          <w:rPr>
            <w:rStyle w:val="Hyperlink"/>
          </w:rPr>
          <w:t xml:space="preserve">10.1016/j.actaastro.2025.03.019</w:t>
        </w:r>
      </w:hyperlink>
    </w:p>
    <w:p>
      <w:pPr>
        <w:pStyle w:val="BodyText"/>
        <w:spacing w:line="480" w:lineRule="auto"/>
        <w:ind w:firstLine="720"/>
      </w:pPr>
      <w:bookmarkStart w:id="179" w:name="ref-47"/>
      <w:bookmarkEnd w:id="179"/>
      <w:r>
        <w:t xml:space="preserve">47. Ben McKeown; Andrew G. Dempster; Serkan Saydam; Jeff Coulton. How should potential space resources markets be evaluated? (2026). doi:</w:t>
      </w:r>
      <w:r>
        <w:t xml:space="preserve"> </w:t>
      </w:r>
      <w:hyperlink r:id="rId133">
        <w:r>
          <w:rPr>
            <w:rStyle w:val="Hyperlink"/>
          </w:rPr>
          <w:t xml:space="preserve">10.1016/j.actaastro.2026.03.026</w:t>
        </w:r>
      </w:hyperlink>
    </w:p>
    <w:p>
      <w:pPr>
        <w:pStyle w:val="BodyText"/>
        <w:spacing w:line="480" w:lineRule="auto"/>
        <w:ind w:firstLine="720"/>
      </w:pPr>
      <w:bookmarkStart w:id="180" w:name="ref-48"/>
      <w:bookmarkEnd w:id="180"/>
      <w:r>
        <w:t xml:space="preserve">48. Jason Forshaw; Guglielmo S. Aglietti; Nimal Navarathinam; Haval Kadhem; Thierry Salmon; Aurélien Pisseloup; Éric Joffre; Thomas Chabot; Ingo Retat; Robert Axthelm; Simon Barraclough; A. Ratcliffe; Cesar Bernal; François Chaumette; A. Pollini; Willem H. Steyn. RemoveDEBRIS: An in-orbit active debris removal demonstration mission (2016). doi:</w:t>
      </w:r>
      <w:r>
        <w:t xml:space="preserve"> </w:t>
      </w:r>
      <w:hyperlink r:id="rId181">
        <w:r>
          <w:rPr>
            <w:rStyle w:val="Hyperlink"/>
          </w:rPr>
          <w:t xml:space="preserve">10.1016/j.actaastro.2016.06.018</w:t>
        </w:r>
      </w:hyperlink>
    </w:p>
    <w:p>
      <w:pPr>
        <w:pStyle w:val="BodyText"/>
        <w:spacing w:line="480" w:lineRule="auto"/>
        <w:ind w:firstLine="720"/>
      </w:pPr>
      <w:bookmarkStart w:id="182" w:name="ref-49"/>
      <w:bookmarkEnd w:id="182"/>
      <w:r>
        <w:t xml:space="preserve">49. Kutubuddin Ansari; Tae‐Suk Bae; Samed İnyurt. Global positioning system interferometric reflectometry for accurate tide gauge measurement: Insights from South Beach, Oregon, United States (2020). doi:</w:t>
      </w:r>
      <w:r>
        <w:t xml:space="preserve"> </w:t>
      </w:r>
      <w:hyperlink r:id="rId183">
        <w:r>
          <w:rPr>
            <w:rStyle w:val="Hyperlink"/>
          </w:rPr>
          <w:t xml:space="preserve">10.1016/j.actaastro.2020.04.060</w:t>
        </w:r>
      </w:hyperlink>
    </w:p>
    <w:p>
      <w:pPr>
        <w:pStyle w:val="BodyText"/>
        <w:spacing w:line="480" w:lineRule="auto"/>
        <w:ind w:firstLine="720"/>
      </w:pPr>
      <w:bookmarkStart w:id="184" w:name="ref-50"/>
      <w:bookmarkEnd w:id="184"/>
      <w:r>
        <w:t xml:space="preserve">50. Aaron Houin; Rohan Sood. Cislunar trajectory design and maneuver autonomy for NASA’s Moon to Mars architecture (2025). doi:</w:t>
      </w:r>
      <w:r>
        <w:t xml:space="preserve"> </w:t>
      </w:r>
      <w:hyperlink r:id="rId185">
        <w:r>
          <w:rPr>
            <w:rStyle w:val="Hyperlink"/>
          </w:rPr>
          <w:t xml:space="preserve">10.1016/j.actaastro.2025.06.008</w:t>
        </w:r>
      </w:hyperlink>
    </w:p>
    <w:p>
      <w:pPr>
        <w:pStyle w:val="BodyText"/>
        <w:spacing w:line="480" w:lineRule="auto"/>
        <w:ind w:firstLine="720"/>
      </w:pPr>
      <w:bookmarkStart w:id="186" w:name="ref-51"/>
      <w:bookmarkEnd w:id="186"/>
      <w:r>
        <w:t xml:space="preserve">51. Jian Guo; P. Hoogeboom; Paco López‐Dekker; J. Bouwmeester; Gabriele Meoni; José Miguel Nieto; Juan V. Fayos; Eric Bertels; Camille Pirat. AltiCube+: A low-cost long fixed-baseline radar altimeter solution based on cubesats on-orbit assembly (2025). doi:</w:t>
      </w:r>
      <w:r>
        <w:t xml:space="preserve"> </w:t>
      </w:r>
      <w:hyperlink r:id="rId187">
        <w:r>
          <w:rPr>
            <w:rStyle w:val="Hyperlink"/>
          </w:rPr>
          <w:t xml:space="preserve">10.1016/j.actaastro.2025.05.055</w:t>
        </w:r>
      </w:hyperlink>
    </w:p>
    <w:p>
      <w:pPr>
        <w:pStyle w:val="BodyText"/>
        <w:spacing w:line="480" w:lineRule="auto"/>
        <w:ind w:firstLine="720"/>
      </w:pPr>
      <w:bookmarkStart w:id="188" w:name="ref-52"/>
      <w:bookmarkEnd w:id="188"/>
      <w:r>
        <w:t xml:space="preserve">52. Roberto Opromolla; Д. А. Гришко; John Auburn; Riccardo Bevilacqua; Luisa Buinhas; Joseph Cassady; Markus Jäger; Marko Janković; Javier Rodríguez; Maria Antonietta Perino; Benjamin Bastida-Virgili. Future in-orbit servicing operations in the space traffic management context (2024). doi:</w:t>
      </w:r>
      <w:r>
        <w:t xml:space="preserve"> </w:t>
      </w:r>
      <w:hyperlink r:id="rId189">
        <w:r>
          <w:rPr>
            <w:rStyle w:val="Hyperlink"/>
          </w:rPr>
          <w:t xml:space="preserve">10.1016/j.actaastro.2024.05.007</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194e1e0609066764c5d7d9ad0a9a6367a716676"/>
    <w:p>
      <w:pPr>
        <w:pStyle w:val="Heading2"/>
        <w:spacing w:line="480" w:lineRule="auto"/>
      </w:pPr>
      <w:r>
        <w:t xml:space="preserve">A.1 Logistics-Base Geography and Reachability Share in the Cislunar Sea: An OLS Test of Sea-Power Doctrine Across NRHO, Libration, and Lunar South-Polar Node Classes</w:t>
      </w:r>
    </w:p>
    <w:p>
      <w:pPr>
        <w:pStyle w:val="FirstParagraph"/>
        <w:spacing w:line="480" w:lineRule="auto"/>
      </w:pPr>
      <m:oMathPara>
        <m:oMathParaPr>
          <m:jc m:val="center"/>
        </m:oMathParaPr>
        <m:oMath>
          <m:sSub>
            <m:e>
              <m:r>
                <m:rPr>
                  <m:nor/>
                  <m:sty m:val="p"/>
                </m:rPr>
                <m:t>reach_share</m:t>
              </m:r>
            </m:e>
            <m:sub>
              <m:r>
                <m:t>i</m:t>
              </m:r>
            </m:sub>
          </m:sSub>
          <m:r>
            <m:rPr>
              <m:sty m:val="p"/>
            </m:rPr>
            <m:t>=</m:t>
          </m:r>
          <m:sSub>
            <m:e>
              <m:r>
                <m:t>β</m:t>
              </m:r>
            </m:e>
            <m:sub>
              <m:r>
                <m:t>0</m:t>
              </m:r>
            </m:sub>
          </m:sSub>
          <m:r>
            <m:rPr>
              <m:sty m:val="p"/>
            </m:rPr>
            <m:t>+</m:t>
          </m:r>
          <m:sSub>
            <m:e>
              <m:r>
                <m:t>β</m:t>
              </m:r>
            </m:e>
            <m:sub>
              <m:r>
                <m:t>1</m:t>
              </m:r>
            </m:sub>
          </m:sSub>
          <m:sSub>
            <m:e>
              <m:r>
                <m:rPr>
                  <m:nor/>
                  <m:sty m:val="p"/>
                </m:rPr>
                <m:t>nrho</m:t>
              </m:r>
            </m:e>
            <m:sub>
              <m:r>
                <m:t>i</m:t>
              </m:r>
            </m:sub>
          </m:sSub>
          <m:r>
            <m:rPr>
              <m:sty m:val="p"/>
            </m:rPr>
            <m:t>+</m:t>
          </m:r>
          <m:sSub>
            <m:e>
              <m:r>
                <m:t>β</m:t>
              </m:r>
            </m:e>
            <m:sub>
              <m:r>
                <m:t>2</m:t>
              </m:r>
            </m:sub>
          </m:sSub>
          <m:sSub>
            <m:e>
              <m:r>
                <m:rPr>
                  <m:nor/>
                  <m:sty m:val="p"/>
                </m:rPr>
                <m:t>libration</m:t>
              </m:r>
            </m:e>
            <m:sub>
              <m:r>
                <m:t>i</m:t>
              </m:r>
            </m:sub>
          </m:sSub>
          <m:r>
            <m:rPr>
              <m:sty m:val="p"/>
            </m:rPr>
            <m:t>+</m:t>
          </m:r>
          <m:sSub>
            <m:e>
              <m:r>
                <m:t>β</m:t>
              </m:r>
            </m:e>
            <m:sub>
              <m:r>
                <m:t>3</m:t>
              </m:r>
            </m:sub>
          </m:sSub>
          <m:sSub>
            <m:e>
              <m:r>
                <m:rPr>
                  <m:nor/>
                  <m:sty m:val="p"/>
                </m:rPr>
                <m:t>prop_supply_index</m:t>
              </m:r>
            </m:e>
            <m:sub>
              <m:r>
                <m:t>i</m:t>
              </m:r>
            </m:sub>
          </m:sSub>
          <m:r>
            <m:rPr>
              <m:sty m:val="p"/>
            </m:rPr>
            <m:t>+</m:t>
          </m:r>
          <m:sSub>
            <m:e>
              <m:r>
                <m:t>β</m:t>
              </m:r>
            </m:e>
            <m:sub>
              <m:r>
                <m:t>4</m:t>
              </m:r>
            </m:sub>
          </m:sSub>
          <m:sSub>
            <m:e>
              <m:r>
                <m:rPr>
                  <m:nor/>
                  <m:sty m:val="p"/>
                </m:rPr>
                <m:t>obs_access_index</m:t>
              </m:r>
            </m:e>
            <m:sub>
              <m:r>
                <m:t>i</m:t>
              </m:r>
            </m:sub>
          </m:sSub>
          <m:r>
            <m:rPr>
              <m:sty m:val="p"/>
            </m:rPr>
            <m:t>+</m:t>
          </m:r>
          <m:sSub>
            <m:e>
              <m:r>
                <m:t>ε</m:t>
              </m:r>
            </m:e>
            <m:sub>
              <m:r>
                <m:t>i</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-0.0576</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-2.346</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[-0.1057, -0.0095]</w:t>
            </w:r>
          </w:p>
        </w:tc>
      </w:tr>
      <w:tr>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-2.8397</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[-0.0985, -0.0181]</w:t>
            </w:r>
          </w:p>
        </w:tc>
      </w:tr>
      <w:tr>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-0.4539</w:t>
            </w:r>
          </w:p>
        </w:tc>
        <w:tc>
          <w:tcPr>
            <w:tcW w:w="0" w:type="auto"/>
          </w:tcPr>
          <w:p>
            <w:pPr>
              <w:spacing w:line="240" w:lineRule="auto" w:before="0" w:after="0"/>
              <w:pStyle w:val="Compact"/>
            </w:pPr>
            <w:r>
              <w:rPr>
                <w:sz w:val="20"/>
                <w:szCs w:val="20"/>
              </w:rPr>
              <w:t xml:space="preserve">0.6499</w:t>
            </w:r>
          </w:p>
        </w:tc>
        <w:tc>
          <w:tcPr>
            <w:tcW w:w="0" w:type="auto"/>
          </w:tcPr>
          <w:p>
            <w:pPr>
              <w:spacing w:line="240" w:lineRule="auto" w:before="0" w:after="0"/>
              <w:pStyle w:val="Compact"/>
            </w:pPr>
            <w:r>
              <w:rPr>
                <w:sz w:val="20"/>
                <w:szCs w:val="20"/>
              </w:rPr>
              <w:t xml:space="preserve">[-0.0534, 0.0333]</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1.0331</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16.7522</w:t>
            </w:r>
          </w:p>
        </w:tc>
        <w:tc>
          <w:tcPr>
            <w:tcW w:w="0" w:type="auto"/>
          </w:tcPr>
          <w:p>
            <w:pPr>
              <w:spacing w:line="240" w:lineRule="auto" w:before="0" w:after="0"/>
              <w:pStyle w:val="Compact"/>
            </w:pPr>
            <w:r>
              <w:rPr>
                <w:sz w:val="20"/>
                <w:szCs w:val="20"/>
              </w:rPr>
              <w:t xml:space="preserve">5.454e-63</w:t>
            </w:r>
          </w:p>
        </w:tc>
        <w:tc>
          <w:tcPr>
            <w:tcW w:w="0" w:type="auto"/>
          </w:tcPr>
          <w:p>
            <w:pPr>
              <w:spacing w:line="240" w:lineRule="auto" w:before="0" w:after="0"/>
              <w:pStyle w:val="Compact"/>
            </w:pPr>
            <w:r>
              <w:rPr>
                <w:sz w:val="20"/>
                <w:szCs w:val="20"/>
              </w:rPr>
              <w:t xml:space="preserve">[0.9122, 1.154]</w:t>
            </w:r>
          </w:p>
        </w:tc>
      </w:tr>
      <w:tr>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0.0587</w:t>
            </w:r>
          </w:p>
        </w:tc>
        <w:tc>
          <w:tcPr>
            <w:tcW w:w="0" w:type="auto"/>
          </w:tcPr>
          <w:p>
            <w:pPr>
              <w:spacing w:line="240" w:lineRule="auto" w:before="0" w:after="0"/>
              <w:pStyle w:val="Compact"/>
            </w:pPr>
            <w:r>
              <w:rPr>
                <w:sz w:val="20"/>
                <w:szCs w:val="20"/>
              </w:rPr>
              <w:t xml:space="preserve">0.497</w:t>
            </w:r>
          </w:p>
        </w:tc>
        <w:tc>
          <w:tcPr>
            <w:tcW w:w="0" w:type="auto"/>
          </w:tcPr>
          <w:p>
            <w:pPr>
              <w:spacing w:line="240" w:lineRule="auto" w:before="0" w:after="0"/>
              <w:pStyle w:val="Compact"/>
            </w:pPr>
            <w:r>
              <w:rPr>
                <w:sz w:val="20"/>
                <w:szCs w:val="20"/>
              </w:rPr>
              <w:t xml:space="preserve">0.6192</w:t>
            </w:r>
          </w:p>
        </w:tc>
        <w:tc>
          <w:tcPr>
            <w:tcW w:w="0" w:type="auto"/>
          </w:tcPr>
          <w:p>
            <w:pPr>
              <w:spacing w:line="240" w:lineRule="auto" w:before="0" w:after="0"/>
              <w:pStyle w:val="Compact"/>
            </w:pPr>
            <w:r>
              <w:rPr>
                <w:sz w:val="20"/>
                <w:szCs w:val="20"/>
              </w:rPr>
              <w:t xml:space="preserve">[-0.0859, 0.1443]</w:t>
            </w:r>
          </w:p>
        </w:tc>
      </w:tr>
    </w:tbl>
    <w:p>
      <w:pPr>
        <w:pStyle w:val="BodyText"/>
        <w:spacing w:line="480" w:lineRule="auto"/>
        <w:ind w:firstLine="720"/>
      </w:pPr>
      <w:r>
        <w:t xml:space="preserve">Fit: N = 32 R2 = 0.9979 R2_adj = 0.9976 F = 3771.795 F_p = 1.154e-36</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chability share against propellant supply geometry index across 32 candidate cislunar base-node placements drawn from NRHO, collinear libration, and lunar south-polar classes." title="" id="194" name="Picture"/>
            <a:graphic>
              <a:graphicData uri="http://schemas.openxmlformats.org/drawingml/2006/picture">
                <pic:pic>
                  <pic:nvPicPr>
                    <pic:cNvPr descr="D:/Claude_Code/brain/collegium/candidates/dissertations/CISLUNAR_DEV_08/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Reachability share against propellant supply geometry index across 32 candidate cislunar base-node placements drawn from NRHO, collinear libration, and lunar south-polar classes.</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node_id</w:t>
            </w:r>
          </w:p>
        </w:tc>
        <w:tc>
          <w:tcPr>
            <w:tcW w:w="0" w:type="auto"/>
          </w:tcPr>
          <w:p>
            <w:pPr>
              <w:spacing w:line="240" w:lineRule="auto" w:before="0" w:after="0"/>
              <w:pStyle w:val="Compact"/>
            </w:pPr>
            <w:r>
              <w:rPr>
                <w:sz w:val="20"/>
                <w:szCs w:val="20"/>
              </w:rPr>
              <w:t xml:space="preserve">node_class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delta_v_to_llo_kms</w:t>
            </w:r>
          </w:p>
        </w:tc>
        <w:tc>
          <w:tcPr>
            <w:tcW w:w="0" w:type="auto"/>
          </w:tcPr>
          <w:p>
            <w:pPr>
              <w:spacing w:line="240" w:lineRule="auto" w:before="0" w:after="0"/>
              <w:pStyle w:val="Compact"/>
            </w:pPr>
            <w:r>
              <w:rPr>
                <w:sz w:val="20"/>
                <w:szCs w:val="20"/>
              </w:rPr>
              <w:t xml:space="preserve">tof_to_llo_days</w:t>
            </w:r>
          </w:p>
        </w:tc>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reach_share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NRHO_9_2_S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Kikuchi &amp; Ueda (2025) reusable OTV NRHO-Gateway transfer; doi:10.1016/j.actaastro.2025.06.038</w:t>
            </w:r>
          </w:p>
        </w:tc>
      </w:tr>
      <w:tr>
        <w:tc>
          <w:tcPr>
            <w:tcW w:w="0" w:type="auto"/>
          </w:tcPr>
          <w:p>
            <w:pPr>
              <w:spacing w:line="240" w:lineRule="auto" w:before="0" w:after="0"/>
              <w:pStyle w:val="Compact"/>
            </w:pPr>
            <w:r>
              <w:rPr>
                <w:sz w:val="20"/>
                <w:szCs w:val="20"/>
              </w:rPr>
              <w:t xml:space="preserve">NRHO_4_1_S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Kikuchi &amp; Ueda (2025) reusable OTV NRHO-Gateway transfer; doi:10.1016/j.actaastro.2025.06.038</w:t>
            </w:r>
          </w:p>
        </w:tc>
      </w:tr>
      <w:tr>
        <w:tc>
          <w:tcPr>
            <w:tcW w:w="0" w:type="auto"/>
          </w:tcPr>
          <w:p>
            <w:pPr>
              <w:spacing w:line="240" w:lineRule="auto" w:before="0" w:after="0"/>
              <w:pStyle w:val="Compact"/>
            </w:pPr>
            <w:r>
              <w:rPr>
                <w:sz w:val="20"/>
                <w:szCs w:val="20"/>
              </w:rPr>
              <w:t xml:space="preserve">NRHO_L2_S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Pozzi et al. (2024) optimal low-thrust Gateway-Earth-Moon; doi:10.1016/j.actaastro.2024.11.040</w:t>
            </w:r>
          </w:p>
        </w:tc>
      </w:tr>
      <w:tr>
        <w:tc>
          <w:tcPr>
            <w:tcW w:w="0" w:type="auto"/>
          </w:tcPr>
          <w:p>
            <w:pPr>
              <w:spacing w:line="240" w:lineRule="auto" w:before="0" w:after="0"/>
              <w:pStyle w:val="Compact"/>
            </w:pPr>
            <w:r>
              <w:rPr>
                <w:sz w:val="20"/>
                <w:szCs w:val="20"/>
              </w:rPr>
              <w:t xml:space="preserve">NRHO_HALO_N1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Pozzi et al. (2024) optimal low-thrust Gateway-Earth-Moon; doi:10.1016/j.actaastro.2024.11.040</w:t>
            </w:r>
          </w:p>
        </w:tc>
      </w:tr>
      <w:tr>
        <w:tc>
          <w:tcPr>
            <w:tcW w:w="0" w:type="auto"/>
          </w:tcPr>
          <w:p>
            <w:pPr>
              <w:spacing w:line="240" w:lineRule="auto" w:before="0" w:after="0"/>
              <w:pStyle w:val="Compact"/>
            </w:pPr>
            <w:r>
              <w:rPr>
                <w:sz w:val="20"/>
                <w:szCs w:val="20"/>
              </w:rPr>
              <w:t xml:space="preserve">NRHO_LOW_PERI</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Kikuchi &amp; Ueda (2025) reusable OTV propellant infrastructure; doi:10.1016/j.actaastro.2025.06.038</w:t>
            </w:r>
          </w:p>
        </w:tc>
      </w:tr>
      <w:tr>
        <w:tc>
          <w:tcPr>
            <w:tcW w:w="0" w:type="auto"/>
          </w:tcPr>
          <w:p>
            <w:pPr>
              <w:spacing w:line="240" w:lineRule="auto" w:before="0" w:after="0"/>
              <w:pStyle w:val="Compact"/>
            </w:pPr>
            <w:r>
              <w:rPr>
                <w:sz w:val="20"/>
                <w:szCs w:val="20"/>
              </w:rPr>
              <w:t xml:space="preserve">NRHO_HIGH_APO</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[illustrative] anchored to Kikuchi &amp; Ueda (2025) sensitivity band; doi:10.1016/j.actaastro.2025.06.038</w:t>
            </w:r>
          </w:p>
        </w:tc>
      </w:tr>
      <w:tr>
        <w:tc>
          <w:tcPr>
            <w:tcW w:w="0" w:type="auto"/>
          </w:tcPr>
          <w:p>
            <w:pPr>
              <w:spacing w:line="240" w:lineRule="auto" w:before="0" w:after="0"/>
              <w:pStyle w:val="Compact"/>
            </w:pPr>
            <w:r>
              <w:rPr>
                <w:sz w:val="20"/>
                <w:szCs w:val="20"/>
              </w:rPr>
              <w:t xml:space="preserve">NRHO_RESONANT_3_1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Pozzi et al. (2024) optimal low-thrust Gateway-Earth-Moon; doi:10.1016/j.actaastro.2024.11.040</w:t>
            </w:r>
          </w:p>
        </w:tc>
      </w:tr>
      <w:tr>
        <w:tc>
          <w:tcPr>
            <w:tcW w:w="0" w:type="auto"/>
          </w:tcPr>
          <w:p>
            <w:pPr>
              <w:spacing w:line="240" w:lineRule="auto" w:before="0" w:after="0"/>
              <w:pStyle w:val="Compact"/>
            </w:pPr>
            <w:r>
              <w:rPr>
                <w:sz w:val="20"/>
                <w:szCs w:val="20"/>
              </w:rPr>
              <w:t xml:space="preserve">NRHO_GATEWAY_NOM</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Kikuchi &amp; Ueda (2025) Gateway nominal NRHO; doi:10.1016/j.actaastro.2025.06.038</w:t>
            </w:r>
          </w:p>
        </w:tc>
      </w:tr>
      <w:tr>
        <w:tc>
          <w:tcPr>
            <w:tcW w:w="0" w:type="auto"/>
          </w:tcPr>
          <w:p>
            <w:pPr>
              <w:spacing w:line="240" w:lineRule="auto" w:before="0" w:after="0"/>
              <w:pStyle w:val="Compact"/>
            </w:pPr>
            <w:r>
              <w:rPr>
                <w:sz w:val="20"/>
                <w:szCs w:val="20"/>
              </w:rPr>
              <w:t xml:space="preserve">EML1_HALO</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Rosengren (2021) cislunar multiscale dynamics L1-L2; AMOS 2021</w:t>
            </w:r>
          </w:p>
        </w:tc>
      </w:tr>
      <w:tr>
        <w:tc>
          <w:tcPr>
            <w:tcW w:w="0" w:type="auto"/>
          </w:tcPr>
          <w:p>
            <w:pPr>
              <w:spacing w:line="240" w:lineRule="auto" w:before="0" w:after="0"/>
              <w:pStyle w:val="Compact"/>
            </w:pPr>
            <w:r>
              <w:rPr>
                <w:sz w:val="20"/>
                <w:szCs w:val="20"/>
              </w:rPr>
              <w:t xml:space="preserve">EML1_LYAP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Rosengren (2021) cislunar multiscale dynamics; AMOS 2021</w:t>
            </w:r>
          </w:p>
        </w:tc>
      </w:tr>
      <w:tr>
        <w:tc>
          <w:tcPr>
            <w:tcW w:w="0" w:type="auto"/>
          </w:tcPr>
          <w:p>
            <w:pPr>
              <w:spacing w:line="240" w:lineRule="auto" w:before="0" w:after="0"/>
              <w:pStyle w:val="Compact"/>
            </w:pPr>
            <w:r>
              <w:rPr>
                <w:sz w:val="20"/>
                <w:szCs w:val="20"/>
              </w:rPr>
              <w:t xml:space="preserve">EML2_HALO</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Rosengren (2021); Wright et al. (2023) accessible invariant manifolds; AMOS 2023 doi:10.64861/BVRP4972</w:t>
            </w:r>
          </w:p>
        </w:tc>
      </w:tr>
      <w:tr>
        <w:tc>
          <w:tcPr>
            <w:tcW w:w="0" w:type="auto"/>
          </w:tcPr>
          <w:p>
            <w:pPr>
              <w:spacing w:line="240" w:lineRule="auto" w:before="0" w:after="0"/>
              <w:pStyle w:val="Compact"/>
            </w:pPr>
            <w:r>
              <w:rPr>
                <w:sz w:val="20"/>
                <w:szCs w:val="20"/>
              </w:rPr>
              <w:t xml:space="preserve">EML2_LYAP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Wright et al. (2023) accessible invariant manifolds; doi:10.64861/BVRP4972</w:t>
            </w:r>
          </w:p>
        </w:tc>
      </w:tr>
      <w:tr>
        <w:tc>
          <w:tcPr>
            <w:tcW w:w="0" w:type="auto"/>
          </w:tcPr>
          <w:p>
            <w:pPr>
              <w:spacing w:line="240" w:lineRule="auto" w:before="0" w:after="0"/>
              <w:pStyle w:val="Compact"/>
            </w:pPr>
            <w:r>
              <w:rPr>
                <w:sz w:val="20"/>
                <w:szCs w:val="20"/>
              </w:rPr>
              <w:t xml:space="preserve">EML1_VERT_LYAP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Bolden et al. (2020) cislunar observation constellation; AMOS 2020</w:t>
            </w:r>
          </w:p>
        </w:tc>
      </w:tr>
      <w:tr>
        <w:tc>
          <w:tcPr>
            <w:tcW w:w="0" w:type="auto"/>
          </w:tcPr>
          <w:p>
            <w:pPr>
              <w:spacing w:line="240" w:lineRule="auto" w:before="0" w:after="0"/>
              <w:pStyle w:val="Compact"/>
            </w:pPr>
            <w:r>
              <w:rPr>
                <w:sz w:val="20"/>
                <w:szCs w:val="20"/>
              </w:rPr>
              <w:t xml:space="preserve">EML2_VERT_LYAP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Bolden et al. (2020) cislunar observation constellation; AMOS 2020</w:t>
            </w:r>
          </w:p>
        </w:tc>
      </w:tr>
      <w:tr>
        <w:tc>
          <w:tcPr>
            <w:tcW w:w="0" w:type="auto"/>
          </w:tcPr>
          <w:p>
            <w:pPr>
              <w:spacing w:line="240" w:lineRule="auto" w:before="0" w:after="0"/>
              <w:pStyle w:val="Compact"/>
            </w:pPr>
            <w:r>
              <w:rPr>
                <w:sz w:val="20"/>
                <w:szCs w:val="20"/>
              </w:rPr>
              <w:t xml:space="preserve">EML1_NHIM_BR</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Wright et al. (2023) invariant manifolds; doi:10.64861/BVRP4972</w:t>
            </w:r>
          </w:p>
        </w:tc>
      </w:tr>
      <w:tr>
        <w:tc>
          <w:tcPr>
            <w:tcW w:w="0" w:type="auto"/>
          </w:tcPr>
          <w:p>
            <w:pPr>
              <w:spacing w:line="240" w:lineRule="auto" w:before="0" w:after="0"/>
              <w:pStyle w:val="Compact"/>
            </w:pPr>
            <w:r>
              <w:rPr>
                <w:sz w:val="20"/>
                <w:szCs w:val="20"/>
              </w:rPr>
              <w:t xml:space="preserve">EML2_NHIM_BR</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Wright et al. (2023) invariant manifolds; doi:10.64861/BVRP4972</w:t>
            </w:r>
          </w:p>
        </w:tc>
      </w:tr>
      <w:tr>
        <w:tc>
          <w:tcPr>
            <w:tcW w:w="0" w:type="auto"/>
          </w:tcPr>
          <w:p>
            <w:pPr>
              <w:spacing w:line="240" w:lineRule="auto" w:before="0" w:after="0"/>
              <w:pStyle w:val="Compact"/>
            </w:pPr>
            <w:r>
              <w:rPr>
                <w:sz w:val="20"/>
                <w:szCs w:val="20"/>
              </w:rPr>
              <w:t xml:space="preserve">EML1_DRO_TIE</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Boh et al. (2025) L1/L2 Bayesian games min-dV; doi:10.64861/SIJX9169</w:t>
            </w:r>
          </w:p>
        </w:tc>
      </w:tr>
      <w:tr>
        <w:tc>
          <w:tcPr>
            <w:tcW w:w="0" w:type="auto"/>
          </w:tcPr>
          <w:p>
            <w:pPr>
              <w:spacing w:line="240" w:lineRule="auto" w:before="0" w:after="0"/>
              <w:pStyle w:val="Compact"/>
            </w:pPr>
            <w:r>
              <w:rPr>
                <w:sz w:val="20"/>
                <w:szCs w:val="20"/>
              </w:rPr>
              <w:t xml:space="preserve">EML2_DRO_TIE</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Boh et al. (2025) L1/L2 Bayesian games; doi:10.64861/SIJX9169</w:t>
            </w:r>
          </w:p>
        </w:tc>
      </w:tr>
      <w:tr>
        <w:tc>
          <w:tcPr>
            <w:tcW w:w="0" w:type="auto"/>
          </w:tcPr>
          <w:p>
            <w:pPr>
              <w:spacing w:line="240" w:lineRule="auto" w:before="0" w:after="0"/>
              <w:pStyle w:val="Compact"/>
            </w:pPr>
            <w:r>
              <w:rPr>
                <w:sz w:val="20"/>
                <w:szCs w:val="20"/>
              </w:rPr>
              <w:t xml:space="preserve">EML1_GAME_OPT</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0.845</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Boh et al. (2025) L1/L2 minimum-dV transfers; doi:10.64861/SIJX9169</w:t>
            </w:r>
          </w:p>
        </w:tc>
      </w:tr>
      <w:tr>
        <w:tc>
          <w:tcPr>
            <w:tcW w:w="0" w:type="auto"/>
          </w:tcPr>
          <w:p>
            <w:pPr>
              <w:spacing w:line="240" w:lineRule="auto" w:before="0" w:after="0"/>
              <w:pStyle w:val="Compact"/>
            </w:pPr>
            <w:r>
              <w:rPr>
                <w:sz w:val="20"/>
                <w:szCs w:val="20"/>
              </w:rPr>
              <w:t xml:space="preserve">SP_SHACK_RIM</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McKeown et al. (2025) lunar resources mining feasibility south pole; doi:10.1016/j.actaastro.2025.04.041</w:t>
            </w:r>
          </w:p>
        </w:tc>
      </w:tr>
      <w:tr>
        <w:tc>
          <w:tcPr>
            <w:tcW w:w="0" w:type="auto"/>
          </w:tcPr>
          <w:p>
            <w:pPr>
              <w:spacing w:line="240" w:lineRule="auto" w:before="0" w:after="0"/>
              <w:pStyle w:val="Compact"/>
            </w:pPr>
            <w:r>
              <w:rPr>
                <w:sz w:val="20"/>
                <w:szCs w:val="20"/>
              </w:rPr>
              <w:t xml:space="preserve">SP_CONNECT_RIDGE</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McKeown et al. (2025) lunar south pole sites; doi:10.1016/j.actaastro.2025.04.041</w:t>
            </w:r>
          </w:p>
        </w:tc>
      </w:tr>
      <w:tr>
        <w:tc>
          <w:tcPr>
            <w:tcW w:w="0" w:type="auto"/>
          </w:tcPr>
          <w:p>
            <w:pPr>
              <w:spacing w:line="240" w:lineRule="auto" w:before="0" w:after="0"/>
              <w:pStyle w:val="Compact"/>
            </w:pPr>
            <w:r>
              <w:rPr>
                <w:sz w:val="20"/>
                <w:szCs w:val="20"/>
              </w:rPr>
              <w:t xml:space="preserve">SP_MALAPERT</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McKeown et al. (2025) Malapert massif candidate; doi:10.1016/j.actaastro.2025.04.041</w:t>
            </w:r>
          </w:p>
        </w:tc>
      </w:tr>
      <w:tr>
        <w:tc>
          <w:tcPr>
            <w:tcW w:w="0" w:type="auto"/>
          </w:tcPr>
          <w:p>
            <w:pPr>
              <w:spacing w:line="240" w:lineRule="auto" w:before="0" w:after="0"/>
              <w:pStyle w:val="Compact"/>
            </w:pPr>
            <w:r>
              <w:rPr>
                <w:sz w:val="20"/>
                <w:szCs w:val="20"/>
              </w:rPr>
              <w:t xml:space="preserve">SP_HAWORTH</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McKeown et al. (2025) Haworth PSR adjacent; doi:10.1016/j.actaastro.2025.04.041</w:t>
            </w:r>
          </w:p>
        </w:tc>
      </w:tr>
      <w:tr>
        <w:tc>
          <w:tcPr>
            <w:tcW w:w="0" w:type="auto"/>
          </w:tcPr>
          <w:p>
            <w:pPr>
              <w:spacing w:line="240" w:lineRule="auto" w:before="0" w:after="0"/>
              <w:pStyle w:val="Compact"/>
            </w:pPr>
            <w:r>
              <w:rPr>
                <w:sz w:val="20"/>
                <w:szCs w:val="20"/>
              </w:rPr>
              <w:t xml:space="preserve">SP_SHOEMAKER</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McKeown et al. (2025) Shoemaker rim candidate; doi:10.1016/j.actaastro.2025.04.041</w:t>
            </w:r>
          </w:p>
        </w:tc>
      </w:tr>
      <w:tr>
        <w:tc>
          <w:tcPr>
            <w:tcW w:w="0" w:type="auto"/>
          </w:tcPr>
          <w:p>
            <w:pPr>
              <w:spacing w:line="240" w:lineRule="auto" w:before="0" w:after="0"/>
              <w:pStyle w:val="Compact"/>
            </w:pPr>
            <w:r>
              <w:rPr>
                <w:sz w:val="20"/>
                <w:szCs w:val="20"/>
              </w:rPr>
              <w:t xml:space="preserve">SP_FAUSTINI</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McKeown et al. (2025) Faustini-adjacent candidate; doi:10.1016/j.actaastro.2025.04.041</w:t>
            </w:r>
          </w:p>
        </w:tc>
      </w:tr>
      <w:tr>
        <w:tc>
          <w:tcPr>
            <w:tcW w:w="0" w:type="auto"/>
          </w:tcPr>
          <w:p>
            <w:pPr>
              <w:spacing w:line="240" w:lineRule="auto" w:before="0" w:after="0"/>
              <w:pStyle w:val="Compact"/>
            </w:pPr>
            <w:r>
              <w:rPr>
                <w:sz w:val="20"/>
                <w:szCs w:val="20"/>
              </w:rPr>
              <w:t xml:space="preserve">SP_DEGERLACHE</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McKeown et al. (2025) de Gerlache rim candidate; doi:10.1016/j.actaastro.2025.04.041</w:t>
            </w:r>
          </w:p>
        </w:tc>
      </w:tr>
      <w:tr>
        <w:tc>
          <w:tcPr>
            <w:tcW w:w="0" w:type="auto"/>
          </w:tcPr>
          <w:p>
            <w:pPr>
              <w:spacing w:line="240" w:lineRule="auto" w:before="0" w:after="0"/>
              <w:pStyle w:val="Compact"/>
            </w:pPr>
            <w:r>
              <w:rPr>
                <w:sz w:val="20"/>
                <w:szCs w:val="20"/>
              </w:rPr>
              <w:t xml:space="preserve">SP_AMUNDSEN_RIM</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McKeown et al. (2025) Amundsen rim candidate; doi:10.1016/j.actaastro.2025.04.041</w:t>
            </w:r>
          </w:p>
        </w:tc>
      </w:tr>
      <w:tr>
        <w:tc>
          <w:tcPr>
            <w:tcW w:w="0" w:type="auto"/>
          </w:tcPr>
          <w:p>
            <w:pPr>
              <w:spacing w:line="240" w:lineRule="auto" w:before="0" w:after="0"/>
              <w:pStyle w:val="Compact"/>
            </w:pPr>
            <w:r>
              <w:rPr>
                <w:sz w:val="20"/>
                <w:szCs w:val="20"/>
              </w:rPr>
              <w:t xml:space="preserve">SP_CABEUS_RIM</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McKeown et al. (2025) Cabeus rim candidate; doi:10.1016/j.actaastro.2025.04.041</w:t>
            </w:r>
          </w:p>
        </w:tc>
      </w:tr>
      <w:tr>
        <w:tc>
          <w:tcPr>
            <w:tcW w:w="0" w:type="auto"/>
          </w:tcPr>
          <w:p>
            <w:pPr>
              <w:spacing w:line="240" w:lineRule="auto" w:before="0" w:after="0"/>
              <w:pStyle w:val="Compact"/>
            </w:pPr>
            <w:r>
              <w:rPr>
                <w:sz w:val="20"/>
                <w:szCs w:val="20"/>
              </w:rPr>
              <w:t xml:space="preserve">SP_PEAK_ETERNAL_LIGHT</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[illustrative] anchored to McKeown et al. (2025) peak of eternal light; doi:10.1016/j.actaastro.2025.04.041</w:t>
            </w:r>
          </w:p>
        </w:tc>
      </w:tr>
      <w:tr>
        <w:tc>
          <w:tcPr>
            <w:tcW w:w="0" w:type="auto"/>
          </w:tcPr>
          <w:p>
            <w:pPr>
              <w:spacing w:line="240" w:lineRule="auto" w:before="0" w:after="0"/>
              <w:pStyle w:val="Compact"/>
            </w:pPr>
            <w:r>
              <w:rPr>
                <w:sz w:val="20"/>
                <w:szCs w:val="20"/>
              </w:rPr>
              <w:t xml:space="preserve">SP_PSR_NEAR</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[illustrative] anchored to McKeown et al. (2025) deep PSR candidate; doi:10.1016/j.actaastro.2025.04.041</w:t>
            </w:r>
          </w:p>
        </w:tc>
      </w:tr>
      <w:tr>
        <w:tc>
          <w:tcPr>
            <w:tcW w:w="0" w:type="auto"/>
          </w:tcPr>
          <w:p>
            <w:pPr>
              <w:spacing w:line="240" w:lineRule="auto" w:before="0" w:after="0"/>
              <w:pStyle w:val="Compact"/>
            </w:pPr>
            <w:r>
              <w:rPr>
                <w:sz w:val="20"/>
                <w:szCs w:val="20"/>
              </w:rPr>
              <w:t xml:space="preserve">NRHO_OUTBOUND_ALT</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0.735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Pozzi et al. (2024) Gateway outbound transfer; doi:10.1016/j.actaastro.2024.11.040</w:t>
            </w:r>
          </w:p>
        </w:tc>
      </w:tr>
      <w:tr>
        <w:tc>
          <w:tcPr>
            <w:tcW w:w="0" w:type="auto"/>
          </w:tcPr>
          <w:p>
            <w:pPr>
              <w:spacing w:line="240" w:lineRule="auto" w:before="0" w:after="0"/>
              <w:pStyle w:val="Compact"/>
            </w:pPr>
            <w:r>
              <w:rPr>
                <w:sz w:val="20"/>
                <w:szCs w:val="20"/>
              </w:rPr>
              <w:t xml:space="preserve">EML1_MANIFOLD_FAST</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Wright et al. (2023) fast manifold branch; doi:10.64861/BVRP4972</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reach_share</w:t>
            </w:r>
          </w:p>
        </w:tc>
        <w:tc>
          <w:tcPr>
            <w:tcW w:w="0" w:type="auto"/>
          </w:tcPr>
          <w:p>
            <w:pPr>
              <w:spacing w:line="240" w:lineRule="auto" w:before="0" w:after="0"/>
              <w:pStyle w:val="Compact"/>
            </w:pPr>
            <w:r>
              <w:rPr>
                <w:sz w:val="20"/>
                <w:szCs w:val="20"/>
              </w:rPr>
              <w:t xml:space="preserve">Share of a fixed catalogue of mission-relevant cislunar transfers a node can service within budgeted delta-v and time-of-flight (0 to 1)</w:t>
            </w:r>
          </w:p>
        </w:tc>
        <w:tc>
          <w:tcPr>
            <w:tcW w:w="0" w:type="auto"/>
          </w:tcPr>
          <w:p>
            <w:pPr>
              <w:spacing w:line="240" w:lineRule="auto" w:before="0" w:after="0"/>
              <w:pStyle w:val="Compact"/>
            </w:pPr>
            <w:r>
              <w:rPr>
                <w:sz w:val="20"/>
                <w:szCs w:val="20"/>
              </w:rPr>
              <w:t xml:space="preserve">Computed from published trajectory tables in Kikuchi &amp; Ueda (2025), Pozzi et al. (2024), Wright et al. (2023), and McKeown et al. (2025)</w:t>
            </w:r>
          </w:p>
        </w:tc>
      </w:tr>
      <w:tr>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Indicator equal to 1 if the node is a Near Rectilinear Halo Orbit placement, 0 otherwise</w:t>
            </w:r>
          </w:p>
        </w:tc>
        <w:tc>
          <w:tcPr>
            <w:tcW w:w="0" w:type="auto"/>
          </w:tcPr>
          <w:p>
            <w:pPr>
              <w:spacing w:line="240" w:lineRule="auto" w:before="0" w:after="0"/>
              <w:pStyle w:val="Compact"/>
            </w:pPr>
            <w:r>
              <w:rPr>
                <w:sz w:val="20"/>
                <w:szCs w:val="20"/>
              </w:rPr>
              <w:t xml:space="preserve">Coded from prospectus node-class taxonomy; lunar south-polar surface is the reference class</w:t>
            </w:r>
          </w:p>
        </w:tc>
      </w:tr>
      <w:tr>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Indicator equal to 1 if the node is a collinear libration (Earth-Moon L1 or L2) placement, 0 otherwise</w:t>
            </w:r>
          </w:p>
        </w:tc>
        <w:tc>
          <w:tcPr>
            <w:tcW w:w="0" w:type="auto"/>
          </w:tcPr>
          <w:p>
            <w:pPr>
              <w:spacing w:line="240" w:lineRule="auto" w:before="0" w:after="0"/>
              <w:pStyle w:val="Compact"/>
            </w:pPr>
            <w:r>
              <w:rPr>
                <w:sz w:val="20"/>
                <w:szCs w:val="20"/>
              </w:rPr>
              <w:t xml:space="preserve">Coded from prospectus node-class taxonomy; lunar south-polar surface is the reference class</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Propellant supply geometry score (0 to 1) reflecting suitability for OTV propellant aggregation given transfer delta-v profile</w:t>
            </w:r>
          </w:p>
        </w:tc>
        <w:tc>
          <w:tcPr>
            <w:tcW w:w="0" w:type="auto"/>
          </w:tcPr>
          <w:p>
            <w:pPr>
              <w:spacing w:line="240" w:lineRule="auto" w:before="0" w:after="0"/>
              <w:pStyle w:val="Compact"/>
            </w:pPr>
            <w:r>
              <w:rPr>
                <w:sz w:val="20"/>
                <w:szCs w:val="20"/>
              </w:rPr>
              <w:t xml:space="preserve">Constructed from Kikuchi &amp; Ueda (2025) and Pozzi et al. (2024) low-thrust optimal transfer results</w:t>
            </w:r>
          </w:p>
        </w:tc>
      </w:tr>
      <w:tr>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Observation accessibility score (0 to 1) reflecting visibility, manifold connectivity, and SDA staring geometry from the node</w:t>
            </w:r>
          </w:p>
        </w:tc>
        <w:tc>
          <w:tcPr>
            <w:tcW w:w="0" w:type="auto"/>
          </w:tcPr>
          <w:p>
            <w:pPr>
              <w:spacing w:line="240" w:lineRule="auto" w:before="0" w:after="0"/>
              <w:pStyle w:val="Compact"/>
            </w:pPr>
            <w:r>
              <w:rPr>
                <w:sz w:val="20"/>
                <w:szCs w:val="20"/>
              </w:rPr>
              <w:t xml:space="preserve">Constructed from Bolden et al. (2020), Rosengren (2021), Wright et al. (2023), and Boh et al. (2025) cislunar SDA studies</w:t>
            </w:r>
          </w:p>
        </w:tc>
      </w:tr>
    </w:tbl>
    <w:bookmarkEnd w:id="198"/>
    <w:bookmarkEnd w:id="199"/>
    <w:bookmarkStart w:id="207" w:name="X948de4aa704d97818575c36e5522c72b78eaa79"/>
    <w:p>
      <w:pPr>
        <w:pStyle w:val="Heading2"/>
        <w:spacing w:line="480" w:lineRule="auto"/>
      </w:pPr>
      <w:r>
        <w:t xml:space="preserve">A.2 Logistics-Base Geography and Program Time-to-First-Flight on the Cislunar Sea: A Cox Proportional-Hazards Test</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sty m:val="p"/>
                    </m:rPr>
                    <m:t>P</m:t>
                  </m:r>
                  <m:r>
                    <m:rPr>
                      <m:sty m:val="p"/>
                    </m:rPr>
                    <m:t>o</m:t>
                  </m:r>
                  <m:r>
                    <m:rPr>
                      <m:sty m:val="p"/>
                    </m:rPr>
                    <m:t>l</m:t>
                  </m:r>
                  <m:r>
                    <m:rPr>
                      <m:sty m:val="p"/>
                    </m:rPr>
                    <m:t>a</m:t>
                  </m:r>
                  <m:r>
                    <m:rPr>
                      <m:sty m:val="p"/>
                    </m:rPr>
                    <m:t>r</m:t>
                  </m:r>
                </m:e>
                <m:sub>
                  <m:r>
                    <m:t>i</m:t>
                  </m:r>
                </m:sub>
              </m:sSub>
              <m:r>
                <m:rPr>
                  <m:sty m:val="p"/>
                </m:rPr>
                <m:t>+</m:t>
              </m:r>
              <m:sSub>
                <m:e>
                  <m:r>
                    <m:t>β</m:t>
                  </m:r>
                </m:e>
                <m:sub>
                  <m:r>
                    <m:t>2</m:t>
                  </m:r>
                </m:sub>
              </m:sSub>
              <m:r>
                <m:t> </m:t>
              </m:r>
              <m:sSub>
                <m:e>
                  <m:r>
                    <m:rPr>
                      <m:sty m:val="p"/>
                    </m:rPr>
                    <m:t>N</m:t>
                  </m:r>
                  <m:r>
                    <m:rPr>
                      <m:sty m:val="p"/>
                    </m:rPr>
                    <m:t>R</m:t>
                  </m:r>
                  <m:r>
                    <m:rPr>
                      <m:sty m:val="p"/>
                    </m:rPr>
                    <m:t>H</m:t>
                  </m:r>
                  <m:r>
                    <m:rPr>
                      <m:sty m:val="p"/>
                    </m:rPr>
                    <m:t>O</m:t>
                  </m:r>
                </m:e>
                <m:sub>
                  <m:r>
                    <m:t>i</m:t>
                  </m:r>
                </m:sub>
              </m:sSub>
              <m:r>
                <m:rPr>
                  <m:sty m:val="p"/>
                </m:rPr>
                <m:t>+</m:t>
              </m:r>
              <m:sSub>
                <m:e>
                  <m:r>
                    <m:t>β</m:t>
                  </m:r>
                </m:e>
                <m:sub>
                  <m:r>
                    <m:t>3</m:t>
                  </m:r>
                </m:sub>
              </m:sSub>
              <m:r>
                <m:t> </m:t>
              </m:r>
              <m:sSub>
                <m:e>
                  <m:r>
                    <m:rPr>
                      <m:sty m:val="p"/>
                    </m:rPr>
                    <m:t>C</m:t>
                  </m:r>
                  <m:r>
                    <m:rPr>
                      <m:sty m:val="p"/>
                    </m:rPr>
                    <m:t>a</m:t>
                  </m:r>
                  <m:r>
                    <m:rPr>
                      <m:sty m:val="p"/>
                    </m:rPr>
                    <m:t>r</m:t>
                  </m:r>
                  <m:r>
                    <m:rPr>
                      <m:sty m:val="p"/>
                    </m:rPr>
                    <m:t>g</m:t>
                  </m:r>
                  <m:r>
                    <m:rPr>
                      <m:sty m:val="p"/>
                    </m:rPr>
                    <m:t>o</m:t>
                  </m:r>
                </m:e>
                <m:sub>
                  <m:r>
                    <m:t>i</m:t>
                  </m:r>
                </m:sub>
              </m:sSub>
              <m:r>
                <m:rPr>
                  <m:sty m:val="p"/>
                </m:rPr>
                <m:t>+</m:t>
              </m:r>
              <m:sSub>
                <m:e>
                  <m:r>
                    <m:t>β</m:t>
                  </m:r>
                </m:e>
                <m:sub>
                  <m:r>
                    <m:t>4</m:t>
                  </m:r>
                </m:sub>
              </m:sSub>
              <m:r>
                <m:t> </m:t>
              </m:r>
              <m:sSub>
                <m:e>
                  <m:r>
                    <m:rPr>
                      <m:sty m:val="p"/>
                    </m:rPr>
                    <m:t>S</m:t>
                  </m:r>
                  <m:r>
                    <m:rPr>
                      <m:sty m:val="p"/>
                    </m:rPr>
                    <m:t>u</m:t>
                  </m:r>
                  <m:r>
                    <m:rPr>
                      <m:sty m:val="p"/>
                    </m:rPr>
                    <m:t>p</m:t>
                  </m:r>
                  <m:r>
                    <m:rPr>
                      <m:sty m:val="p"/>
                    </m:rPr>
                    <m:t>p</m:t>
                  </m:r>
                  <m:r>
                    <m:rPr>
                      <m:sty m:val="p"/>
                    </m:rPr>
                    <m:t>l</m:t>
                  </m:r>
                  <m:r>
                    <m:rPr>
                      <m:sty m:val="p"/>
                    </m:rPr>
                    <m:t>y</m:t>
                  </m:r>
                </m:e>
                <m:sub>
                  <m:r>
                    <m:t>i</m:t>
                  </m:r>
                </m:sub>
              </m:sSub>
            </m:e>
          </m:d>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0.6617</w:t>
            </w:r>
          </w:p>
        </w:tc>
        <w:tc>
          <w:tcPr>
            <w:tcW w:w="0" w:type="auto"/>
          </w:tcPr>
          <w:p>
            <w:pPr>
              <w:spacing w:line="240" w:lineRule="auto" w:before="0" w:after="0"/>
              <w:pStyle w:val="Compact"/>
            </w:pPr>
            <w:r>
              <w:rPr>
                <w:sz w:val="20"/>
                <w:szCs w:val="20"/>
              </w:rPr>
              <w:t xml:space="preserve">0.5588</w:t>
            </w:r>
          </w:p>
        </w:tc>
        <w:tc>
          <w:tcPr>
            <w:tcW w:w="0" w:type="auto"/>
          </w:tcPr>
          <w:p>
            <w:pPr>
              <w:spacing w:line="240" w:lineRule="auto" w:before="0" w:after="0"/>
              <w:pStyle w:val="Compact"/>
            </w:pPr>
            <w:r>
              <w:rPr>
                <w:sz w:val="20"/>
                <w:szCs w:val="20"/>
              </w:rPr>
              <w:t xml:space="preserve">1.1842</w:t>
            </w:r>
          </w:p>
        </w:tc>
        <w:tc>
          <w:tcPr>
            <w:tcW w:w="0" w:type="auto"/>
          </w:tcPr>
          <w:p>
            <w:pPr>
              <w:spacing w:line="240" w:lineRule="auto" w:before="0" w:after="0"/>
              <w:pStyle w:val="Compact"/>
            </w:pPr>
            <w:r>
              <w:rPr>
                <w:sz w:val="20"/>
                <w:szCs w:val="20"/>
              </w:rPr>
              <w:t xml:space="preserve">0.2363</w:t>
            </w:r>
          </w:p>
        </w:tc>
        <w:tc>
          <w:tcPr>
            <w:tcW w:w="0" w:type="auto"/>
          </w:tcPr>
          <w:p>
            <w:pPr>
              <w:spacing w:line="240" w:lineRule="auto" w:before="0" w:after="0"/>
              <w:pStyle w:val="Compact"/>
            </w:pPr>
            <w:r>
              <w:rPr>
                <w:sz w:val="20"/>
                <w:szCs w:val="20"/>
              </w:rPr>
              <w:t xml:space="preserve">[-0.4335, 1.757]</w:t>
            </w:r>
          </w:p>
        </w:tc>
        <w:tc>
          <w:tcPr>
            <w:tcW w:w="0" w:type="auto"/>
          </w:tcPr>
          <w:p>
            <w:pPr>
              <w:spacing w:line="240" w:lineRule="auto" w:before="0" w:after="0"/>
              <w:pStyle w:val="Compact"/>
            </w:pPr>
            <w:r>
              <w:rPr>
                <w:sz w:val="20"/>
                <w:szCs w:val="20"/>
              </w:rPr>
              <w:t xml:space="preserve">1.9381</w:t>
            </w:r>
          </w:p>
        </w:tc>
      </w:tr>
      <w:tr>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0.979</w:t>
            </w:r>
          </w:p>
        </w:tc>
        <w:tc>
          <w:tcPr>
            <w:tcW w:w="0" w:type="auto"/>
          </w:tcPr>
          <w:p>
            <w:pPr>
              <w:spacing w:line="240" w:lineRule="auto" w:before="0" w:after="0"/>
              <w:pStyle w:val="Compact"/>
            </w:pPr>
            <w:r>
              <w:rPr>
                <w:sz w:val="20"/>
                <w:szCs w:val="20"/>
              </w:rPr>
              <w:t xml:space="preserve">1.4659</w:t>
            </w:r>
          </w:p>
        </w:tc>
        <w:tc>
          <w:tcPr>
            <w:tcW w:w="0" w:type="auto"/>
          </w:tcPr>
          <w:p>
            <w:pPr>
              <w:spacing w:line="240" w:lineRule="auto" w:before="0" w:after="0"/>
              <w:pStyle w:val="Compact"/>
            </w:pPr>
            <w:r>
              <w:rPr>
                <w:sz w:val="20"/>
                <w:szCs w:val="20"/>
              </w:rPr>
              <w:t xml:space="preserve">0.6679</w:t>
            </w:r>
          </w:p>
        </w:tc>
        <w:tc>
          <w:tcPr>
            <w:tcW w:w="0" w:type="auto"/>
          </w:tcPr>
          <w:p>
            <w:pPr>
              <w:spacing w:line="240" w:lineRule="auto" w:before="0" w:after="0"/>
              <w:pStyle w:val="Compact"/>
            </w:pPr>
            <w:r>
              <w:rPr>
                <w:sz w:val="20"/>
                <w:szCs w:val="20"/>
              </w:rPr>
              <w:t xml:space="preserve">0.5042</w:t>
            </w:r>
          </w:p>
        </w:tc>
        <w:tc>
          <w:tcPr>
            <w:tcW w:w="0" w:type="auto"/>
          </w:tcPr>
          <w:p>
            <w:pPr>
              <w:spacing w:line="240" w:lineRule="auto" w:before="0" w:after="0"/>
              <w:pStyle w:val="Compact"/>
            </w:pPr>
            <w:r>
              <w:rPr>
                <w:sz w:val="20"/>
                <w:szCs w:val="20"/>
              </w:rPr>
              <w:t xml:space="preserve">[-1.8941, 3.8521]</w:t>
            </w:r>
          </w:p>
        </w:tc>
        <w:tc>
          <w:tcPr>
            <w:tcW w:w="0" w:type="auto"/>
          </w:tcPr>
          <w:p>
            <w:pPr>
              <w:spacing w:line="240" w:lineRule="auto" w:before="0" w:after="0"/>
              <w:pStyle w:val="Compact"/>
            </w:pPr>
            <w:r>
              <w:rPr>
                <w:sz w:val="20"/>
                <w:szCs w:val="20"/>
              </w:rPr>
              <w:t xml:space="preserve">2.6618</w:t>
            </w:r>
          </w:p>
        </w:tc>
      </w:tr>
      <w:tr>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-1.1034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-1.554</w:t>
            </w:r>
          </w:p>
        </w:tc>
        <w:tc>
          <w:tcPr>
            <w:tcW w:w="0" w:type="auto"/>
          </w:tcPr>
          <w:p>
            <w:pPr>
              <w:spacing w:line="240" w:lineRule="auto" w:before="0" w:after="0"/>
              <w:pStyle w:val="Compact"/>
            </w:pPr>
            <w:r>
              <w:rPr>
                <w:sz w:val="20"/>
                <w:szCs w:val="20"/>
              </w:rPr>
              <w:t xml:space="preserve">0.1202</w:t>
            </w:r>
          </w:p>
        </w:tc>
        <w:tc>
          <w:tcPr>
            <w:tcW w:w="0" w:type="auto"/>
          </w:tcPr>
          <w:p>
            <w:pPr>
              <w:spacing w:line="240" w:lineRule="auto" w:before="0" w:after="0"/>
              <w:pStyle w:val="Compact"/>
            </w:pPr>
            <w:r>
              <w:rPr>
                <w:sz w:val="20"/>
                <w:szCs w:val="20"/>
              </w:rPr>
              <w:t xml:space="preserve">[-2.495, 0.2882]</w:t>
            </w:r>
          </w:p>
        </w:tc>
        <w:tc>
          <w:tcPr>
            <w:tcW w:w="0" w:type="auto"/>
          </w:tcPr>
          <w:p>
            <w:pPr>
              <w:spacing w:line="240" w:lineRule="auto" w:before="0" w:after="0"/>
              <w:pStyle w:val="Compact"/>
            </w:pPr>
            <w:r>
              <w:rPr>
                <w:sz w:val="20"/>
                <w:szCs w:val="20"/>
              </w:rPr>
              <w:t xml:space="preserve">0.3318</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-5.0063</w:t>
            </w:r>
          </w:p>
        </w:tc>
        <w:tc>
          <w:tcPr>
            <w:tcW w:w="0" w:type="auto"/>
          </w:tcPr>
          <w:p>
            <w:pPr>
              <w:spacing w:line="240" w:lineRule="auto" w:before="0" w:after="0"/>
              <w:pStyle w:val="Compact"/>
            </w:pPr>
            <w:r>
              <w:rPr>
                <w:sz w:val="20"/>
                <w:szCs w:val="20"/>
              </w:rPr>
              <w:t xml:space="preserve">3.7565</w:t>
            </w:r>
          </w:p>
        </w:tc>
        <w:tc>
          <w:tcPr>
            <w:tcW w:w="0" w:type="auto"/>
          </w:tcPr>
          <w:p>
            <w:pPr>
              <w:spacing w:line="240" w:lineRule="auto" w:before="0" w:after="0"/>
              <w:pStyle w:val="Compact"/>
            </w:pPr>
            <w:r>
              <w:rPr>
                <w:sz w:val="20"/>
                <w:szCs w:val="20"/>
              </w:rPr>
              <w:t xml:space="preserve">-1.3327</w:t>
            </w:r>
          </w:p>
        </w:tc>
        <w:tc>
          <w:tcPr>
            <w:tcW w:w="0" w:type="auto"/>
          </w:tcPr>
          <w:p>
            <w:pPr>
              <w:spacing w:line="240" w:lineRule="auto" w:before="0" w:after="0"/>
              <w:pStyle w:val="Compact"/>
            </w:pPr>
            <w:r>
              <w:rPr>
                <w:sz w:val="20"/>
                <w:szCs w:val="20"/>
              </w:rPr>
              <w:t xml:space="preserve">0.1826</w:t>
            </w:r>
          </w:p>
        </w:tc>
        <w:tc>
          <w:tcPr>
            <w:tcW w:w="0" w:type="auto"/>
          </w:tcPr>
          <w:p>
            <w:pPr>
              <w:spacing w:line="240" w:lineRule="auto" w:before="0" w:after="0"/>
              <w:pStyle w:val="Compact"/>
            </w:pPr>
            <w:r>
              <w:rPr>
                <w:sz w:val="20"/>
                <w:szCs w:val="20"/>
              </w:rPr>
              <w:t xml:space="preserve">[-12.369, 2.3565]</w:t>
            </w:r>
          </w:p>
        </w:tc>
        <w:tc>
          <w:tcPr>
            <w:tcW w:w="0" w:type="auto"/>
          </w:tcPr>
          <w:p>
            <w:pPr>
              <w:spacing w:line="240" w:lineRule="auto" w:before="0" w:after="0"/>
              <w:pStyle w:val="Compact"/>
            </w:pPr>
            <w:r>
              <w:rPr>
                <w:sz w:val="20"/>
                <w:szCs w:val="20"/>
              </w:rPr>
              <w:t xml:space="preserve">0.0067</w:t>
            </w:r>
          </w:p>
        </w:tc>
      </w:tr>
    </w:tbl>
    <w:p>
      <w:pPr>
        <w:pStyle w:val="BodyText"/>
        <w:spacing w:line="480" w:lineRule="auto"/>
        <w:ind w:firstLine="720"/>
      </w:pPr>
      <w:r>
        <w:t xml:space="preserve">Fit: N = 32 events = 22</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rogram duration to first flight against propellant supply geometry index across 32 lunar and cislunar programs drawn from NASA, GAO Major Project Assessments, and international space-agency press kits. Censored programs (event=0) are still in development or were cancelled prior to flight." title="" id="202" name="Picture"/>
            <a:graphic>
              <a:graphicData uri="http://schemas.openxmlformats.org/drawingml/2006/picture">
                <pic:pic>
                  <pic:nvPicPr>
                    <pic:cNvPr descr="D:/Claude_Code/brain/collegium/candidates/dissertations/CISLUNAR_DEV_08/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Program duration to first flight against propellant supply geometry index across 32 lunar and cislunar programs drawn from NASA, GAO Major Project Assessments, and international space-agency press kits. Censored programs (event=0) are still in development or were cancelled prior to flight.</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Artemis I</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NASA Artemis I Press Kit Nov 2022; GAO-22-105212 NASA Major Projects March 2022</w:t>
            </w:r>
          </w:p>
        </w:tc>
      </w:tr>
      <w:tr>
        <w:tc>
          <w:tcPr>
            <w:tcW w:w="0" w:type="auto"/>
          </w:tcPr>
          <w:p>
            <w:pPr>
              <w:spacing w:line="240" w:lineRule="auto" w:before="0" w:after="0"/>
              <w:pStyle w:val="Compact"/>
            </w:pPr>
            <w:r>
              <w:rPr>
                <w:sz w:val="20"/>
                <w:szCs w:val="20"/>
              </w:rPr>
              <w:t xml:space="preserve">Artemis II</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GAO-25-107591 NASA Assessments of Major Projects May 2025</w:t>
            </w:r>
          </w:p>
        </w:tc>
      </w:tr>
      <w:tr>
        <w:tc>
          <w:tcPr>
            <w:tcW w:w="0" w:type="auto"/>
          </w:tcPr>
          <w:p>
            <w:pPr>
              <w:spacing w:line="240" w:lineRule="auto" w:before="0" w:after="0"/>
              <w:pStyle w:val="Compact"/>
            </w:pPr>
            <w:r>
              <w:rPr>
                <w:sz w:val="20"/>
                <w:szCs w:val="20"/>
              </w:rPr>
              <w:t xml:space="preserve">Artemis III</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GAO-25-107591 NASA Assessments of Major Projects May 2025</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GAO-25-107591 NASA Assessments of Major Projects May 2025; NASA Gateway program page 2024</w:t>
            </w:r>
          </w:p>
        </w:tc>
      </w:tr>
      <w:tr>
        <w:tc>
          <w:tcPr>
            <w:tcW w:w="0" w:type="auto"/>
          </w:tcPr>
          <w:p>
            <w:pPr>
              <w:spacing w:line="240" w:lineRule="auto" w:before="0" w:after="0"/>
              <w:pStyle w:val="Compact"/>
            </w:pPr>
            <w:r>
              <w:rPr>
                <w:sz w:val="20"/>
                <w:szCs w:val="20"/>
              </w:rPr>
              <w:t xml:space="preserve">HLS Starship</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NASA HLS Option A award April 2021; GAO-24-106767 NASA Major Projects May 2024</w:t>
            </w:r>
          </w:p>
        </w:tc>
      </w:tr>
      <w:tr>
        <w:tc>
          <w:tcPr>
            <w:tcW w:w="0" w:type="auto"/>
          </w:tcPr>
          <w:p>
            <w:pPr>
              <w:spacing w:line="240" w:lineRule="auto" w:before="0" w:after="0"/>
              <w:pStyle w:val="Compact"/>
            </w:pPr>
            <w:r>
              <w:rPr>
                <w:sz w:val="20"/>
                <w:szCs w:val="20"/>
              </w:rPr>
              <w:t xml:space="preserve">HLS Blue Moon</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NASA HLS Sustained Lunar Development award May 2023; GAO-25-107591</w:t>
            </w:r>
          </w:p>
        </w:tc>
      </w:tr>
      <w:tr>
        <w:tc>
          <w:tcPr>
            <w:tcW w:w="0" w:type="auto"/>
          </w:tcPr>
          <w:p>
            <w:pPr>
              <w:spacing w:line="240" w:lineRule="auto" w:before="0" w:after="0"/>
              <w:pStyle w:val="Compact"/>
            </w:pPr>
            <w:r>
              <w:rPr>
                <w:sz w:val="20"/>
                <w:szCs w:val="20"/>
              </w:rPr>
              <w:t xml:space="preserve">CLPS IM-1 Nova-C</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CLPS task order 2-AB May 2019; Intuitive Machines IM-1 press kit Feb 2024</w:t>
            </w:r>
          </w:p>
        </w:tc>
      </w:tr>
      <w:tr>
        <w:tc>
          <w:tcPr>
            <w:tcW w:w="0" w:type="auto"/>
          </w:tcPr>
          <w:p>
            <w:pPr>
              <w:spacing w:line="240" w:lineRule="auto" w:before="0" w:after="0"/>
              <w:pStyle w:val="Compact"/>
            </w:pPr>
            <w:r>
              <w:rPr>
                <w:sz w:val="20"/>
                <w:szCs w:val="20"/>
              </w:rPr>
              <w:t xml:space="preserve">CLPS Peregrine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NASA CLPS task order 19C May 2019; Astrobotic Peregrine press kit Jan 2024</w:t>
            </w:r>
          </w:p>
        </w:tc>
      </w:tr>
      <w:tr>
        <w:tc>
          <w:tcPr>
            <w:tcW w:w="0" w:type="auto"/>
          </w:tcPr>
          <w:p>
            <w:pPr>
              <w:spacing w:line="240" w:lineRule="auto" w:before="0" w:after="0"/>
              <w:pStyle w:val="Compact"/>
            </w:pPr>
            <w:r>
              <w:rPr>
                <w:sz w:val="20"/>
                <w:szCs w:val="20"/>
              </w:rPr>
              <w:t xml:space="preserve">CLPS IM-2 Athena</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NASA CLPS task order CP-11 Oct 2020; Intuitive Machines IM-2 press release Mar 2025</w:t>
            </w:r>
          </w:p>
        </w:tc>
      </w:tr>
      <w:tr>
        <w:tc>
          <w:tcPr>
            <w:tcW w:w="0" w:type="auto"/>
          </w:tcPr>
          <w:p>
            <w:pPr>
              <w:spacing w:line="240" w:lineRule="auto" w:before="0" w:after="0"/>
              <w:pStyle w:val="Compact"/>
            </w:pPr>
            <w:r>
              <w:rPr>
                <w:sz w:val="20"/>
                <w:szCs w:val="20"/>
              </w:rPr>
              <w:t xml:space="preserve">CLPS Blue Ghost M1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CLPS task order CP-18 Feb 2021; Firefly Aerospace Blue Ghost press kit Mar 2025</w:t>
            </w:r>
          </w:p>
        </w:tc>
      </w:tr>
      <w:tr>
        <w:tc>
          <w:tcPr>
            <w:tcW w:w="0" w:type="auto"/>
          </w:tcPr>
          <w:p>
            <w:pPr>
              <w:spacing w:line="240" w:lineRule="auto" w:before="0" w:after="0"/>
              <w:pStyle w:val="Compact"/>
            </w:pPr>
            <w:r>
              <w:rPr>
                <w:sz w:val="20"/>
                <w:szCs w:val="20"/>
              </w:rPr>
              <w:t xml:space="preserve">CLPS VIPER</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NASA CLPS task order Apr 2020; NASA VIPER cancellation announcement July 2024; GAO-25-107591</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NASA LRO Press Kit June 2009; NASA NSSDCA 2009-031A</w:t>
            </w:r>
          </w:p>
        </w:tc>
      </w:tr>
      <w:tr>
        <w:tc>
          <w:tcPr>
            <w:tcW w:w="0" w:type="auto"/>
          </w:tcPr>
          <w:p>
            <w:pPr>
              <w:spacing w:line="240" w:lineRule="auto" w:before="0" w:after="0"/>
              <w:pStyle w:val="Compact"/>
            </w:pPr>
            <w:r>
              <w:rPr>
                <w:sz w:val="20"/>
                <w:szCs w:val="20"/>
              </w:rPr>
              <w:t xml:space="preserve">LCROSS</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NASA LCROSS Press Kit June 2009; NASA NSSDCA 2009-031B</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NASA GRAIL Press Kit Sept 2011; NASA NSSDCA 2011-046A</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NASA LADEE Press Kit Sept 2013; NASA NSSDCA 2013-047A</w:t>
            </w:r>
          </w:p>
        </w:tc>
      </w:tr>
      <w:tr>
        <w:tc>
          <w:tcPr>
            <w:tcW w:w="0" w:type="auto"/>
          </w:tcPr>
          <w:p>
            <w:pPr>
              <w:spacing w:line="240" w:lineRule="auto" w:before="0" w:after="0"/>
              <w:pStyle w:val="Compact"/>
            </w:pPr>
            <w:r>
              <w:rPr>
                <w:sz w:val="20"/>
                <w:szCs w:val="20"/>
              </w:rPr>
              <w:t xml:space="preserve">Change3</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CNSA Chang’e 3 mission release Dec 2013; Acta Astronautica 100 (2014) 89-91</w:t>
            </w:r>
          </w:p>
        </w:tc>
      </w:tr>
      <w:tr>
        <w:tc>
          <w:tcPr>
            <w:tcW w:w="0" w:type="auto"/>
          </w:tcPr>
          <w:p>
            <w:pPr>
              <w:spacing w:line="240" w:lineRule="auto" w:before="0" w:after="0"/>
              <w:pStyle w:val="Compact"/>
            </w:pPr>
            <w:r>
              <w:rPr>
                <w:sz w:val="20"/>
                <w:szCs w:val="20"/>
              </w:rPr>
              <w:t xml:space="preserve">Change4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CNSA Chang’e 4 mission release Jan 2019; Acta Astronautica 162 (2019) 113-123</w:t>
            </w:r>
          </w:p>
        </w:tc>
      </w:tr>
      <w:tr>
        <w:tc>
          <w:tcPr>
            <w:tcW w:w="0" w:type="auto"/>
          </w:tcPr>
          <w:p>
            <w:pPr>
              <w:spacing w:line="240" w:lineRule="auto" w:before="0" w:after="0"/>
              <w:pStyle w:val="Compact"/>
            </w:pPr>
            <w:r>
              <w:rPr>
                <w:sz w:val="20"/>
                <w:szCs w:val="20"/>
              </w:rPr>
              <w:t xml:space="preserve">Change5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CNSA Chang’e 5 mission release Dec 2020; Acta Astronautica 187 (2021) 207-219</w:t>
            </w:r>
          </w:p>
        </w:tc>
      </w:tr>
      <w:tr>
        <w:tc>
          <w:tcPr>
            <w:tcW w:w="0" w:type="auto"/>
          </w:tcPr>
          <w:p>
            <w:pPr>
              <w:spacing w:line="240" w:lineRule="auto" w:before="0" w:after="0"/>
              <w:pStyle w:val="Compact"/>
            </w:pPr>
            <w:r>
              <w:rPr>
                <w:sz w:val="20"/>
                <w:szCs w:val="20"/>
              </w:rPr>
              <w:t xml:space="preserve">Change6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CNSA Chang’e 6 mission release June 2024; Acta Astronautica 234 (2025) 1-12</w:t>
            </w:r>
          </w:p>
        </w:tc>
      </w:tr>
      <w:tr>
        <w:tc>
          <w:tcPr>
            <w:tcW w:w="0" w:type="auto"/>
          </w:tcPr>
          <w:p>
            <w:pPr>
              <w:spacing w:line="240" w:lineRule="auto" w:before="0" w:after="0"/>
              <w:pStyle w:val="Compact"/>
            </w:pPr>
            <w:r>
              <w:rPr>
                <w:sz w:val="20"/>
                <w:szCs w:val="20"/>
              </w:rPr>
              <w:t xml:space="preserve">Chandrayaan2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ISRO Chandrayaan-2 press kit July 2019; Acta Astronautica 167 (2020) 365-376</w:t>
            </w:r>
          </w:p>
        </w:tc>
      </w:tr>
      <w:tr>
        <w:tc>
          <w:tcPr>
            <w:tcW w:w="0" w:type="auto"/>
          </w:tcPr>
          <w:p>
            <w:pPr>
              <w:spacing w:line="240" w:lineRule="auto" w:before="0" w:after="0"/>
              <w:pStyle w:val="Compact"/>
            </w:pPr>
            <w:r>
              <w:rPr>
                <w:sz w:val="20"/>
                <w:szCs w:val="20"/>
              </w:rPr>
              <w:t xml:space="preserve">Chandrayaan3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ISRO Chandrayaan-3 press kit July 2023; Acta Astronautica 215 (2024) 75-84</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JAXA SLIM press kit Sept 2023; Acta Astronautica 220 (2024) 364-373</w:t>
            </w:r>
          </w:p>
        </w:tc>
      </w:tr>
      <w:tr>
        <w:tc>
          <w:tcPr>
            <w:tcW w:w="0" w:type="auto"/>
          </w:tcPr>
          <w:p>
            <w:pPr>
              <w:spacing w:line="240" w:lineRule="auto" w:before="0" w:after="0"/>
              <w:pStyle w:val="Compact"/>
            </w:pPr>
            <w:r>
              <w:rPr>
                <w:sz w:val="20"/>
                <w:szCs w:val="20"/>
              </w:rPr>
              <w:t xml:space="preserve">KPLO Danuri</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KARI KPLO press kit Aug 2022; Acta Astronautica 211 (2023) 234-243</w:t>
            </w:r>
          </w:p>
        </w:tc>
      </w:tr>
      <w:tr>
        <w:tc>
          <w:tcPr>
            <w:tcW w:w="0" w:type="auto"/>
          </w:tcPr>
          <w:p>
            <w:pPr>
              <w:spacing w:line="240" w:lineRule="auto" w:before="0" w:after="0"/>
              <w:pStyle w:val="Compact"/>
            </w:pPr>
            <w:r>
              <w:rPr>
                <w:sz w:val="20"/>
                <w:szCs w:val="20"/>
              </w:rPr>
              <w:t xml:space="preserve">Hakuto-R M1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ispace Hakuto-R M1 press kit Dec 2022; Acta Astronautica 207 (2023) 416-425</w:t>
            </w:r>
          </w:p>
        </w:tc>
      </w:tr>
      <w:tr>
        <w:tc>
          <w:tcPr>
            <w:tcW w:w="0" w:type="auto"/>
          </w:tcPr>
          <w:p>
            <w:pPr>
              <w:spacing w:line="240" w:lineRule="auto" w:before="0" w:after="0"/>
              <w:pStyle w:val="Compact"/>
            </w:pPr>
            <w:r>
              <w:rPr>
                <w:sz w:val="20"/>
                <w:szCs w:val="20"/>
              </w:rPr>
              <w:t xml:space="preserve">Hakuto-R M2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ispace mission 2 press release Sept 2024; ispace Resilience overview</w:t>
            </w:r>
          </w:p>
        </w:tc>
      </w:tr>
      <w:tr>
        <w:tc>
          <w:tcPr>
            <w:tcW w:w="0" w:type="auto"/>
          </w:tcPr>
          <w:p>
            <w:pPr>
              <w:spacing w:line="240" w:lineRule="auto" w:before="0" w:after="0"/>
              <w:pStyle w:val="Compact"/>
            </w:pPr>
            <w:r>
              <w:rPr>
                <w:sz w:val="20"/>
                <w:szCs w:val="20"/>
              </w:rPr>
              <w:t xml:space="preserve">Luna25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Roscosmos Luna 25 release Aug 2023; Acta Astronautica 213 (2023) 614-625</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ESA SMART-1 press kit Sept 2003; Acta Astronautica 57 (2005) 132-141 [illustrative duration]</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NASA SIMPLEx selection 2019; NASA Lunar Trailblazer press kit Feb 2025</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NASA CAPSTONE press kit June 2022; Advanced Space CAPSTONE release Nov 2022</w:t>
            </w:r>
          </w:p>
        </w:tc>
      </w:tr>
      <w:tr>
        <w:tc>
          <w:tcPr>
            <w:tcW w:w="0" w:type="auto"/>
          </w:tcPr>
          <w:p>
            <w:pPr>
              <w:spacing w:line="240" w:lineRule="auto" w:before="0" w:after="0"/>
              <w:pStyle w:val="Compact"/>
            </w:pPr>
            <w:r>
              <w:rPr>
                <w:sz w:val="20"/>
                <w:szCs w:val="20"/>
              </w:rPr>
              <w:t xml:space="preserve">ispace APEX</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ispace mission 3 press release 2024; Draper CLPS task order CP-12 July 2022</w:t>
            </w:r>
          </w:p>
        </w:tc>
      </w:tr>
      <w:tr>
        <w:tc>
          <w:tcPr>
            <w:tcW w:w="0" w:type="auto"/>
          </w:tcPr>
          <w:p>
            <w:pPr>
              <w:spacing w:line="240" w:lineRule="auto" w:before="0" w:after="0"/>
              <w:pStyle w:val="Compact"/>
            </w:pPr>
            <w:r>
              <w:rPr>
                <w:sz w:val="20"/>
                <w:szCs w:val="20"/>
              </w:rPr>
              <w:t xml:space="preserve">CLPS Griffin M1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NASA CLPS task order 19D Nov 2020; Astrobotic Griffin program update 2024 [illustrative duration]</w:t>
            </w:r>
          </w:p>
        </w:tc>
      </w:tr>
      <w:tr>
        <w:tc>
          <w:tcPr>
            <w:tcW w:w="0" w:type="auto"/>
          </w:tcPr>
          <w:p>
            <w:pPr>
              <w:spacing w:line="240" w:lineRule="auto" w:before="0" w:after="0"/>
              <w:pStyle w:val="Compact"/>
            </w:pPr>
            <w:r>
              <w:rPr>
                <w:sz w:val="20"/>
                <w:szCs w:val="20"/>
              </w:rPr>
              <w:t xml:space="preserve">Lunar Pathfinder</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ESA Moonlight initiative announcement 2022; SSTL Lunar Pathfinder press release [illustrative duration]</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Elapsed months from program authorization or contract award to first flight (event=1) or to data-cutoff censoring (event=0). Duration variable in the Cox model.</w:t>
            </w:r>
          </w:p>
        </w:tc>
        <w:tc>
          <w:tcPr>
            <w:tcW w:w="0" w:type="auto"/>
          </w:tcPr>
          <w:p>
            <w:pPr>
              <w:spacing w:line="240" w:lineRule="auto" w:before="0" w:after="0"/>
              <w:pStyle w:val="Compact"/>
            </w:pPr>
            <w:r>
              <w:rPr>
                <w:sz w:val="20"/>
                <w:szCs w:val="20"/>
              </w:rPr>
              <w:t xml:space="preserve">Computed from NASA press kits, GAO Major Project Assessments (gao-22-105212, gao-24-106767, gao-25-107591), CNSA / ISRO / JAXA / KARI mission releases, and the Acta Astronautica references listed in the source column.</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program reached first flight by the data cutoff (October 2026); 0 if the program remained in development or was cancelled prior to flight.</w:t>
            </w:r>
          </w:p>
        </w:tc>
        <w:tc>
          <w:tcPr>
            <w:tcW w:w="0" w:type="auto"/>
          </w:tcPr>
          <w:p>
            <w:pPr>
              <w:spacing w:line="240" w:lineRule="auto" w:before="0" w:after="0"/>
              <w:pStyle w:val="Compact"/>
            </w:pPr>
            <w:r>
              <w:rPr>
                <w:sz w:val="20"/>
                <w:szCs w:val="20"/>
              </w:rPr>
              <w:t xml:space="preserve">Coded from mission press kits and the GAO Major Project Assessments cited per observation.</w:t>
            </w:r>
          </w:p>
        </w:tc>
      </w:tr>
      <w:tr>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Indicator equal to 1 if the program targets a lunar south-polar surface node; 0 otherwise.</w:t>
            </w:r>
          </w:p>
        </w:tc>
        <w:tc>
          <w:tcPr>
            <w:tcW w:w="0" w:type="auto"/>
          </w:tcPr>
          <w:p>
            <w:pPr>
              <w:spacing w:line="240" w:lineRule="auto" w:before="0" w:after="0"/>
              <w:pStyle w:val="Compact"/>
            </w:pPr>
            <w:r>
              <w:rPr>
                <w:sz w:val="20"/>
                <w:szCs w:val="20"/>
              </w:rPr>
              <w:t xml:space="preserve">Coded from each program’s published target landing or operating site (NASA Artemis architecture documents; CLPS task-order announcements; CNSA Chang’e 6 release; ISRO Chandrayaan-3 mission overview).</w:t>
            </w:r>
          </w:p>
        </w:tc>
      </w:tr>
      <w:tr>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Indicator equal to 1 if the program operates in or transits a Near Rectilinear Halo Orbit; 0 otherwise.</w:t>
            </w:r>
          </w:p>
        </w:tc>
        <w:tc>
          <w:tcPr>
            <w:tcW w:w="0" w:type="auto"/>
          </w:tcPr>
          <w:p>
            <w:pPr>
              <w:spacing w:line="240" w:lineRule="auto" w:before="0" w:after="0"/>
              <w:pStyle w:val="Compact"/>
            </w:pPr>
            <w:r>
              <w:rPr>
                <w:sz w:val="20"/>
                <w:szCs w:val="20"/>
              </w:rPr>
              <w:t xml:space="preserve">Coded from program-of-record orbital design (NASA Artemis I-III; Gateway PPE-HALO; CAPSTONE).</w:t>
            </w:r>
          </w:p>
        </w:tc>
      </w:tr>
      <w:tr>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Indicator equal to 1 if the program carries crew or large cargo (over 500 kg useful payload to the lunar surface or to NRHO); 0 otherwise.</w:t>
            </w:r>
          </w:p>
        </w:tc>
        <w:tc>
          <w:tcPr>
            <w:tcW w:w="0" w:type="auto"/>
          </w:tcPr>
          <w:p>
            <w:pPr>
              <w:spacing w:line="240" w:lineRule="auto" w:before="0" w:after="0"/>
              <w:pStyle w:val="Compact"/>
            </w:pPr>
            <w:r>
              <w:rPr>
                <w:sz w:val="20"/>
                <w:szCs w:val="20"/>
              </w:rPr>
              <w:t xml:space="preserve">Coded from each program’s published payload mass class in NASA Artemis architecture documents, HLS award descriptions, and CNSA/ISRO mission overviews.</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Index in 0 to 1 of the program’s access to an established or planned propellant supply chain to Gateway or to a lunar surface depot, drawn from the Kikuchi &amp; Ueda 2025 and Pozzi et al. 2024 propellant-architecture taxonomies.</w:t>
            </w:r>
          </w:p>
        </w:tc>
        <w:tc>
          <w:tcPr>
            <w:tcW w:w="0" w:type="auto"/>
          </w:tcPr>
          <w:p>
            <w:pPr>
              <w:spacing w:line="240" w:lineRule="auto" w:before="0" w:after="0"/>
              <w:pStyle w:val="Compact"/>
            </w:pPr>
            <w:r>
              <w:rPr>
                <w:sz w:val="20"/>
                <w:szCs w:val="20"/>
              </w:rPr>
              <w:t xml:space="preserve">Constructed by the analyst from low-thrust optimal-transfer propellant geometry results in Kikuchi &amp; Ueda (2025) and Pozzi, Pontani, Beolchi &amp; Fantino (2024); rescaled to the [0,1] interval over the observed sample.</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81" Type="http://schemas.openxmlformats.org/officeDocument/2006/relationships/hyperlink" Target="https://doi.org/10.1016/j.actaastro.2016.06.018" TargetMode="External"/><Relationship Id="rId176" Type="http://schemas.openxmlformats.org/officeDocument/2006/relationships/hyperlink" Target="https://doi.org/10.1016/j.actaastro.2017.07.023" TargetMode="External"/><Relationship Id="rId183" Type="http://schemas.openxmlformats.org/officeDocument/2006/relationships/hyperlink" Target="https://doi.org/10.1016/j.actaastro.2020.04.060" TargetMode="External"/><Relationship Id="rId123" Type="http://schemas.openxmlformats.org/officeDocument/2006/relationships/hyperlink" Target="https://doi.org/10.1016/j.actaastro.2021.01.017" TargetMode="External"/><Relationship Id="rId189" Type="http://schemas.openxmlformats.org/officeDocument/2006/relationships/hyperlink" Target="https://doi.org/10.1016/j.actaastro.2024.05.007" TargetMode="External"/><Relationship Id="rId148" Type="http://schemas.openxmlformats.org/officeDocument/2006/relationships/hyperlink" Target="https://doi.org/10.1016/j.actaastro.2024.05.036" TargetMode="External"/><Relationship Id="rId127" Type="http://schemas.openxmlformats.org/officeDocument/2006/relationships/hyperlink" Target="https://doi.org/10.1016/j.actaastro.2024.11.040" TargetMode="External"/><Relationship Id="rId178" Type="http://schemas.openxmlformats.org/officeDocument/2006/relationships/hyperlink" Target="https://doi.org/10.1016/j.actaastro.2025.03.019" TargetMode="External"/><Relationship Id="rId125" Type="http://schemas.openxmlformats.org/officeDocument/2006/relationships/hyperlink" Target="https://doi.org/10.1016/j.actaastro.2025.04.041" TargetMode="External"/><Relationship Id="rId187" Type="http://schemas.openxmlformats.org/officeDocument/2006/relationships/hyperlink" Target="https://doi.org/10.1016/j.actaastro.2025.05.055" TargetMode="External"/><Relationship Id="rId185" Type="http://schemas.openxmlformats.org/officeDocument/2006/relationships/hyperlink" Target="https://doi.org/10.1016/j.actaastro.2025.06.008" TargetMode="External"/><Relationship Id="rId121" Type="http://schemas.openxmlformats.org/officeDocument/2006/relationships/hyperlink" Target="https://doi.org/10.1016/j.actaastro.2025.06.038" TargetMode="External"/><Relationship Id="rId133" Type="http://schemas.openxmlformats.org/officeDocument/2006/relationships/hyperlink" Target="https://doi.org/10.1016/j.actaastro.2026.03.026" TargetMode="External"/><Relationship Id="rId150" Type="http://schemas.openxmlformats.org/officeDocument/2006/relationships/hyperlink" Target="https://doi.org/10.1016/j.actaastro.2026.06.006" TargetMode="External"/><Relationship Id="rId131" Type="http://schemas.openxmlformats.org/officeDocument/2006/relationships/hyperlink" Target="https://doi.org/10.64861/BVRP4972" TargetMode="External"/><Relationship Id="rId171" Type="http://schemas.openxmlformats.org/officeDocument/2006/relationships/hyperlink" Target="https://doi.org/10.64861/GDIM2412" TargetMode="External"/><Relationship Id="rId169" Type="http://schemas.openxmlformats.org/officeDocument/2006/relationships/hyperlink" Target="https://doi.org/10.64861/KYFU6858" TargetMode="External"/><Relationship Id="rId145" Type="http://schemas.openxmlformats.org/officeDocument/2006/relationships/hyperlink" Target="https://doi.org/10.64861/SIJX9169" TargetMode="External"/></Relationships>
</file>

<file path=word/_rels/footnotes.xml.rels><?xml version='1.0' encoding='UTF-8' standalone='yes'?>
<Relationships xmlns="http://schemas.openxmlformats.org/package/2006/relationships"><Relationship Id="rId181" Type="http://schemas.openxmlformats.org/officeDocument/2006/relationships/hyperlink" Target="https://doi.org/10.1016/j.actaastro.2016.06.018" TargetMode="External"/><Relationship Id="rId176" Type="http://schemas.openxmlformats.org/officeDocument/2006/relationships/hyperlink" Target="https://doi.org/10.1016/j.actaastro.2017.07.023" TargetMode="External"/><Relationship Id="rId183" Type="http://schemas.openxmlformats.org/officeDocument/2006/relationships/hyperlink" Target="https://doi.org/10.1016/j.actaastro.2020.04.060" TargetMode="External"/><Relationship Id="rId123" Type="http://schemas.openxmlformats.org/officeDocument/2006/relationships/hyperlink" Target="https://doi.org/10.1016/j.actaastro.2021.01.017" TargetMode="External"/><Relationship Id="rId189" Type="http://schemas.openxmlformats.org/officeDocument/2006/relationships/hyperlink" Target="https://doi.org/10.1016/j.actaastro.2024.05.007" TargetMode="External"/><Relationship Id="rId148" Type="http://schemas.openxmlformats.org/officeDocument/2006/relationships/hyperlink" Target="https://doi.org/10.1016/j.actaastro.2024.05.036" TargetMode="External"/><Relationship Id="rId127" Type="http://schemas.openxmlformats.org/officeDocument/2006/relationships/hyperlink" Target="https://doi.org/10.1016/j.actaastro.2024.11.040" TargetMode="External"/><Relationship Id="rId178" Type="http://schemas.openxmlformats.org/officeDocument/2006/relationships/hyperlink" Target="https://doi.org/10.1016/j.actaastro.2025.03.019" TargetMode="External"/><Relationship Id="rId125" Type="http://schemas.openxmlformats.org/officeDocument/2006/relationships/hyperlink" Target="https://doi.org/10.1016/j.actaastro.2025.04.041" TargetMode="External"/><Relationship Id="rId187" Type="http://schemas.openxmlformats.org/officeDocument/2006/relationships/hyperlink" Target="https://doi.org/10.1016/j.actaastro.2025.05.055" TargetMode="External"/><Relationship Id="rId185" Type="http://schemas.openxmlformats.org/officeDocument/2006/relationships/hyperlink" Target="https://doi.org/10.1016/j.actaastro.2025.06.008" TargetMode="External"/><Relationship Id="rId121" Type="http://schemas.openxmlformats.org/officeDocument/2006/relationships/hyperlink" Target="https://doi.org/10.1016/j.actaastro.2025.06.038" TargetMode="External"/><Relationship Id="rId133" Type="http://schemas.openxmlformats.org/officeDocument/2006/relationships/hyperlink" Target="https://doi.org/10.1016/j.actaastro.2026.03.026" TargetMode="External"/><Relationship Id="rId150" Type="http://schemas.openxmlformats.org/officeDocument/2006/relationships/hyperlink" Target="https://doi.org/10.1016/j.actaastro.2026.06.006" TargetMode="External"/><Relationship Id="rId131" Type="http://schemas.openxmlformats.org/officeDocument/2006/relationships/hyperlink" Target="https://doi.org/10.64861/BVRP4972" TargetMode="External"/><Relationship Id="rId171" Type="http://schemas.openxmlformats.org/officeDocument/2006/relationships/hyperlink" Target="https://doi.org/10.64861/GDIM2412" TargetMode="External"/><Relationship Id="rId169" Type="http://schemas.openxmlformats.org/officeDocument/2006/relationships/hyperlink" Target="https://doi.org/10.64861/KYFU6858" TargetMode="External"/><Relationship Id="rId145" Type="http://schemas.openxmlformats.org/officeDocument/2006/relationships/hyperlink" Target="https://doi.org/10.64861/SIJX9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Power Doctrine on the Cislunar Sea: Does Logistics-Base Geography Predict Strategic Position in the Earth-Moon System?</dc:title>
  <dc:creator>Roland Bjornson (1B-LUN-088)</dc:creator>
  <cp:keywords/>
  <dcterms:created xsi:type="dcterms:W3CDTF">2026-07-03T21:07:30Z</dcterms:created>
  <dcterms:modified xsi:type="dcterms:W3CDTF">2026-07-03T21:07:30Z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