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357e953dfc0cbf67b530c7b85436f4b02c6eb44"/>
    <w:p>
      <w:pPr>
        <w:pStyle w:val="Heading1"/>
      </w:pPr>
      <w:r>
        <w:t xml:space="preserve">Signal Intensity in Increasing Returns and Lock-In Will Early Lunar Propellant Standards Foreclose: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Julian Feld (1B-LUN-181) and the dissertation project</w:t>
      </w:r>
      <w:r>
        <w:t xml:space="preserve"> </w:t>
      </w:r>
      <w:r>
        <w:rPr>
          <w:i/>
          <w:iCs/>
        </w:rPr>
        <w:t xml:space="preserve">Increasing Returns and Lock-In: Will Early Lunar Propellant Standards Foreclose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R2=0.3506023400218983, R2_adj=0.2756718407936557, F=11.001987667535962, F_p=7.590237724447738e-05. The exact term summary is: const coef=4.415283236923676 p=0.0005690858680828996; recency_index coef=0.27696780621441125 p=4.2610544023143526e-07; cites_num coef=-0.011241368206617117 p=0.2718337417803546; venue_score coef=-2.058479346884078 p=0.011498597491072356.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Celine d’Orgeville, Australian National University, Gregory J. Fetzer, Areté Associates. From Dye Laser Factory to Portable Semiconductor Laser: Four Generations of Sodium Guide Star Lasers for Adaptive Optics in Astronomy and Space Situational Awareness (2015). [AMOS]</w:t>
      </w:r>
      <w:r>
        <w:t xml:space="preserve"> </w:t>
      </w:r>
      <w:bookmarkStart w:id="68" w:name="ref-2"/>
      <w:bookmarkEnd w:id="68"/>
      <w:r>
        <w:t xml:space="preserve">2. Roberto Furfaro, University of Arizona; Vishnu Reddy, University of Arizona; Tanner Campbell, University of Arizona; Bill Gray, University of Arizona. Tracking Objects in Cis-Lunar Space: The Chang’e 5 Case (2021). [AMOS]</w:t>
      </w:r>
      <w:r>
        <w:t xml:space="preserve"> </w:t>
      </w:r>
      <w:bookmarkStart w:id="69" w:name="ref-3"/>
      <w:bookmarkEnd w:id="69"/>
      <w:r>
        <w:t xml:space="preserve">3. Joshua Wysack, Ball Aerospace; Kevin Ferrant, Ball Aerospace. Contrasting Architectures for Cislunar SDA and STM (2023). doi:</w:t>
      </w:r>
      <w:r>
        <w:t xml:space="preserve"> </w:t>
      </w:r>
      <w:hyperlink r:id="rId70">
        <w:r>
          <w:rPr>
            <w:rStyle w:val="Hyperlink"/>
          </w:rPr>
          <w:t xml:space="preserve">10.64861/KUQJ3053</w:t>
        </w:r>
      </w:hyperlink>
      <w:r>
        <w:t xml:space="preserve"> </w:t>
      </w:r>
      <w:bookmarkStart w:id="71" w:name="ref-4"/>
      <w:bookmarkEnd w:id="71"/>
      <w:r>
        <w:t xml:space="preserve">4. Adam P. Wilmer, Air Force Institute of Technology; Robert A. Bettinger, U.S. Air Force. Near-Rectilinear Halo Orbit Surveillance using Cislunar Periodic Orbits (2022). [AMOS]</w:t>
      </w:r>
      <w:r>
        <w:t xml:space="preserve"> </w:t>
      </w:r>
      <w:bookmarkStart w:id="72" w:name="ref-5"/>
      <w:bookmarkEnd w:id="72"/>
      <w:r>
        <w:t xml:space="preserve">5. Conor Benson, University of Colorado Boulder; Charles Naudet, Jet Propulsion Laboratory; Daniel Scheeres, University of Colorado Boulder; William Ryan, New Mexico Tech/MRO; Eileen Ryan, New Mexico Tech/MRO; Joseph Jao, Jet Propulsion Laboratory; Lawrence Snedeker, Goldstone Deep Space Communications Complex; Jeffrey Lagrange, Goldstone Deep Space Communications Complex. Radar-Derived Spin States of Defunct GEO Satellites and Rocket Bodies (2021). [AMOS]</w:t>
      </w:r>
      <w:r>
        <w:t xml:space="preserve"> </w:t>
      </w:r>
      <w:bookmarkStart w:id="73" w:name="ref-6"/>
      <w:bookmarkEnd w:id="73"/>
      <w:r>
        <w:t xml:space="preserve">6. Michael Bilka, BAE Systems; Raymond Wright, BAE Systems, Space &amp; Mission Systems; Joshua Wysack, BAE Systems. Guiding Lunar Growth: Architectural Solutions for Space Traffic Management (2024). doi:</w:t>
      </w:r>
      <w:r>
        <w:t xml:space="preserve"> </w:t>
      </w:r>
      <w:hyperlink r:id="rId74">
        <w:r>
          <w:rPr>
            <w:rStyle w:val="Hyperlink"/>
          </w:rPr>
          <w:t xml:space="preserve">10.64861/RBTM5104</w:t>
        </w:r>
      </w:hyperlink>
      <w:r>
        <w:t xml:space="preserve"> </w:t>
      </w:r>
      <w:bookmarkStart w:id="75" w:name="ref-7"/>
      <w:bookmarkEnd w:id="75"/>
      <w:r>
        <w:t xml:space="preserve">7. Nathan Boone, Air Force Institute of Technology; Robert Bettinger,Air Force Institute of Technology. Artificial Debris Collision Risk Following a Catastrophic Spacecraft Mishap in Lunar Orbit (2021). [AMOS]</w:t>
      </w:r>
      <w:r>
        <w:t xml:space="preserve"> </w:t>
      </w:r>
      <w:bookmarkStart w:id="76" w:name="ref-8"/>
      <w:bookmarkEnd w:id="76"/>
      <w:r>
        <w:t xml:space="preserve">8. Arly Black, Purdue University; Carolin Frueh, Purdue University. Characterizing Cislunar Fragmentations (2023). doi:</w:t>
      </w:r>
      <w:r>
        <w:t xml:space="preserve"> </w:t>
      </w:r>
      <w:hyperlink r:id="rId77">
        <w:r>
          <w:rPr>
            <w:rStyle w:val="Hyperlink"/>
          </w:rPr>
          <w:t xml:space="preserve">10.64861/QLJS5432</w:t>
        </w:r>
      </w:hyperlink>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4.4153</w:t>
            </w:r>
          </w:p>
        </w:tc>
        <w:tc>
          <w:tcPr>
            <w:tcW w:w="0" w:type="auto"/>
          </w:tcPr>
          <w:p>
            <w:pPr>
              <w:spacing w:line="240" w:lineRule="auto" w:before="0" w:after="0"/>
              <w:pStyle w:val="Compact"/>
            </w:pPr>
            <w:r>
              <w:rPr>
                <w:sz w:val="20"/>
                <w:szCs w:val="20"/>
              </w:rPr>
              <w:t xml:space="preserve">1.2813</w:t>
            </w:r>
          </w:p>
        </w:tc>
        <w:tc>
          <w:tcPr>
            <w:tcW w:w="0" w:type="auto"/>
          </w:tcPr>
          <w:p>
            <w:pPr>
              <w:spacing w:line="240" w:lineRule="auto" w:before="0" w:after="0"/>
              <w:pStyle w:val="Compact"/>
            </w:pPr>
            <w:r>
              <w:rPr>
                <w:sz w:val="20"/>
                <w:szCs w:val="20"/>
              </w:rPr>
              <w:t xml:space="preserve">3.4459</w:t>
            </w:r>
          </w:p>
        </w:tc>
        <w:tc>
          <w:tcPr>
            <w:tcW w:w="0" w:type="auto"/>
          </w:tcPr>
          <w:p>
            <w:pPr>
              <w:spacing w:line="240" w:lineRule="auto" w:before="0" w:after="0"/>
              <w:pStyle w:val="Compact"/>
            </w:pPr>
            <w:r>
              <w:rPr>
                <w:sz w:val="20"/>
                <w:szCs w:val="20"/>
              </w:rPr>
              <w:t xml:space="preserve">0.0005691</w:t>
            </w:r>
          </w:p>
        </w:tc>
        <w:tc>
          <w:tcPr>
            <w:tcW w:w="0" w:type="auto"/>
          </w:tcPr>
          <w:p>
            <w:pPr>
              <w:spacing w:line="240" w:lineRule="auto" w:before="0" w:after="0"/>
              <w:pStyle w:val="Compact"/>
            </w:pPr>
            <w:r>
              <w:rPr>
                <w:sz w:val="20"/>
                <w:szCs w:val="20"/>
              </w:rPr>
              <w:t xml:space="preserve">[1.904, 6.9266]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5.0569</w:t>
            </w:r>
          </w:p>
        </w:tc>
        <w:tc>
          <w:tcPr>
            <w:tcW w:w="0" w:type="auto"/>
          </w:tcPr>
          <w:p>
            <w:pPr>
              <w:spacing w:line="240" w:lineRule="auto" w:before="0" w:after="0"/>
              <w:pStyle w:val="Compact"/>
            </w:pPr>
            <w:r>
              <w:rPr>
                <w:sz w:val="20"/>
                <w:szCs w:val="20"/>
              </w:rPr>
              <w:t xml:space="preserve">4.261e-07</w:t>
            </w:r>
          </w:p>
        </w:tc>
        <w:tc>
          <w:tcPr>
            <w:tcW w:w="0" w:type="auto"/>
          </w:tcPr>
          <w:p>
            <w:pPr>
              <w:spacing w:line="240" w:lineRule="auto" w:before="0" w:after="0"/>
              <w:pStyle w:val="Compact"/>
            </w:pPr>
            <w:r>
              <w:rPr>
                <w:sz w:val="20"/>
                <w:szCs w:val="20"/>
              </w:rPr>
              <w:t xml:space="preserve">[0.1696, 0.3843]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-1.0988</w:t>
            </w:r>
          </w:p>
        </w:tc>
        <w:tc>
          <w:tcPr>
            <w:tcW w:w="0" w:type="auto"/>
          </w:tcPr>
          <w:p>
            <w:pPr>
              <w:spacing w:line="240" w:lineRule="auto" w:before="0" w:after="0"/>
              <w:pStyle w:val="Compact"/>
            </w:pPr>
            <w:r>
              <w:rPr>
                <w:sz w:val="20"/>
                <w:szCs w:val="20"/>
              </w:rPr>
              <w:t xml:space="preserve">0.2718</w:t>
            </w:r>
          </w:p>
        </w:tc>
        <w:tc>
          <w:tcPr>
            <w:tcW w:w="0" w:type="auto"/>
          </w:tcPr>
          <w:p>
            <w:pPr>
              <w:spacing w:line="240" w:lineRule="auto" w:before="0" w:after="0"/>
              <w:pStyle w:val="Compact"/>
            </w:pPr>
            <w:r>
              <w:rPr>
                <w:sz w:val="20"/>
                <w:szCs w:val="20"/>
              </w:rPr>
              <w:t xml:space="preserve">[-0.0313, 0.0088]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-2.0585</w:t>
            </w:r>
          </w:p>
        </w:tc>
        <w:tc>
          <w:tcPr>
            <w:tcW w:w="0" w:type="auto"/>
          </w:tcPr>
          <w:p>
            <w:pPr>
              <w:spacing w:line="240" w:lineRule="auto" w:before="0" w:after="0"/>
              <w:pStyle w:val="Compact"/>
            </w:pPr>
            <w:r>
              <w:rPr>
                <w:sz w:val="20"/>
                <w:szCs w:val="20"/>
              </w:rPr>
              <w:t xml:space="preserve">0.8145</w:t>
            </w:r>
          </w:p>
        </w:tc>
        <w:tc>
          <w:tcPr>
            <w:tcW w:w="0" w:type="auto"/>
          </w:tcPr>
          <w:p>
            <w:pPr>
              <w:spacing w:line="240" w:lineRule="auto" w:before="0" w:after="0"/>
              <w:pStyle w:val="Compact"/>
            </w:pPr>
            <w:r>
              <w:rPr>
                <w:sz w:val="20"/>
                <w:szCs w:val="20"/>
              </w:rPr>
              <w:t xml:space="preserve">-2.5272</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[-3.6549, -0.462]</w:t>
            </w:r>
          </w:p>
        </w:tc>
      </w:tr>
    </w:tbl>
    <w:p>
      <w:pPr>
        <w:pStyle w:val="BodyText"/>
      </w:pPr>
      <w:r>
        <w:t xml:space="preserve">Fit: N = 30 R2 = 0.3506 R2_adj = 0.2757 F = 11.002 F_p = 7.59e-05</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CISLUNAR_DEV_07\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https://amostech.space/year/2021/radar-derived-spin-states-of-defunct-geo-satellites-and-rocket-bodies/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https://amostech.space/year/2009/the-physics-of-the-sodium-laser-guide-stat-predicting-and-enhancing-the-photon-returns/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10.64861/JIHC4550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https://amostech.space/year/2006/pushing-the-envelope-hi-class-range-and-range-rate/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10.1016/j.actaastro.2025.01.017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10.1016/j.actaastro.2024.03.043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10.1016/j.actaastro.2020.08.032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10.1016/j.actaastro.2026.04.060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10.1016/j.actaastro.2020.05.038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4.4153</w:t>
            </w:r>
          </w:p>
        </w:tc>
        <w:tc>
          <w:tcPr>
            <w:tcW w:w="0" w:type="auto"/>
          </w:tcPr>
          <w:p>
            <w:pPr>
              <w:spacing w:line="240" w:lineRule="auto" w:before="0" w:after="0"/>
              <w:pStyle w:val="Compact"/>
            </w:pPr>
            <w:r>
              <w:rPr>
                <w:sz w:val="20"/>
                <w:szCs w:val="20"/>
              </w:rPr>
              <w:t xml:space="preserve">1.2813</w:t>
            </w:r>
          </w:p>
        </w:tc>
        <w:tc>
          <w:tcPr>
            <w:tcW w:w="0" w:type="auto"/>
          </w:tcPr>
          <w:p>
            <w:pPr>
              <w:spacing w:line="240" w:lineRule="auto" w:before="0" w:after="0"/>
              <w:pStyle w:val="Compact"/>
            </w:pPr>
            <w:r>
              <w:rPr>
                <w:sz w:val="20"/>
                <w:szCs w:val="20"/>
              </w:rPr>
              <w:t xml:space="preserve">3.4459</w:t>
            </w:r>
          </w:p>
        </w:tc>
        <w:tc>
          <w:tcPr>
            <w:tcW w:w="0" w:type="auto"/>
          </w:tcPr>
          <w:p>
            <w:pPr>
              <w:spacing w:line="240" w:lineRule="auto" w:before="0" w:after="0"/>
              <w:pStyle w:val="Compact"/>
            </w:pPr>
            <w:r>
              <w:rPr>
                <w:sz w:val="20"/>
                <w:szCs w:val="20"/>
              </w:rPr>
              <w:t xml:space="preserve">0.0005691</w:t>
            </w:r>
          </w:p>
        </w:tc>
        <w:tc>
          <w:tcPr>
            <w:tcW w:w="0" w:type="auto"/>
          </w:tcPr>
          <w:p>
            <w:pPr>
              <w:spacing w:line="240" w:lineRule="auto" w:before="0" w:after="0"/>
              <w:pStyle w:val="Compact"/>
            </w:pPr>
            <w:r>
              <w:rPr>
                <w:sz w:val="20"/>
                <w:szCs w:val="20"/>
              </w:rPr>
              <w:t xml:space="preserve">[1.904, 6.9266]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5.0569</w:t>
            </w:r>
          </w:p>
        </w:tc>
        <w:tc>
          <w:tcPr>
            <w:tcW w:w="0" w:type="auto"/>
          </w:tcPr>
          <w:p>
            <w:pPr>
              <w:spacing w:line="240" w:lineRule="auto" w:before="0" w:after="0"/>
              <w:pStyle w:val="Compact"/>
            </w:pPr>
            <w:r>
              <w:rPr>
                <w:sz w:val="20"/>
                <w:szCs w:val="20"/>
              </w:rPr>
              <w:t xml:space="preserve">4.261e-07</w:t>
            </w:r>
          </w:p>
        </w:tc>
        <w:tc>
          <w:tcPr>
            <w:tcW w:w="0" w:type="auto"/>
          </w:tcPr>
          <w:p>
            <w:pPr>
              <w:spacing w:line="240" w:lineRule="auto" w:before="0" w:after="0"/>
              <w:pStyle w:val="Compact"/>
            </w:pPr>
            <w:r>
              <w:rPr>
                <w:sz w:val="20"/>
                <w:szCs w:val="20"/>
              </w:rPr>
              <w:t xml:space="preserve">[0.1696, 0.3843]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-1.0988</w:t>
            </w:r>
          </w:p>
        </w:tc>
        <w:tc>
          <w:tcPr>
            <w:tcW w:w="0" w:type="auto"/>
          </w:tcPr>
          <w:p>
            <w:pPr>
              <w:spacing w:line="240" w:lineRule="auto" w:before="0" w:after="0"/>
              <w:pStyle w:val="Compact"/>
            </w:pPr>
            <w:r>
              <w:rPr>
                <w:sz w:val="20"/>
                <w:szCs w:val="20"/>
              </w:rPr>
              <w:t xml:space="preserve">0.2718</w:t>
            </w:r>
          </w:p>
        </w:tc>
        <w:tc>
          <w:tcPr>
            <w:tcW w:w="0" w:type="auto"/>
          </w:tcPr>
          <w:p>
            <w:pPr>
              <w:spacing w:line="240" w:lineRule="auto" w:before="0" w:after="0"/>
              <w:pStyle w:val="Compact"/>
            </w:pPr>
            <w:r>
              <w:rPr>
                <w:sz w:val="20"/>
                <w:szCs w:val="20"/>
              </w:rPr>
              <w:t xml:space="preserve">[-0.0313, 0.0088]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-2.0585</w:t>
            </w:r>
          </w:p>
        </w:tc>
        <w:tc>
          <w:tcPr>
            <w:tcW w:w="0" w:type="auto"/>
          </w:tcPr>
          <w:p>
            <w:pPr>
              <w:spacing w:line="240" w:lineRule="auto" w:before="0" w:after="0"/>
              <w:pStyle w:val="Compact"/>
            </w:pPr>
            <w:r>
              <w:rPr>
                <w:sz w:val="20"/>
                <w:szCs w:val="20"/>
              </w:rPr>
              <w:t xml:space="preserve">0.8145</w:t>
            </w:r>
          </w:p>
        </w:tc>
        <w:tc>
          <w:tcPr>
            <w:tcW w:w="0" w:type="auto"/>
          </w:tcPr>
          <w:p>
            <w:pPr>
              <w:spacing w:line="240" w:lineRule="auto" w:before="0" w:after="0"/>
              <w:pStyle w:val="Compact"/>
            </w:pPr>
            <w:r>
              <w:rPr>
                <w:sz w:val="20"/>
                <w:szCs w:val="20"/>
              </w:rPr>
              <w:t xml:space="preserve">-2.5272</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[-3.6549, -0.462]</w:t>
            </w:r>
          </w:p>
        </w:tc>
      </w:tr>
    </w:tbl>
    <w:p>
      <w:pPr>
        <w:pStyle w:val="BodyText"/>
      </w:pPr>
      <w:r>
        <w:t xml:space="preserve">Fit: N = 30 R2 = 0.3506 R2_adj = 0.2757 F = 11.002 F_p = 7.59e-05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0" Target="https://doi.org/10.64861/KUQJ3053" TargetMode="External" /><Relationship Type="http://schemas.openxmlformats.org/officeDocument/2006/relationships/hyperlink" Id="rId77" Target="https://doi.org/10.64861/QLJS5432" TargetMode="External" /><Relationship Type="http://schemas.openxmlformats.org/officeDocument/2006/relationships/hyperlink" Id="rId74"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KUQJ3053" TargetMode="External" /><Relationship Type="http://schemas.openxmlformats.org/officeDocument/2006/relationships/hyperlink" Id="rId77" Target="https://doi.org/10.64861/QLJS5432" TargetMode="External" /><Relationship Type="http://schemas.openxmlformats.org/officeDocument/2006/relationships/hyperlink" Id="rId74"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2026-06-28T19:51:03Z</dcterms:created>
  <dcterms:modified xsi:type="dcterms:W3CDTF">2026-06-28T19:51:03Z</dcterms:modified>
</cp:coreProperties>
</file>

<file path=docProps/custom.xml><?xml version="1.0" encoding="utf-8"?>
<Properties xmlns="http://schemas.openxmlformats.org/officeDocument/2006/custom-properties" xmlns:vt="http://schemas.openxmlformats.org/officeDocument/2006/docPropsVTypes"/>
</file>