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INCREASING RETURNS AND LOCK-IN: WILL EARLY LUNAR PROPELLANT STANDARDS FORECLOSE</w:t>
      </w:r>
    </w:p>
    <w:p>
      <w:pPr>
        <w:jc w:val="center"/>
      </w:pPr>
    </w:p>
    <w:p>
      <w:pPr>
        <w:jc w:val="center"/>
      </w:pPr>
      <w:r>
        <w:rPr>
          <w:rFonts w:ascii="Times New Roman" w:hAnsi="Times New Roman"/>
          <w:sz w:val="24"/>
        </w:rPr>
        <w:t>by</w:t>
      </w:r>
    </w:p>
    <w:p>
      <w:pPr>
        <w:jc w:val="center"/>
      </w:pPr>
      <w:r>
        <w:rPr>
          <w:rFonts w:ascii="Times New Roman" w:hAnsi="Times New Roman"/>
          <w:b/>
          <w:sz w:val="28"/>
        </w:rPr>
        <w:t>Julian Feld</w:t>
      </w:r>
    </w:p>
    <w:p>
      <w:pPr>
        <w:jc w:val="center"/>
      </w:pPr>
      <w:r>
        <w:rPr>
          <w:rFonts w:ascii="Times New Roman" w:hAnsi="Times New Roman"/>
          <w:sz w:val="24"/>
        </w:rPr>
        <w:t>1B-LUN-181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2" w:name="chapter-1-introduction"/>
    <w:p>
      <w:pPr>
        <w:pStyle w:val="Heading1"/>
        <w:spacing w:line="480" w:lineRule="auto"/>
      </w:pPr>
      <w:r>
        <w:t xml:space="preserve">Chapter 1: Introduction</w:t>
      </w:r>
    </w:p>
    <w:p>
      <w:pPr>
        <w:pStyle w:val="FirstParagraph"/>
        <w:spacing w:line="480" w:lineRule="auto"/>
      </w:pPr>
      <w:r>
        <w:t xml:space="preserve">Decisions about infrastructure harden into institutional fact. They do so early, and they do so long before any lunar market has grown large enough to correct them. That ordering, choice ahead of discipline, is the hazard this dissertation studies, and it studies it through one case: the standards that will govern lunar propellant. The governing question here is not the abstract one of which propellant chemistry performs best. It is instead a question about consequences that outrun a chemical preference. Once early standard setting fuses with mission architecture, procurement routines, docking interfaces, storage assumptions, and traffic management conventions, does it quietly close off the design space that later entrants would otherwise have? Julian Feld’s project, Increasing Returns and Lock-In: Will Early Lunar Propellant Standards Foreclose, takes that worry and turns it into something an analyst can probe, using a bounded corpus drawn from the cislunar, lunar resource, propulsion, construction, and traffic management literatures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Something has shifted in cislunar development. Technical demonstrations, architecture studies, and governance proposals, once pursued in separate rooms, have begun to touch. The papers themselves speak in different policy dialects, whether the subject is cislunar surveillance, lunar space traffic management, orbital debris, resource feasibility, water electrolysis propulsion, or lunar construction robotics, and yet all of them describe one institutional setting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A propellant standard placed inside that setting would carry weight well past the naming of a chemical. What gets measured, what gets certified, what gets financed, which interfaces settle into routine, which learning curves attract public and private subsidy: a standard reaches into all of it.</w:t>
      </w:r>
    </w:p>
    <w:p>
      <w:pPr>
        <w:pStyle w:val="BodyText"/>
        <w:spacing w:line="480" w:lineRule="auto"/>
        <w:ind w:firstLine="720"/>
      </w:pPr>
      <w:r>
        <w:t xml:space="preserve">Infrastructure scholars know lock-in risk well. The lunar propellant case sharpens the familiar worry, and sparsity is what does the sharpening. There is as yet no mature lunar logistics market to absorb an incompatible early choice at low cost. There is no dense repair ecosystem to paper over a poor interface. There is no settled regulatory forum whose authority, legitimacy, and technical detail would let it revise an early standard without saddling everyone with switching costs. Each demonstration therefore lands heavier than it would in a crowded environment. A water electrolysis Hall Effect Thruster test, a mining feasibility framework, an in-space transportation model, a cislunar traffic management architecture: any of these can slip into the reference grammar that later planners simply inherit</w:t>
      </w:r>
      <w:r>
        <w:t xml:space="preserve"> </w:t>
      </w:r>
      <w:hyperlink w:anchor="ref-6">
        <w:r>
          <w:rPr>
            <w:rStyle w:val="Hyperlink"/>
          </w:rPr>
          <w:t xml:space="preserve">[6]</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bookmarkStart w:id="61" w:name="Xb25174b4da5ad39a95a362e282f9802630bcbfe"/>
    <w:p>
      <w:pPr>
        <w:pStyle w:val="Heading2"/>
        <w:spacing w:line="480" w:lineRule="auto"/>
      </w:pPr>
      <w:r>
        <w:t xml:space="preserve">The empirical question behind the policy question</w:t>
      </w:r>
    </w:p>
    <w:p>
      <w:pPr>
        <w:pStyle w:val="FirstParagraph"/>
        <w:spacing w:line="480" w:lineRule="auto"/>
      </w:pPr>
      <w:r>
        <w:t xml:space="preserve">Beneath the policy question sits a narrower one that the corpus can actually answer. Does the retrieved record show a structured topic signal around early cislunar and lunar infrastructure choices, and if it does, can that structure carry cautious claims about increasing returns and foreclosure? Broad analogy will not settle it. The answer has to come from auditable source records, from explicitly constructed variables, and from statistical screens disciplined enough to fail.</w:t>
      </w:r>
    </w:p>
    <w:p>
      <w:pPr>
        <w:pStyle w:val="BodyText"/>
        <w:spacing w:line="480" w:lineRule="auto"/>
        <w:ind w:firstLine="720"/>
      </w:pPr>
      <w:r>
        <w:t xml:space="preserve">Thirty records make up the local source corpus. They include AMOS papers on cislunar tracking, surveillance, debris, and fragmentation. They include Acta Astronautica papers on lunar construction robotics, asteroid mining architecture, water electrolysis propulsion, transportation trajectories, lunar resource feasibility, lunar dust, and liquid rocket engine throttling. And they include related technical sources sitting at the boundary between space situational awareness and lunar infrastructure design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Because the corpus was retrieved to surround the propellant-standards problem, it is candidate-specific, and every interpretation stays tethered to that origin.</w:t>
      </w:r>
    </w:p>
    <w:p>
      <w:pPr>
        <w:pStyle w:val="BodyText"/>
        <w:spacing w:line="480" w:lineRule="auto"/>
        <w:ind w:firstLine="720"/>
      </w:pPr>
      <w:r>
        <w:t xml:space="preserve">What the dissertation offers is modest on purpose. It does not decide which propellant should dominate lunar operations. It does not treat the corpus as proof that policy foreclosure has already happened. It does not read market outcomes off metadata. The claim it does stake is more useful at the design stage: that the evidence base already carries enough structure to justify a dissertation-level argument about increasing returns. Two empirical screens carry the test. One reads signal intensity as a function of recency, citation attention, and venue family. The other asks whether citation accumulation traces a learning pattern by article age. Neither is a causal instrument. Both are corpus diagnostics, and their task is to mark where the retrieved literature concentrates, where it falls silent, and where technical attention seems to have migrated.</w:t>
      </w:r>
    </w:p>
    <w:p>
      <w:pPr>
        <w:pStyle w:val="BodyText"/>
        <w:spacing w:line="480" w:lineRule="auto"/>
        <w:ind w:firstLine="720"/>
      </w:pPr>
      <w:r>
        <w:t xml:space="preserve">Holding that distinction firm is what keeps the inference dissertation-grade. An empirical workbook this small can discipline how the evidence is read. It cannot stand in for engineering tests, procurement records, operational telemetry, or a program-level cost model. Keeping the two apart, the small quantitative screen and the mission-scale instruments it does not possess, is what allows a design-stage dissertation to speak honestly.</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Everything in the project supports a single claim that can be proven wrong. The claim: inside the retrieved corpus, the candidate topic signal is systematically related to publication recency, citation attention, and venue family. Against it stands the flat-corpus null, under which signal intensity has no relation to those three predictors and the record is just an undifferentiated pile of loosely adjacent papers. Should the null survive, the foreclosure argument loses its footing at the design stage, because a topic with no structure in timing or venue offers a claim about emerging increasing returns nothing to hold.</w:t>
      </w:r>
    </w:p>
    <w:p>
      <w:pPr>
        <w:pStyle w:val="BodyText"/>
        <w:spacing w:line="480" w:lineRule="auto"/>
        <w:ind w:firstLine="720"/>
      </w:pPr>
      <w:r>
        <w:t xml:space="preserve">That the estimator can return a null is precisely what makes the contribution falsifiable. Weigh against the alternative a recency coefficient that comes back negative or imprecise, a model that fails to reach significance, or a venue term that shows no differentiation at all. Each would count as evidence against the theory, and the dissertation binds itself in advance to reading such a result as a genuine negative rather than talking around it. A test that pre-commits to its own possible failure is a different thing from a rhetorical exercise, and that pre-commitment is the difference.</w:t>
      </w:r>
    </w:p>
    <w:p>
      <w:pPr>
        <w:pStyle w:val="BodyText"/>
        <w:spacing w:line="480" w:lineRule="auto"/>
        <w:ind w:firstLine="720"/>
      </w:pPr>
      <w:r>
        <w:t xml:space="preserve">The learning-curve screen exists to discipline, not to confirm. Should citation accumulation by article age prove weak, the dissertation cannot then turn around and cite attention as proof that the field has converged. Reporting only the flattering half of one’s own evidence forfeits the credibility a doctoral argument depends on, so a weak second model counts as part of the contribution rather than as a flaw to be hidden.</w:t>
      </w:r>
    </w:p>
    <w:bookmarkEnd w:id="62"/>
    <w:bookmarkStart w:id="63" w:name="why-foreclosure-is-credible-here"/>
    <w:p>
      <w:pPr>
        <w:pStyle w:val="Heading2"/>
        <w:spacing w:line="480" w:lineRule="auto"/>
      </w:pPr>
      <w:r>
        <w:t xml:space="preserve">Why foreclosure is credible here</w:t>
      </w:r>
    </w:p>
    <w:p>
      <w:pPr>
        <w:pStyle w:val="FirstParagraph"/>
        <w:spacing w:line="480" w:lineRule="auto"/>
      </w:pPr>
      <w:r>
        <w:t xml:space="preserve">At its core the substantive argument holds that early lunar propellant standards can foreclose later alternatives, but only when three conditions arrive together. The interfaces have to resist reversal once adopted. Organizational learning has to pile up around one architecture faster than around its rivals. And governance documents have to translate early technical convenience into eligibility rules, procurement preferences, or safety expectations. None of the three is shown here as a finished fact. What the assembled evidence does show is a corpus carrying enough recency structure, venue differentiation, and technical convergence to make foreclosure an empirically credible worry rather than a merely intuitive one.</w:t>
      </w:r>
    </w:p>
    <w:p>
      <w:pPr>
        <w:pStyle w:val="BodyText"/>
        <w:spacing w:line="480" w:lineRule="auto"/>
        <w:ind w:firstLine="720"/>
      </w:pPr>
      <w:r>
        <w:t xml:space="preserve">Terrestrial infrastructure has taught economists how increasing returns work. Each adopter lowers the relative cost the next adopter faces for the same system. Repeated use breeds operational knowledge that rivals cannot cheaply reproduce. A standard grows more valuable as the pool of compatible users widens. Rules, procurement practices, and certification routines begin to presume a chosen interface. Space does not exempt itself from any of this. If anything the lunar setting amplifies every mechanism, because early infrastructure there is sparse, expensive, and slow to replace, so the corrective pressures that keep terrestrial standards contestable show up late or never.</w:t>
      </w:r>
    </w:p>
    <w:p>
      <w:pPr>
        <w:pStyle w:val="BodyText"/>
        <w:spacing w:line="480" w:lineRule="auto"/>
        <w:ind w:firstLine="720"/>
      </w:pPr>
      <w:r>
        <w:t xml:space="preserve">The corpus itself argues for treating this as a cross-domain problem and not a propulsion problem. Cislunar surveillance papers record how hard it is to keep track of objects in non-terrestrial orbital regimes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Debris and fragmentation papers show a single lunar orbital mishap seeding persistent operational hazards</w:t>
      </w:r>
      <w:r>
        <w:t xml:space="preserve"> </w:t>
      </w:r>
      <w:hyperlink w:anchor="ref-7">
        <w:r>
          <w:rPr>
            <w:rStyle w:val="Hyperlink"/>
          </w:rPr>
          <w:t xml:space="preserve">[7]</w:t>
        </w:r>
      </w:hyperlink>
      <w:r>
        <w:t xml:space="preserve"> </w:t>
      </w:r>
      <w:hyperlink w:anchor="ref-8">
        <w:r>
          <w:rPr>
            <w:rStyle w:val="Hyperlink"/>
          </w:rPr>
          <w:t xml:space="preserve">[8]</w:t>
        </w:r>
      </w:hyperlink>
      <w:r>
        <w:t xml:space="preserve">. Lunar traffic management architecture work asks how growth might be guided before congestion turns irreversible</w:t>
      </w:r>
      <w:r>
        <w:t xml:space="preserve"> </w:t>
      </w:r>
      <w:hyperlink w:anchor="ref-6">
        <w:r>
          <w:rPr>
            <w:rStyle w:val="Hyperlink"/>
          </w:rPr>
          <w:t xml:space="preserve">[6]</w:t>
        </w:r>
      </w:hyperlink>
      <w:r>
        <w:t xml:space="preserve">. Resource feasibility and propulsion papers make plain that water, hydrogen, oxygen, and electric propulsion are not merely engineering topics but the material foundation of a future logistics regime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Propellant sits on the hinge between engineering feasibility and institutional selection, and that hinge position is why a standard governing it deserves scrutiny before the choices set.</w:t>
      </w:r>
    </w:p>
    <w:bookmarkEnd w:id="63"/>
    <w:bookmarkStart w:id="64" w:name="Xb46ce7a18a0247aa8320e53025d2dd5576811fd"/>
    <w:p>
      <w:pPr>
        <w:pStyle w:val="Heading2"/>
        <w:spacing w:line="480" w:lineRule="auto"/>
      </w:pPr>
      <w:r>
        <w:t xml:space="preserve">Scope, method fit, and what the evidence cannot do</w:t>
      </w:r>
    </w:p>
    <w:p>
      <w:pPr>
        <w:pStyle w:val="FirstParagraph"/>
        <w:spacing w:line="480" w:lineRule="auto"/>
      </w:pPr>
      <w:r>
        <w:t xml:space="preserve">The dissertation reads the retrieved corpus as a traceable empirical record, not as a finished map of the Earth Moon system, so its interpretation holds to observable variation in timing, venue, attention, and topic signal and leaves the wider operational claims to work that carries direct mission data. For a design-stage doctoral project that posture is defensible, though only when the boundary is stated plainly and enforced without slippage, and each chapter that follows enforces it.</w:t>
      </w:r>
    </w:p>
    <w:p>
      <w:pPr>
        <w:pStyle w:val="BodyText"/>
        <w:spacing w:line="480" w:lineRule="auto"/>
        <w:ind w:firstLine="720"/>
      </w:pPr>
      <w:r>
        <w:t xml:space="preserve">Two things usually kept apart are joined in the design: a documentary reading of a technical governance problem and a small deterministic estimation over the very same document set. Substance comes from the reading. Discipline comes from the estimation. Alone, neither would do the work. A pure narrative slides toward policy intuition, and a pure estimation over thirty rows says almost nothing without the substantive frame that tells a reader what recency and venue actually mean in this corpus.</w:t>
      </w:r>
    </w:p>
    <w:p>
      <w:pPr>
        <w:pStyle w:val="BodyText"/>
        <w:spacing w:line="480" w:lineRule="auto"/>
        <w:ind w:firstLine="720"/>
      </w:pPr>
      <w:r>
        <w:t xml:space="preserve">The threats to validity are named at the start rather than tucked into a footnote. Because source-pack construction determines which language surfaces, a corpus retrieved around cislunar infrastructure necessarily contains related terms. The signal score stands in for document-level topic fit; it does not register any actor adopting a propellant standard. Citation counts in the local index run mostly to zero, which drains attention-based inference of much of its force, and venue coding is ordinal and blunt. These constraints do not sink the project. What they do is fix the altitude at which the evidence is entitled to speak.</w:t>
      </w:r>
    </w:p>
    <w:bookmarkEnd w:id="64"/>
    <w:bookmarkStart w:id="65" w:name="roadmap"/>
    <w:p>
      <w:pPr>
        <w:pStyle w:val="Heading2"/>
        <w:spacing w:line="480" w:lineRule="auto"/>
      </w:pPr>
      <w:r>
        <w:t xml:space="preserve">Roadmap</w:t>
      </w:r>
    </w:p>
    <w:p>
      <w:pPr>
        <w:pStyle w:val="FirstParagraph"/>
        <w:spacing w:line="480" w:lineRule="auto"/>
      </w:pPr>
      <w:r>
        <w:t xml:space="preserve">Eight chapters carry the argument. Chapter 2 sets the project against the retrieved literature on infrastructure lock-in, cislunar awareness, lunar traffic management, resource feasibility, and water-based propulsion, and names the design-stage gap the project fills. Chapter 3 builds the theoretical framework, specifies the four foreclosure mechanisms, and states the hypotheses at both the dissertation level and the empirical level. Chapter 4 develops the identification argument and shows why the two estimators recover corpus structure rather than causal policy impact. Chapter 5 documents the dataset, the construction of every variable, and the sources behind the thirty records. Chapter 6 reports the exact estimator output for both models and reads its signs and magnitudes. Chapter 7 works through what the findings mean for governance and standard setting and catalogs the threats to validity. Chapter 8 states the contribution, draws out program and governance relevance, and specifies the future research that would lift the argument from design stage to mission-grounded claim.</w:t>
      </w:r>
    </w:p>
    <w:bookmarkEnd w:id="65"/>
    <w:bookmarkStart w:id="66" w:name="the-stakes-for-a-design-stage-decision"/>
    <w:p>
      <w:pPr>
        <w:pStyle w:val="Heading2"/>
        <w:spacing w:line="480" w:lineRule="auto"/>
      </w:pPr>
      <w:r>
        <w:t xml:space="preserve">The stakes for a design-stage decision</w:t>
      </w:r>
    </w:p>
    <w:p>
      <w:pPr>
        <w:pStyle w:val="FirstParagraph"/>
        <w:spacing w:line="480" w:lineRule="auto"/>
      </w:pPr>
      <w:r>
        <w:t xml:space="preserve">Why press so hard on the design stage? The window for cheap correction shuts fast when infrastructure is sparse. Terrestrial standards wars, whether over rail gauges, power plugs, or video formats, share one shape: an early lead compounds through adoption, complementary investment, and expectation until switching costs exceed the benefit even where a rival design is plainly better. The lunar case takes that shape and makes it worse. A losing standard on Earth can retreat into a niche, and a superior entrant can displace an incumbent slowly, because the installed base is large enough to run parallel systems through a transition. Cislunar space offers no such cushion. There is no large installed base to soften a transition, no secondary market to swallow obsolete hardware, no dense regulatory ecology to referee competing claims. A propellant choice that captures the first decade of demonstrations, procurements, and safety cases can therefore reach effective irreversibility with a far smaller installed base than any terrestrial analog would need.</w:t>
      </w:r>
    </w:p>
    <w:p>
      <w:pPr>
        <w:pStyle w:val="BodyText"/>
        <w:spacing w:line="480" w:lineRule="auto"/>
        <w:ind w:firstLine="720"/>
      </w:pPr>
      <w:r>
        <w:t xml:space="preserve">The demonstrations capable of seeding such a lead are already in the record. Water electrolysis thruster work binds a specific feedstock assumption to a specific propulsion architecture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Mining feasibility framing narrows which resource pathways read as investable</w:t>
      </w:r>
      <w:r>
        <w:t xml:space="preserve"> </w:t>
      </w:r>
      <w:hyperlink w:anchor="ref-14">
        <w:r>
          <w:rPr>
            <w:rStyle w:val="Hyperlink"/>
          </w:rPr>
          <w:t xml:space="preserve">[14]</w:t>
        </w:r>
      </w:hyperlink>
      <w:r>
        <w:t xml:space="preserve">. Trajectory and transportation modeling hands later logistics networks a planning vocabulary they may inherit</w:t>
      </w:r>
      <w:r>
        <w:t xml:space="preserve"> </w:t>
      </w:r>
      <w:hyperlink w:anchor="ref-13">
        <w:r>
          <w:rPr>
            <w:rStyle w:val="Hyperlink"/>
          </w:rPr>
          <w:t xml:space="preserve">[13]</w:t>
        </w:r>
      </w:hyperlink>
      <w:r>
        <w:t xml:space="preserve">. Each is genuinely valuable engineering. Each also smuggles in an architectural commitment that, repeated mission after mission, could become the reference grammar the next generation is expected to speak.</w:t>
      </w:r>
    </w:p>
    <w:bookmarkEnd w:id="66"/>
    <w:bookmarkStart w:id="67" w:name="X28f5b97ab2dcede66233620355faeefe9f19c3d"/>
    <w:p>
      <w:pPr>
        <w:pStyle w:val="Heading2"/>
        <w:spacing w:line="480" w:lineRule="auto"/>
      </w:pPr>
      <w:r>
        <w:t xml:space="preserve">Why a documentary probe is the right first instrument</w:t>
      </w:r>
    </w:p>
    <w:p>
      <w:pPr>
        <w:pStyle w:val="FirstParagraph"/>
        <w:spacing w:line="480" w:lineRule="auto"/>
      </w:pPr>
      <w:r>
        <w:t xml:space="preserve">A skeptic could reasonably ask why a doctoral project probes this through metadata instead of interviews, procurement records, or mission telemetry. The reply is about sequence. Those richer sources are the right instruments for a causal study of institutional lock-in, but they assume lock-in is already underway and observable. The prior question at the design stage is whether the field has begun to organize at all, and that question yields most cheaply and most auditably to a different test: whether the literature the field produces already carries temporal and cross-community structure. A documentary probe is the low-cost sensor that tells a later researcher whether the expensive instruments are worth wheeling out.</w:t>
      </w:r>
    </w:p>
    <w:p>
      <w:pPr>
        <w:pStyle w:val="BodyText"/>
        <w:spacing w:line="480" w:lineRule="auto"/>
        <w:ind w:firstLine="720"/>
      </w:pPr>
      <w:r>
        <w:t xml:space="preserve">The same logic accounts for the deliberate modesty of the two estimators. Run a complex causal model over thirty rows and it will manufacture precision the data cannot back. Run two transparent screens instead, each reporting exact coefficients and exact p-values, and a reader can see precisely how much structure is present and precisely where the evidence gives out. That visibility is treated as a feature and not a limitation, because a design-stage contribution earns trust by exposing its limits rather than by masking them behind machinery the sample cannot support.</w:t>
      </w:r>
    </w:p>
    <w:bookmarkEnd w:id="67"/>
    <w:bookmarkStart w:id="68" w:name="readers-guide-to-the-argument"/>
    <w:p>
      <w:pPr>
        <w:pStyle w:val="Heading2"/>
        <w:spacing w:line="480" w:lineRule="auto"/>
      </w:pPr>
      <w:r>
        <w:t xml:space="preserve">Reader’s guide to the argument</w:t>
      </w:r>
    </w:p>
    <w:p>
      <w:pPr>
        <w:pStyle w:val="FirstParagraph"/>
        <w:spacing w:line="480" w:lineRule="auto"/>
      </w:pPr>
      <w:r>
        <w:t xml:space="preserve">What follows accumulates. The literature review establishes propellant standards as a cross-domain institution and names the bridge prior work has left unbuilt. The theory chapter supplies four mechanisms and derives hypotheses at two levels of ambition. The identification and data chapters make the estimation auditable, spelling out what each model can and cannot identify and how every variable was built. The results chapter reports the real estimator output and reads its signs and magnitudes. The discussion chapter turns the split verdict into five governance implications and faces the threats that could undo them. The conclusion states the contribution and lays out the research agenda that would carry it past the design stage.</w:t>
      </w:r>
    </w:p>
    <w:bookmarkEnd w:id="68"/>
    <w:bookmarkStart w:id="69" w:name="the-propellant-question-in-one-frame"/>
    <w:p>
      <w:pPr>
        <w:pStyle w:val="Heading2"/>
        <w:spacing w:line="480" w:lineRule="auto"/>
      </w:pPr>
      <w:r>
        <w:t xml:space="preserve">The propellant question in one frame</w:t>
      </w:r>
    </w:p>
    <w:p>
      <w:pPr>
        <w:pStyle w:val="FirstParagraph"/>
        <w:spacing w:line="480" w:lineRule="auto"/>
      </w:pPr>
      <w:r>
        <w:t xml:space="preserve">One frame holds the whole problem. Propellant is the connective tissue of a lunar logistics economy: it fixes what a vehicle can carry, where it can travel, how often it can maneuver, and what infrastructure it must dock with to refuel. No choice about it is ever local. It reaches into resource extraction, since a water-based architecture rewards volatile-rich sites and the processing chains that serve them</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It reaches into propulsion hardware, since electric and chemical pathways impose different power, storage, and thermal demands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 It reaches into traffic, since refueling gathers activity at particular nodes</w:t>
      </w:r>
      <w:r>
        <w:t xml:space="preserve"> </w:t>
      </w:r>
      <w:hyperlink w:anchor="ref-6">
        <w:r>
          <w:rPr>
            <w:rStyle w:val="Hyperlink"/>
          </w:rPr>
          <w:t xml:space="preserve">[6]</w:t>
        </w:r>
      </w:hyperlink>
      <w:r>
        <w:t xml:space="preserve"> </w:t>
      </w:r>
      <w:hyperlink w:anchor="ref-7">
        <w:r>
          <w:rPr>
            <w:rStyle w:val="Hyperlink"/>
          </w:rPr>
          <w:t xml:space="preserve">[7]</w:t>
        </w:r>
      </w:hyperlink>
      <w:r>
        <w:t xml:space="preserve">. And it reaches into governance, since agencies and standards bodies must certify whatever architecture the first missions actually fly.</w:t>
      </w:r>
    </w:p>
    <w:p>
      <w:pPr>
        <w:pStyle w:val="BodyText"/>
        <w:spacing w:line="480" w:lineRule="auto"/>
        <w:ind w:firstLine="720"/>
      </w:pPr>
      <w:r>
        <w:t xml:space="preserve">When one variable touches this many systems at once, a market’s ordinary corrections work slowly. In a well-supplied terrestrial market, competitors, substitutes, and secondary buyers fix a poor choice. In a sparse lunar market that correction never arrives, because the systems that would supply the competitors and substitutes are the same systems a propellant standard would already have shaped. So the frame the dissertation adopts is this: propellant standards are a governance problem wearing an engineering costume, and the empirical work exists to test whether the record is already dressed for that role.</w:t>
      </w:r>
    </w:p>
    <w:bookmarkEnd w:id="69"/>
    <w:bookmarkStart w:id="70" w:name="X5cad3d4f8ec7c800ab8f33003f52e73a15bba16"/>
    <w:p>
      <w:pPr>
        <w:pStyle w:val="Heading2"/>
        <w:spacing w:line="480" w:lineRule="auto"/>
      </w:pPr>
      <w:r>
        <w:t xml:space="preserve">Why the question is timely now and not later</w:t>
      </w:r>
    </w:p>
    <w:p>
      <w:pPr>
        <w:pStyle w:val="FirstParagraph"/>
        <w:spacing w:line="480" w:lineRule="auto"/>
      </w:pPr>
      <w:r>
        <w:t xml:space="preserve">Nothing about the timing is arbitrary. Cislunar activity is crossing from isolated demonstrations into a phase where architecture studies, resource-feasibility framings, and traffic-management proposals cite one another, and that mutual citing is the seedbed of a standard. Halo-orbit surveillance work now presumes future logistics nodes in the same regime it observes</w:t>
      </w:r>
      <w:r>
        <w:t xml:space="preserve"> </w:t>
      </w:r>
      <w:hyperlink w:anchor="ref-4">
        <w:r>
          <w:rPr>
            <w:rStyle w:val="Hyperlink"/>
          </w:rPr>
          <w:t xml:space="preserve">[4]</w:t>
        </w:r>
      </w:hyperlink>
      <w:r>
        <w:t xml:space="preserve">. Traffic-management architecture now frames lunar growth as a coordination problem instead of a run of one-off missions</w:t>
      </w:r>
      <w:r>
        <w:t xml:space="preserve"> </w:t>
      </w:r>
      <w:hyperlink w:anchor="ref-6">
        <w:r>
          <w:rPr>
            <w:rStyle w:val="Hyperlink"/>
          </w:rPr>
          <w:t xml:space="preserve">[6]</w:t>
        </w:r>
      </w:hyperlink>
      <w:r>
        <w:t xml:space="preserve">. Water-electrolysis thruster demonstrations now presume a lunar-volatile feedstock chain that resource work is racing to make investable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Once separate communities start writing for one another, the conditions for a shared standard are already assembling, and the moment to study foreclosure falls before that shared standard appears, not after.</w:t>
      </w:r>
    </w:p>
    <w:p>
      <w:pPr>
        <w:pStyle w:val="BodyText"/>
        <w:spacing w:line="480" w:lineRule="auto"/>
        <w:ind w:firstLine="720"/>
      </w:pPr>
      <w:r>
        <w:t xml:space="preserve">Ten years earlier, a dissertation on this would have found too few cross-domain sources to test anything. Ten years later, it might find the question already settled by facts on the ground. The present moment is the one in which a documentary probe can register organization without being overrun by consolidation. That is the case for a design-stage project now: it can catch the leading edge of a standards window while the window still stands open, which is exactly the interval in which governance can act at low cost.</w:t>
      </w:r>
    </w:p>
    <w:bookmarkEnd w:id="70"/>
    <w:bookmarkStart w:id="71" w:name="X0cc48b7ccb4a3f4756f465508b8a87e08be58e3"/>
    <w:p>
      <w:pPr>
        <w:pStyle w:val="Heading2"/>
        <w:spacing w:line="480" w:lineRule="auto"/>
      </w:pPr>
      <w:r>
        <w:t xml:space="preserve">What a reader should take from this chapter</w:t>
      </w:r>
    </w:p>
    <w:p>
      <w:pPr>
        <w:pStyle w:val="FirstParagraph"/>
        <w:spacing w:line="480" w:lineRule="auto"/>
      </w:pPr>
      <w:r>
        <w:t xml:space="preserve">Three things should stay with a reader. First, the problem is real and pressing, because lunar infrastructure is sparse enough that early choices reach irreversibility on a small installed base. Second, the contribution is singular and falsifiable, resting on the claim that the topic signal is structured by recency, attention, and venue, with the design bound in advance to read a null as a true negative. Third, the method knows its own altitude, using a bounded documentary probe to answer whether the field has organized and deferring the causal questions to the mission-grounded work that has to follow.</w:t>
      </w:r>
    </w:p>
    <w:p>
      <w:pPr>
        <w:pStyle w:val="BodyText"/>
        <w:spacing w:line="480" w:lineRule="auto"/>
        <w:ind w:firstLine="720"/>
      </w:pPr>
      <w:r>
        <w:t xml:space="preserve">Throughout, evidence constrains the argument rather than dressing it. The lunar economy will be built from many small decisions that only look inevitable once they are behind us. Docking interfaces, transfer procedures, storage assumptions, safety templates, procurement clauses, traffic rules: any of them can set into a path. This dissertation shows why propellant standards belong in that conversation now, and it shows exactly how far a bounded documentary record can carry the claim before mission data has to take the weight.</w:t>
      </w:r>
    </w:p>
    <w:bookmarkEnd w:id="71"/>
    <w:bookmarkEnd w:id="72"/>
    <w:bookmarkStart w:id="86" w:name="chapter-2-literature-review"/>
    <w:p>
      <w:pPr>
        <w:pStyle w:val="Heading1"/>
        <w:spacing w:line="480" w:lineRule="auto"/>
      </w:pPr>
      <w:r>
        <w:t xml:space="preserve">Chapter 2: Literature Review</w:t>
      </w:r>
    </w:p>
    <w:p>
      <w:pPr>
        <w:pStyle w:val="FirstParagraph"/>
        <w:spacing w:line="480" w:lineRule="auto"/>
      </w:pPr>
      <w:r>
        <w:t xml:space="preserve">The literature that bears on lunar propellant standards does not sit in one place. It is scattered across technical and governance domains, and no single field claims the question as its own. Cislunar surveillance papers dwell on observability, orbital geometry, and tracking. Traffic management papers turn to architectural coordination and operational safety. Propulsion papers weigh feasibility and performance. Resource papers work through extraction, mining economics, and feasibility staging. Construction robotics papers take up the assembly of infrastructure. Set side by side, though, these literatures make a case none of them makes alone. The case is this: a propellant standard could grow into a system-level institution rather than remain a narrow engineering convention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chapter proceeds in three moves. It sorts the retrieved corpus into four strands. It brings in lock-in theory as an analytic frame. And it names the design-stage gap the dissertation is written to fill. Cataloging every relevant paper is not the aim. The aim is to show that these sources, technical though each one is, together describe a setting in which standard setting could generate increasing returns.</w:t>
      </w:r>
    </w:p>
    <w:bookmarkStart w:id="73" w:name="Xb2d7c8636838a4beaf0c9d1b92e3fd7872df118"/>
    <w:p>
      <w:pPr>
        <w:pStyle w:val="Heading2"/>
        <w:spacing w:line="480" w:lineRule="auto"/>
      </w:pPr>
      <w:r>
        <w:t xml:space="preserve">Cislunar visibility and the observability precondition</w:t>
      </w:r>
    </w:p>
    <w:p>
      <w:pPr>
        <w:pStyle w:val="FirstParagraph"/>
        <w:spacing w:line="480" w:lineRule="auto"/>
      </w:pPr>
      <w:r>
        <w:t xml:space="preserve">Whether actors can even see what happens in cislunar space is the concern of the first strand. Working the Chang’e 5 case, Furfaro and colleagues find that cislunar objects break the ordinary assumptions of surveillance, since trajectories, viewing geometry, and sensor availability all diverge sharply from the familiar near-Earth regimes</w:t>
      </w:r>
      <w:r>
        <w:t xml:space="preserve"> </w:t>
      </w:r>
      <w:hyperlink w:anchor="ref-2">
        <w:r>
          <w:rPr>
            <w:rStyle w:val="Hyperlink"/>
          </w:rPr>
          <w:t xml:space="preserve">[2]</w:t>
        </w:r>
      </w:hyperlink>
      <w:r>
        <w:t xml:space="preserve">. Wilmer and Bettinger take up near-rectilinear halo orbit surveillance through cislunar periodic orbits, which locates observation strategy inside the very orbital environment where future logistics nodes may sit</w:t>
      </w:r>
      <w:r>
        <w:t xml:space="preserve"> </w:t>
      </w:r>
      <w:hyperlink w:anchor="ref-4">
        <w:r>
          <w:rPr>
            <w:rStyle w:val="Hyperlink"/>
          </w:rPr>
          <w:t xml:space="preserve">[4]</w:t>
        </w:r>
      </w:hyperlink>
      <w:r>
        <w:t xml:space="preserve">. Contrasting architectures for cislunar space domain awareness and traffic management, Wysack and Ferrant bind technical awareness straight to the institutional problem of running a larger lunar ecosystem</w:t>
      </w:r>
      <w:r>
        <w:t xml:space="preserve"> </w:t>
      </w:r>
      <w:hyperlink w:anchor="ref-3">
        <w:r>
          <w:rPr>
            <w:rStyle w:val="Hyperlink"/>
          </w:rPr>
          <w:t xml:space="preserve">[3]</w:t>
        </w:r>
      </w:hyperlink>
      <w:r>
        <w:t xml:space="preserve">.</w:t>
      </w:r>
    </w:p>
    <w:p>
      <w:pPr>
        <w:pStyle w:val="BodyText"/>
        <w:spacing w:line="480" w:lineRule="auto"/>
        <w:ind w:firstLine="720"/>
      </w:pPr>
      <w:r>
        <w:t xml:space="preserve">Governance presupposes observability. A standard is enforceable only where actors can watch for compliance, catch failure, and hold a shared operational picture, and cislunar space makes each of those harder than the near-Earth case ever did. To a propellant-standards argument, then, the surveillance literature matters for what it reveals about cost: how expensive and how incomplete that observability currently is. Thin awareness means early standards get adopted under uncertainty, and the actors who move first end up shaping the reference behavior that surveillance systems are later tuned to expect. From the sensor side the instrument literature makes the same point. Sodium guide star laser development for adaptive optics shows surveillance capability evolving across successive hardware generations, a reminder that the observing apparatus is anything but fixed and that early operational patterns can bias what future sensors are built to catch</w:t>
      </w:r>
      <w:r>
        <w:t xml:space="preserve"> </w:t>
      </w:r>
      <w:hyperlink w:anchor="ref-1">
        <w:r>
          <w:rPr>
            <w:rStyle w:val="Hyperlink"/>
          </w:rPr>
          <w:t xml:space="preserve">[1]</w:t>
        </w:r>
      </w:hyperlink>
      <w:r>
        <w:t xml:space="preserve">.</w:t>
      </w:r>
    </w:p>
    <w:bookmarkEnd w:id="73"/>
    <w:bookmarkStart w:id="74" w:name="traffic-management-and-hazard-growth"/>
    <w:p>
      <w:pPr>
        <w:pStyle w:val="Heading2"/>
        <w:spacing w:line="480" w:lineRule="auto"/>
      </w:pPr>
      <w:r>
        <w:t xml:space="preserve">Traffic management and hazard growth</w:t>
      </w:r>
    </w:p>
    <w:p>
      <w:pPr>
        <w:pStyle w:val="FirstParagraph"/>
        <w:spacing w:line="480" w:lineRule="auto"/>
      </w:pPr>
      <w:r>
        <w:t xml:space="preserve">The second strand turns to lunar traffic management and the way operational hazard grows with it. Bilka, Wright, and Wysack cast lunar growth as an architectural problem for space traffic management, pressing the question of how expansion can be guided before congestion passes the point of no return</w:t>
      </w:r>
      <w:r>
        <w:t xml:space="preserve"> </w:t>
      </w:r>
      <w:hyperlink w:anchor="ref-6">
        <w:r>
          <w:rPr>
            <w:rStyle w:val="Hyperlink"/>
          </w:rPr>
          <w:t xml:space="preserve">[6]</w:t>
        </w:r>
      </w:hyperlink>
      <w:r>
        <w:t xml:space="preserve">. Boone and Bettinger model the collision risk from artificial debris after a catastrophic lunar orbital mishap; Black and Frueh characterize cislunar fragmentations</w:t>
      </w:r>
      <w:r>
        <w:t xml:space="preserve"> </w:t>
      </w:r>
      <w:hyperlink w:anchor="ref-7">
        <w:r>
          <w:rPr>
            <w:rStyle w:val="Hyperlink"/>
          </w:rPr>
          <w:t xml:space="preserve">[7]</w:t>
        </w:r>
      </w:hyperlink>
      <w:r>
        <w:t xml:space="preserve"> </w:t>
      </w:r>
      <w:hyperlink w:anchor="ref-8">
        <w:r>
          <w:rPr>
            <w:rStyle w:val="Hyperlink"/>
          </w:rPr>
          <w:t xml:space="preserve">[8]</w:t>
        </w:r>
      </w:hyperlink>
      <w:r>
        <w:t xml:space="preserve">. None studies propellant standards. Read together, though, these papers make vivid what is at stake in getting logistics infrastructure wrong, and the stake is not a matter of vehicle performance but of where persistent hazard ends up concentrated.</w:t>
      </w:r>
    </w:p>
    <w:p>
      <w:pPr>
        <w:pStyle w:val="BodyText"/>
        <w:spacing w:line="480" w:lineRule="auto"/>
        <w:ind w:firstLine="720"/>
      </w:pPr>
      <w:r>
        <w:t xml:space="preserve">Suppose early logistics infrastructure lays down traffic patterns, storage nodes, transfer corridors, or servicing routines. A propellant standard then reaches past vehicle performance and into the distribution of operational risk itself. An interface that reads as efficient for the first mission generation can hand later operators a monitoring and mitigation burden along with the dwell points and maneuver cadence they inherit. The fragmentation and debris papers supply the physical mechanism behind that abstract worry: mishaps in lunar orbit throw off persistent hazards, and where those hazards land follows from where spacecraft gather. Standards decide where spacecraft gather. Where they gather decides where hazard piles up. That short chain is the whole bridge from a hazard literature to a standards argument, and it is why fragmentation physics belongs in a discussion that might otherwise stay confined to fuels and interfaces.</w:t>
      </w:r>
    </w:p>
    <w:bookmarkEnd w:id="74"/>
    <w:bookmarkStart w:id="75" w:name="X90a9dd6847fab0def62ee7ab1582f67f79a2502"/>
    <w:p>
      <w:pPr>
        <w:pStyle w:val="Heading2"/>
        <w:spacing w:line="480" w:lineRule="auto"/>
      </w:pPr>
      <w:r>
        <w:t xml:space="preserve">Propulsion, resources, and the material basis of logistics</w:t>
      </w:r>
    </w:p>
    <w:p>
      <w:pPr>
        <w:pStyle w:val="FirstParagraph"/>
        <w:spacing w:line="480" w:lineRule="auto"/>
      </w:pPr>
      <w:r>
        <w:t xml:space="preserve">Propellant standards acquire their material stakes at the junction the third strand occupies, where propulsion demonstrations meet resource feasibility. Tejeda and collaborators report on water electrolysis Hall Effect Thruster concepts, among them a device running on a hydrogen cathode and a second-generation AQUAHET demonstration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These studies sit at the center of the argument because they tie lunar volatile resources to a particular propulsion architecture. A standard that assumes water-derived feedstock thereby privileges a particular extraction and processing chain, and the demonstration pathway a standard rewards can turn into the pathway that later investment follows.</w:t>
      </w:r>
    </w:p>
    <w:p>
      <w:pPr>
        <w:pStyle w:val="BodyText"/>
        <w:spacing w:line="480" w:lineRule="auto"/>
        <w:ind w:firstLine="720"/>
      </w:pPr>
      <w:r>
        <w:t xml:space="preserve">Placing lunar resources research inside the discipline of mining feasibility studies, McKeown and colleagues make resource development less speculative and more like staged terrestrial mining assessment</w:t>
      </w:r>
      <w:r>
        <w:t xml:space="preserve"> </w:t>
      </w:r>
      <w:hyperlink w:anchor="ref-14">
        <w:r>
          <w:rPr>
            <w:rStyle w:val="Hyperlink"/>
          </w:rPr>
          <w:t xml:space="preserve">[14]</w:t>
        </w:r>
      </w:hyperlink>
      <w:r>
        <w:t xml:space="preserve">. Dorrington and Olsen widen the economic lens with parametric modeling of asteroid mining architectures, tracing how architecture choices work their way into cost structure</w:t>
      </w:r>
      <w:r>
        <w:t xml:space="preserve"> </w:t>
      </w:r>
      <w:hyperlink w:anchor="ref-10">
        <w:r>
          <w:rPr>
            <w:rStyle w:val="Hyperlink"/>
          </w:rPr>
          <w:t xml:space="preserve">[10]</w:t>
        </w:r>
      </w:hyperlink>
      <w:r>
        <w:t xml:space="preserve">. Taken as a set, these works suggest a propellant standard need not descend from a single formal body acting deliberately; it may instead emerge from the interplay of feasibility claims, demonstration pathways, and expected logistics demand. Standards can crystallize out of what gets funded and flown rather than out of what a committee ratifies.</w:t>
      </w:r>
    </w:p>
    <w:bookmarkEnd w:id="75"/>
    <w:bookmarkStart w:id="76" w:name="X790ff4e137e719ede7c3d6d7ab0034250c49d19"/>
    <w:p>
      <w:pPr>
        <w:pStyle w:val="Heading2"/>
        <w:spacing w:line="480" w:lineRule="auto"/>
      </w:pPr>
      <w:r>
        <w:t xml:space="preserve">Construction, transportation, and physical integration</w:t>
      </w:r>
    </w:p>
    <w:p>
      <w:pPr>
        <w:pStyle w:val="FirstParagraph"/>
        <w:spacing w:line="480" w:lineRule="auto"/>
      </w:pPr>
      <w:r>
        <w:t xml:space="preserve">How propellant systems knit into the rest of lunar infrastructure is the concern of the fourth strand. Li and Wang study deep reinforcement learning with hybrid vision and force feedback for lunar construction robotic assembly control, and their work shows that surface assembly will lean on repeatable, machine-executed procedures that presume compatible interfaces</w:t>
      </w:r>
      <w:r>
        <w:t xml:space="preserve"> </w:t>
      </w:r>
      <w:hyperlink w:anchor="ref-9">
        <w:r>
          <w:rPr>
            <w:rStyle w:val="Hyperlink"/>
          </w:rPr>
          <w:t xml:space="preserve">[9]</w:t>
        </w:r>
      </w:hyperlink>
      <w:r>
        <w:t xml:space="preserve">. Selvamurgan, Lightsey, and Ho work out time-optimal trajectory design for distributed space systems in Earth orbit, supplying a planning vocabulary for transportation networks that could later link into cislunar logistics</w:t>
      </w:r>
      <w:r>
        <w:t xml:space="preserve"> </w:t>
      </w:r>
      <w:hyperlink w:anchor="ref-13">
        <w:r>
          <w:rPr>
            <w:rStyle w:val="Hyperlink"/>
          </w:rPr>
          <w:t xml:space="preserve">[13]</w:t>
        </w:r>
      </w:hyperlink>
      <w:r>
        <w:t xml:space="preserve">. Kerschmann and collaborators examine how lunar dust dissolves in aqueous environments, a reminder that materials, contamination, and environmental interaction bound what is feasible for handling water-based propellant</w:t>
      </w:r>
      <w:r>
        <w:t xml:space="preserve"> </w:t>
      </w:r>
      <w:hyperlink w:anchor="ref-15">
        <w:r>
          <w:rPr>
            <w:rStyle w:val="Hyperlink"/>
          </w:rPr>
          <w:t xml:space="preserve">[15]</w:t>
        </w:r>
      </w:hyperlink>
      <w:r>
        <w:t xml:space="preserve">. Fiore, Fabiani, and Nasuti study two-phase heat transfer in the deep throttling of liquid rocket engines, tying fluid behavior and propulsion control to the engineering choices behind propellant systems</w:t>
      </w:r>
      <w:r>
        <w:t xml:space="preserve"> </w:t>
      </w:r>
      <w:hyperlink w:anchor="ref-16">
        <w:r>
          <w:rPr>
            <w:rStyle w:val="Hyperlink"/>
          </w:rPr>
          <w:t xml:space="preserve">[16]</w:t>
        </w:r>
      </w:hyperlink>
      <w:r>
        <w:t xml:space="preserve">.</w:t>
      </w:r>
    </w:p>
    <w:p>
      <w:pPr>
        <w:pStyle w:val="BodyText"/>
        <w:spacing w:line="480" w:lineRule="auto"/>
        <w:ind w:firstLine="720"/>
      </w:pPr>
      <w:r>
        <w:t xml:space="preserve">These integration papers earn their place by exposing how many downstream systems end up inheriting a propellant choice. Compatible fittings are what construction robots must handle. Known transfer characteristics are what transportation planners must assume. Thermal and contamination behavior is what constrains which handling procedures count as safe. A standard, on this reading, is not a line in a specification but a set of assumptions that ripple through assembly, transport, storage, and safety review. The sheer breadth of this strand is the empirical case that propellant standards are system-level institutions and not isolated engineering conventions.</w:t>
      </w:r>
    </w:p>
    <w:bookmarkEnd w:id="76"/>
    <w:bookmarkStart w:id="77" w:name="lock-in-theory-as-an-analytic-frame"/>
    <w:p>
      <w:pPr>
        <w:pStyle w:val="Heading2"/>
        <w:spacing w:line="480" w:lineRule="auto"/>
      </w:pPr>
      <w:r>
        <w:t xml:space="preserve">Lock-in theory as an analytic frame</w:t>
      </w:r>
    </w:p>
    <w:p>
      <w:pPr>
        <w:pStyle w:val="FirstParagraph"/>
        <w:spacing w:line="480" w:lineRule="auto"/>
      </w:pPr>
      <w:r>
        <w:t xml:space="preserve">The source corpus holds no lock-in literature as a separate theoretical canon, so the dissertation deploys lock-in as an analytic frame rather than as an imported authority. Increasing returns surface wherever each new adopter lowers the relative cost of using the same system. Learning effects surface wherever repeated use breeds operational knowledge that rivals cannot easily match. Coordination effects surface wherever a standard’s value rises with the count of compatible users. Institutional effects surface wherever rules, procurement practices, and certification routines start to presume a chosen interface. Space holds no monopoly on these mechanisms. The lunar setting magnifies each of them all the same, because early infrastructure there is sparse, expensive, and hard to replace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retrieved records back this frame by documenting technical interdependence at every layer. Predictable operational patterns are what cislunar awareness work depends on. Agreed behavior and shared interfaces are what traffic management architectures depend on. Assumptions about feedstock, storage, power, and mission cadence are what propulsion demonstrations depend on. Estimates of demand and logistics architecture are what resource feasibility work depends on. Physical compatibility and repeatable procedures are what construction robotics depends on. Interdependence this thick turns a propellant standard into the coupling point through which one early choice propagates into many later commitments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77"/>
    <w:bookmarkStart w:id="78" w:name="limits-of-the-retrieved-evidence"/>
    <w:p>
      <w:pPr>
        <w:pStyle w:val="Heading2"/>
        <w:spacing w:line="480" w:lineRule="auto"/>
      </w:pPr>
      <w:r>
        <w:t xml:space="preserve">Limits of the retrieved evidence</w:t>
      </w:r>
    </w:p>
    <w:p>
      <w:pPr>
        <w:pStyle w:val="FirstParagraph"/>
        <w:spacing w:line="480" w:lineRule="auto"/>
      </w:pPr>
      <w:r>
        <w:t xml:space="preserve">This literature carries limits. The dissertation folds them into the argument rather than relegating them to footnotes. Most of the evidence is technical, not institutional: the papers show how to track, model, demonstrate, and evaluate, and only rarely how governance authority consolidates. Citation counts in the local index run mostly to zero, which leaves attention measures weak and warns against reading citations as adoption. Venue-family coding is coarse, and the AMOS and Acta Astronautica sources come out of different publication cultures with different review norms and citation conventions. For detecting structure the corpus is useful. As a census of lunar propellant literature it is nothing of the sort, and it cannot prove market closure.</w:t>
      </w:r>
    </w:p>
    <w:p>
      <w:pPr>
        <w:pStyle w:val="BodyText"/>
        <w:spacing w:line="480" w:lineRule="auto"/>
        <w:ind w:firstLine="720"/>
      </w:pPr>
      <w:r>
        <w:t xml:space="preserve">These limits point in a definite direction. Early evidence already structured by recency and venue, in spite of thin citation variation, reads as a developing conversation rather than a settled one. Weak citation-based learning cautions against strong claims about consolidated attention. So the dissertation designs its empirical screens around exactly these two questions, which turns the limits of the corpus into the object of measurement instead of an excuse for silence.</w:t>
      </w:r>
    </w:p>
    <w:bookmarkEnd w:id="78"/>
    <w:bookmarkStart w:id="79" w:name="the-design-stage-gap"/>
    <w:p>
      <w:pPr>
        <w:pStyle w:val="Heading2"/>
        <w:spacing w:line="480" w:lineRule="auto"/>
      </w:pPr>
      <w:r>
        <w:t xml:space="preserve">The design-stage gap</w:t>
      </w:r>
    </w:p>
    <w:p>
      <w:pPr>
        <w:pStyle w:val="FirstParagraph"/>
        <w:spacing w:line="480" w:lineRule="auto"/>
      </w:pPr>
      <w:r>
        <w:t xml:space="preserve">Papers on cislunar systems are not what is missing. The corpus is rich in them. What is missing is a bridge, one that runs from technical demonstrations to institutional path dependence, and its absence is what keeps a rich technical record from adding up to a claim about the institution those demonstrations are quietly building. The existing papers teach how to track objects, model hazards, demonstrate propulsion, evaluate resource feasibility, and design transport or construction systems</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What they do not yet do is explain how early propellant standards could weld those pieces into a path-dependent lunar economy, nor do they supply a method for detecting whether the field is nearing a standards window.</w:t>
      </w:r>
    </w:p>
    <w:p>
      <w:pPr>
        <w:pStyle w:val="BodyText"/>
        <w:spacing w:line="480" w:lineRule="auto"/>
        <w:ind w:firstLine="720"/>
      </w:pPr>
      <w:r>
        <w:t xml:space="preserve">The dissertation closes that design-stage gap in two moves. The first reads the retrieved corpus as evidence of emerging structure, drawing on the four strands to establish propellant standards as a cross-domain institution rather than a narrow propulsion decision. The second subjects that reading to auditable estimation, testing whether topic signal is structured by recency, attention, and venue, and whether citation accumulation shows a learning pattern. What comes out is narrower than a policy prescription. It shows how the documentary record organizes a technical governance problem, which sources carry the signal, and which parts of the argument still wait on mission-level evidence before they can underwrite institutional commitments.</w:t>
      </w:r>
    </w:p>
    <w:bookmarkEnd w:id="79"/>
    <w:bookmarkStart w:id="80" w:name="how-the-four-strands-interlock"/>
    <w:p>
      <w:pPr>
        <w:pStyle w:val="Heading2"/>
        <w:spacing w:line="480" w:lineRule="auto"/>
      </w:pPr>
      <w:r>
        <w:t xml:space="preserve">How the four strands interlock</w:t>
      </w:r>
    </w:p>
    <w:p>
      <w:pPr>
        <w:pStyle w:val="FirstParagraph"/>
        <w:spacing w:line="480" w:lineRule="auto"/>
      </w:pPr>
      <w:r>
        <w:t xml:space="preserve">Read together rather than apart, the four strands turn out to describe a single causal loop. What can be observed, and therefore what a standard can enforce, is set by surveillance capability</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Traffic management architecture takes observed behavior and translates it into coordination rules, which is exactly where a propellant assumption could acquire the force of a requirement</w:t>
      </w:r>
      <w:r>
        <w:t xml:space="preserve"> </w:t>
      </w:r>
      <w:hyperlink w:anchor="ref-6">
        <w:r>
          <w:rPr>
            <w:rStyle w:val="Hyperlink"/>
          </w:rPr>
          <w:t xml:space="preserve">[6]</w:t>
        </w:r>
      </w:hyperlink>
      <w:r>
        <w:t xml:space="preserve">. The feedstock and demonstration pathways such a rule would reference come from propulsion and resource work</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How far a referenced choice propagates once written down is decided by integration work in construction, transport, thermal control, and contamination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loop closes when that propagation generates fresh behavior for surveillance to observe.</w:t>
      </w:r>
    </w:p>
    <w:p>
      <w:pPr>
        <w:pStyle w:val="BodyText"/>
        <w:spacing w:line="480" w:lineRule="auto"/>
        <w:ind w:firstLine="720"/>
      </w:pPr>
      <w:r>
        <w:t xml:space="preserve">No prior paper follows the loop from one end to the other, because each community writes for its own readers. Procurement rarely enters the surveillance literature. Traffic congestion rarely enters the propulsion literature. Interface control documents rarely enter the mining literature. Reading the strands as one system is therefore itself a contribution, since it exposes the propellant standard as the coupling that lets a choice made in one community bind choices in all the rest. That systemic reading is the warrant for treating a bibliometric probe as evidence about an institution and not merely about a literature.</w:t>
      </w:r>
    </w:p>
    <w:bookmarkEnd w:id="80"/>
    <w:bookmarkStart w:id="81" w:name="Xe5cde8037a12dd2828d135f925c8385778f6967"/>
    <w:p>
      <w:pPr>
        <w:pStyle w:val="Heading2"/>
        <w:spacing w:line="480" w:lineRule="auto"/>
      </w:pPr>
      <w:r>
        <w:t xml:space="preserve">What comparable infrastructure literatures suggest</w:t>
      </w:r>
    </w:p>
    <w:p>
      <w:pPr>
        <w:pStyle w:val="FirstParagraph"/>
        <w:spacing w:line="480" w:lineRule="auto"/>
      </w:pPr>
      <w:r>
        <w:t xml:space="preserve">Lock-in theory appears in the corpus under no separate banner, yet the retrieved economic and feasibility work gestures at the same dynamics from an applied direction. Parametric economic modeling of asteroid mining architectures traces how a small set of architectural assumptions cascades into a cost structure that then rationalizes further investment down the same path</w:t>
      </w:r>
      <w:r>
        <w:t xml:space="preserve"> </w:t>
      </w:r>
      <w:hyperlink w:anchor="ref-10">
        <w:r>
          <w:rPr>
            <w:rStyle w:val="Hyperlink"/>
          </w:rPr>
          <w:t xml:space="preserve">[10]</w:t>
        </w:r>
      </w:hyperlink>
      <w:r>
        <w:t xml:space="preserve">. Lodging lunar resources research inside staged mining-feasibility practice borrows a discipline from terrestrial extraction, where early feasibility framing decides which deposits ever get developed</w:t>
      </w:r>
      <w:r>
        <w:t xml:space="preserve"> </w:t>
      </w:r>
      <w:hyperlink w:anchor="ref-14">
        <w:r>
          <w:rPr>
            <w:rStyle w:val="Hyperlink"/>
          </w:rPr>
          <w:t xml:space="preserve">[14]</w:t>
        </w:r>
      </w:hyperlink>
      <w:r>
        <w:t xml:space="preserve">. Both moves stage, in an engineering-economics register, the increasing-returns intuition a design-stage governance analysis needs: framing is never neutral, because it fixes the baseline against which every later option is judged.</w:t>
      </w:r>
    </w:p>
    <w:p>
      <w:pPr>
        <w:pStyle w:val="BodyText"/>
        <w:spacing w:line="480" w:lineRule="auto"/>
        <w:ind w:firstLine="720"/>
      </w:pPr>
      <w:r>
        <w:t xml:space="preserve">What pure economics leaves out, the surveillance and hazard strands supply as a safety dimension. Radar-derived characterization of defunct objects, together with the physics of cislunar observation, shows how hard it is to reconstruct the state of the environment after the fact, which means governance cannot fall back on retrospective correction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Fragmentation and collision-risk modeling shows the cost of a poorly sited concentration of activity to be both persistent and shared</w:t>
      </w:r>
      <w:r>
        <w:t xml:space="preserve"> </w:t>
      </w:r>
      <w:hyperlink w:anchor="ref-7">
        <w:r>
          <w:rPr>
            <w:rStyle w:val="Hyperlink"/>
          </w:rPr>
          <w:t xml:space="preserve">[7]</w:t>
        </w:r>
      </w:hyperlink>
      <w:r>
        <w:t xml:space="preserve"> </w:t>
      </w:r>
      <w:hyperlink w:anchor="ref-8">
        <w:r>
          <w:rPr>
            <w:rStyle w:val="Hyperlink"/>
          </w:rPr>
          <w:t xml:space="preserve">[8]</w:t>
        </w:r>
      </w:hyperlink>
      <w:r>
        <w:t xml:space="preserve">. A standards analysis that skipped these strands would treat propellant as a pure economic-efficiency question and miss the way a concentrating standard externalizes risk onto later operators.</w:t>
      </w:r>
    </w:p>
    <w:bookmarkEnd w:id="81"/>
    <w:bookmarkStart w:id="82" w:name="positioning-the-present-contribution"/>
    <w:p>
      <w:pPr>
        <w:pStyle w:val="Heading2"/>
        <w:spacing w:line="480" w:lineRule="auto"/>
      </w:pPr>
      <w:r>
        <w:t xml:space="preserve">Positioning the present contribution</w:t>
      </w:r>
    </w:p>
    <w:p>
      <w:pPr>
        <w:pStyle w:val="FirstParagraph"/>
        <w:spacing w:line="480" w:lineRule="auto"/>
      </w:pPr>
      <w:r>
        <w:t xml:space="preserve">Against this body of work the present dissertation takes up a specific, previously empty position. It adds no new surveillance technique, no new propulsion demonstration, no new feasibility model. Instead it raises a meta-question about the literature all those efforts produce. Has that literature begun to organize in a way consistent with an approaching standards window, and can the organization be measured auditably? A yes-or-no answer becomes reachable only because the four strands together carry enough cross-community variation for a venue and recency signal to mean something. The review therefore works twice over, establishing the substance of the propellant-standards problem and establishing that the retrieved corpus has the internal variety a bibliometric test demands.</w:t>
      </w:r>
    </w:p>
    <w:bookmarkEnd w:id="82"/>
    <w:bookmarkStart w:id="83" w:name="what-the-corpus-does-not-contain"/>
    <w:p>
      <w:pPr>
        <w:pStyle w:val="Heading2"/>
        <w:spacing w:line="480" w:lineRule="auto"/>
      </w:pPr>
      <w:r>
        <w:t xml:space="preserve">What the corpus does not contain</w:t>
      </w:r>
    </w:p>
    <w:p>
      <w:pPr>
        <w:pStyle w:val="FirstParagraph"/>
        <w:spacing w:line="480" w:lineRule="auto"/>
      </w:pPr>
      <w:r>
        <w:t xml:space="preserve">Honesty in a review means stating the silences. There are several. No document in the corpus studies lunar propellant standard setting directly; none is a procurement record, an interface control document, an interview, or a governance minute. No explicit lock-in theory paper appears, which is why lock-in enters as an analytic frame and not as a cited authority. Almost no citation signal is present, since most records show zero citations in the local index, and the corpus straddles two publication cultures whose citation norms do not agree. These are not incidental gaps. They are the reason the dissertation is a design-stage project rather than a causal one, and they bound every claim the later chapters advance.</w:t>
      </w:r>
    </w:p>
    <w:p>
      <w:pPr>
        <w:pStyle w:val="BodyText"/>
        <w:spacing w:line="480" w:lineRule="auto"/>
        <w:ind w:firstLine="720"/>
      </w:pPr>
      <w:r>
        <w:t xml:space="preserve">The method takes its shape from those silences too. Since no document names a standard, the outcome has to be a proximity proxy rather than a coded stance, which is why the signal score measures topical fit and not endorsement. Since citations are sparse, the learning-curve screen is expected to be weak, and its weakness is read as informative rather than as failure. Reading the corpus for what it lacks matters as much as reading it for what it holds, because the lacks are what fix the altitude of the inference. Catalog only the present sources and the later chapters would look overconfident; naming the absences readies the reader for a bounded result.</w:t>
      </w:r>
    </w:p>
    <w:bookmarkEnd w:id="83"/>
    <w:bookmarkStart w:id="84" w:name="X540803c61427ae7390f7ab4a0f16b1bbc49e59b"/>
    <w:p>
      <w:pPr>
        <w:pStyle w:val="Heading2"/>
        <w:spacing w:line="480" w:lineRule="auto"/>
      </w:pPr>
      <w:r>
        <w:t xml:space="preserve">Cross-references among the strands in the record</w:t>
      </w:r>
    </w:p>
    <w:p>
      <w:pPr>
        <w:pStyle w:val="FirstParagraph"/>
        <w:spacing w:line="480" w:lineRule="auto"/>
      </w:pPr>
      <w:r>
        <w:t xml:space="preserve">Look closely and the four strands already cite and presume one another inside the corpus, which is itself a sign the field is organizing. Contrasting-architectures work joins cislunar awareness to traffic management outright, refusing to hold them apart</w:t>
      </w:r>
      <w:r>
        <w:t xml:space="preserve"> </w:t>
      </w:r>
      <w:hyperlink w:anchor="ref-3">
        <w:r>
          <w:rPr>
            <w:rStyle w:val="Hyperlink"/>
          </w:rPr>
          <w:t xml:space="preserve">[3]</w:t>
        </w:r>
      </w:hyperlink>
      <w:r>
        <w:t xml:space="preserve">. Lunar-growth traffic architecture leans on the very surveillance capability the awareness strand is still building</w:t>
      </w:r>
      <w:r>
        <w:t xml:space="preserve"> </w:t>
      </w:r>
      <w:hyperlink w:anchor="ref-6">
        <w:r>
          <w:rPr>
            <w:rStyle w:val="Hyperlink"/>
          </w:rPr>
          <w:t xml:space="preserve">[6]</w:t>
        </w:r>
      </w:hyperlink>
      <w:r>
        <w:t xml:space="preserve">. Water-electrolysis propulsion assumes the volatile feedstock the mining-feasibility strand is trying to certify</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Construction-robotics and trajectory work assume compatible interfaces and known transfer characteristics that a propellant standard would eventually fix</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These are not four disconnected literatures. They are four faces of one emerging system, and their mutual assumptions are the documentary trace of a standards conversation coming into being.</w:t>
      </w:r>
    </w:p>
    <w:p>
      <w:pPr>
        <w:pStyle w:val="BodyText"/>
        <w:spacing w:line="480" w:lineRule="auto"/>
        <w:ind w:firstLine="720"/>
      </w:pPr>
      <w:r>
        <w:t xml:space="preserve">That mutual dependence is what saves a bibliometric probe from arbitrariness. Were the strands truly independent, a recency or venue signal would carry no institutional reading, since no system would exist for a standard to lock in. Because the strands presume one another, structure in the corpus can plausibly reflect a field converging on a shared problem, and that is the interpretation the empirical chapters put to the test. So the review furnishes not only the substance and the silences but the interdependence that licenses reading a statistical signal as institutional evidence.</w:t>
      </w:r>
    </w:p>
    <w:bookmarkEnd w:id="84"/>
    <w:bookmarkStart w:id="85" w:name="from-literature-to-test"/>
    <w:p>
      <w:pPr>
        <w:pStyle w:val="Heading2"/>
        <w:spacing w:line="480" w:lineRule="auto"/>
      </w:pPr>
      <w:r>
        <w:t xml:space="preserve">From literature to test</w:t>
      </w:r>
    </w:p>
    <w:p>
      <w:pPr>
        <w:pStyle w:val="FirstParagraph"/>
        <w:spacing w:line="480" w:lineRule="auto"/>
      </w:pPr>
      <w:r>
        <w:t xml:space="preserve">The passage from review to empirical work is short. Across awareness, traffic, propulsion, resources, and integration, the four strands establish a propellant standard as a cross-domain institution whose choice propagates through the whole system</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silences establish that the record cannot yet speak to adoption or causation. What stays testable is whether the record shows the temporal and cross-community organization that would precede a standards window, and that is precisely what the two screens measure. The review has finished its work once it has shown two things at once: that the problem is a system-level institution, and that the retrieved corpus, gaps and all, carries enough structure to be worth testing. That framing carries directly into the theoretical mechanisms developed next.</w:t>
      </w:r>
    </w:p>
    <w:bookmarkEnd w:id="85"/>
    <w:bookmarkEnd w:id="86"/>
    <w:bookmarkStart w:id="100" w:name="X4278fcd22e64b581a7f6894c30bdb3ba9a20257"/>
    <w:p>
      <w:pPr>
        <w:pStyle w:val="Heading1"/>
        <w:spacing w:line="480" w:lineRule="auto"/>
      </w:pPr>
      <w:r>
        <w:t xml:space="preserve">Chapter 3: Theoretical Framework and Hypotheses</w:t>
      </w:r>
    </w:p>
    <w:p>
      <w:pPr>
        <w:pStyle w:val="FirstParagraph"/>
        <w:spacing w:line="480" w:lineRule="auto"/>
      </w:pPr>
      <w:r>
        <w:t xml:space="preserve">Increasing returns and standard-setting authority tie together under conditions of sparse lunar infrastructure. That tie is what the framework works out. A standard matters once it stops merely describing a technical preference and starts reshaping the payoffs that later actors face. For lunar propellant the reshaping could travel through vehicle design, storage architecture, surface processing, transfer logistics, safety review, procurement language, interoperability testing, and traffic management rules. Let those systems begin to line up behind one choice and the cost of adopting a different standard climbs, even where the alternatives stay technically plausible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Four things get specified in this chapter. It sets out four mechanisms by which technical convenience can harden into institutional commitment. It separates technical superiority from institutional dominance. And from that it derives two levels of hypotheses: one at the dissertation level about foreclosure, and two at the empirical level that the retrieved corpus can genuinely test.</w:t>
      </w:r>
    </w:p>
    <w:bookmarkStart w:id="87" w:name="mechanism-one-interface-dependence"/>
    <w:p>
      <w:pPr>
        <w:pStyle w:val="Heading2"/>
        <w:spacing w:line="480" w:lineRule="auto"/>
      </w:pPr>
      <w:r>
        <w:t xml:space="preserve">Mechanism one: interface dependence</w:t>
      </w:r>
    </w:p>
    <w:p>
      <w:pPr>
        <w:pStyle w:val="FirstParagraph"/>
        <w:spacing w:line="480" w:lineRule="auto"/>
      </w:pPr>
      <w:r>
        <w:t xml:space="preserve">Tanks, transfer systems, engines, power systems, cryogenic management, handling procedures, safety cases: propellant standards shape the couplings among all of them. Papers on water electrolysis propulsion show choices about hydrogen, oxygen, water processing, and electric propulsion embedded in particular demonstration paths, so that a standard assuming water-derived feedstock quietly assumes an entire upstream chain along with it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Work on liquid rocket engine throttling and two-phase heat transfer shows propellant behavior shaping control regimes and engine design assumptions, which means the downstream engine architecture ends up inheriting the properties of the propellant it was built around</w:t>
      </w:r>
      <w:r>
        <w:t xml:space="preserve"> </w:t>
      </w:r>
      <w:hyperlink w:anchor="ref-16">
        <w:r>
          <w:rPr>
            <w:rStyle w:val="Hyperlink"/>
          </w:rPr>
          <w:t xml:space="preserve">[16]</w:t>
        </w:r>
      </w:hyperlink>
      <w:r>
        <w:t xml:space="preserve">.</w:t>
      </w:r>
    </w:p>
    <w:p>
      <w:pPr>
        <w:pStyle w:val="BodyText"/>
        <w:spacing w:line="480" w:lineRule="auto"/>
        <w:ind w:firstLine="720"/>
      </w:pPr>
      <w:r>
        <w:t xml:space="preserve">Interface dependence bites because later entrants face a binary they never chose. The binary is stark. Either they conform to the established interface and take on its constraints, or they pay the price of incompatibility, which runs to redesign, requalification, and the loss of access to shared infrastructure. Embed the interface across tanks, engines, thermal systems, and safety cases, and the switching cost is no longer the price of one component. It is the price of walking out of an ecosystem. That is the first channel through which an early choice forecloses the later ones.</w:t>
      </w:r>
    </w:p>
    <w:bookmarkEnd w:id="87"/>
    <w:bookmarkStart w:id="88" w:name="mechanism-two-learning-concentration"/>
    <w:p>
      <w:pPr>
        <w:pStyle w:val="Heading2"/>
        <w:spacing w:line="480" w:lineRule="auto"/>
      </w:pPr>
      <w:r>
        <w:t xml:space="preserve">Mechanism two: learning concentration</w:t>
      </w:r>
    </w:p>
    <w:p>
      <w:pPr>
        <w:pStyle w:val="FirstParagraph"/>
        <w:spacing w:line="480" w:lineRule="auto"/>
      </w:pPr>
      <w:r>
        <w:t xml:space="preserve">Whatever system gets used first at scale is where operational knowledge starts to gather. Crews, autonomous systems, mission planners, regulators, insurers, and suppliers all learn the procedures that missions actually fly, and reproducing that learning for an alternative comes dear. No direct operational learning dataset for lunar propellant lives in the local corpus. What does live there are measures of article age, recency, venue, and signal, and those can test whether attention has begun to concentrate. Stronger topic signals in newer records would leave the corpus consistent with a field whose learning is accelerating around a cluster of related problems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Of the four, learning concentration is the mechanism tied most directly to the empirical screens. In its classical form a learning curve predicts that cumulative experience drives unit cost down or attention up along a compounding path. Cumulative operational experience is not observable here, so the dissertation substitutes citation accumulation by article age as a weak proxy and tests whether that proxy shows a learning pattern. The proxy is imperfect, and the framework concedes as much up front: citations are not adoption, and a null on the learning curve ought to temper the broader argument rather than overturn it.</w:t>
      </w:r>
    </w:p>
    <w:bookmarkEnd w:id="88"/>
    <w:bookmarkStart w:id="89" w:name="mechanism-three-governance-translation"/>
    <w:p>
      <w:pPr>
        <w:pStyle w:val="Heading2"/>
        <w:spacing w:line="480" w:lineRule="auto"/>
      </w:pPr>
      <w:r>
        <w:t xml:space="preserve">Mechanism three: governance translation</w:t>
      </w:r>
    </w:p>
    <w:p>
      <w:pPr>
        <w:pStyle w:val="FirstParagraph"/>
        <w:spacing w:line="480" w:lineRule="auto"/>
      </w:pPr>
      <w:r>
        <w:t xml:space="preserve">Lock-in arrives when technical convenience enters governance. The route is not hard to trace. A standard can travel from demonstration to expectation through procurement specifications, safety review templates, interoperability requirements, or traffic management architecture. The lunar traffic management architecture work of Bilka, Wright, and Wysack bears on this because it frames growth as something that must be guided before operations congest, and that is precisely the juncture at which provisional technical choices are most apt to be written into rules</w:t>
      </w:r>
      <w:r>
        <w:t xml:space="preserve"> </w:t>
      </w:r>
      <w:hyperlink w:anchor="ref-6">
        <w:r>
          <w:rPr>
            <w:rStyle w:val="Hyperlink"/>
          </w:rPr>
          <w:t xml:space="preserve">[6]</w:t>
        </w:r>
      </w:hyperlink>
      <w:r>
        <w:t xml:space="preserve">. Wysack and Ferrant connect cislunar awareness architecture to traffic management, showing observation and rule systems developing together and reinforcing one another</w:t>
      </w:r>
      <w:r>
        <w:t xml:space="preserve"> </w:t>
      </w:r>
      <w:hyperlink w:anchor="ref-3">
        <w:r>
          <w:rPr>
            <w:rStyle w:val="Hyperlink"/>
          </w:rPr>
          <w:t xml:space="preserve">[3]</w:t>
        </w:r>
      </w:hyperlink>
      <w:r>
        <w:t xml:space="preserve">.</w:t>
      </w:r>
    </w:p>
    <w:p>
      <w:pPr>
        <w:pStyle w:val="BodyText"/>
        <w:spacing w:line="480" w:lineRule="auto"/>
        <w:ind w:firstLine="720"/>
      </w:pPr>
      <w:r>
        <w:t xml:space="preserve">Governance translation is the mechanism that converts a private engineering choice into a public institution. Once a propellant assumption lodges in a solicitation, a safety case, or an interface control document, it takes on an authority no single demonstration ever held. Later actors comply. They comply not because the choice is optimal but because compliance is the path of least resistance through the approval system. This is the point at which increasing returns take on the force of law, and it is the mechanism a design-stage dissertation can flag yet not measure, because the governance record for lunar propellant does not yet exist.</w:t>
      </w:r>
    </w:p>
    <w:bookmarkEnd w:id="89"/>
    <w:bookmarkStart w:id="90" w:name="mechanism-four-hazard-coupling"/>
    <w:p>
      <w:pPr>
        <w:pStyle w:val="Heading2"/>
        <w:spacing w:line="480" w:lineRule="auto"/>
      </w:pPr>
      <w:r>
        <w:t xml:space="preserve">Mechanism four: hazard coupling</w:t>
      </w:r>
    </w:p>
    <w:p>
      <w:pPr>
        <w:pStyle w:val="FirstParagraph"/>
        <w:spacing w:line="480" w:lineRule="auto"/>
      </w:pPr>
      <w:r>
        <w:t xml:space="preserve">Where spacecraft go, where they dwell, where they transfer mass, how often they maneuver: propellant logistics shape all of it. Cislunar surveillance studies and debris risk papers establish that lunar and cislunar regimes are not benign empty space, so operational patterns carry safety consequences with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Concentrate traffic near certain nodes, or encourage particular storage practices, and a standard has reshaped the distribution of risk across the whole operating environment.</w:t>
      </w:r>
    </w:p>
    <w:p>
      <w:pPr>
        <w:pStyle w:val="BodyText"/>
        <w:spacing w:line="480" w:lineRule="auto"/>
        <w:ind w:firstLine="720"/>
      </w:pPr>
      <w:r>
        <w:t xml:space="preserve">Hazard coupling does not brand a standard unsafe. It says that standards create operational patterns, and operational patterns become part of the safety environment later operators inherit. Reward clustering at a small number of refueling nodes and a propellant architecture may deliver predictability and coordination while at the same time breeding congestion and single points of failure. The fragmentation literature shows a mishap at such a node throwing off persistent debris, so the safety cost of a concentrating standard is no hypothetical</w:t>
      </w:r>
      <w:r>
        <w:t xml:space="preserve"> </w:t>
      </w:r>
      <w:hyperlink w:anchor="ref-7">
        <w:r>
          <w:rPr>
            <w:rStyle w:val="Hyperlink"/>
          </w:rPr>
          <w:t xml:space="preserve">[7]</w:t>
        </w:r>
      </w:hyperlink>
      <w:r>
        <w:t xml:space="preserve"> </w:t>
      </w:r>
      <w:hyperlink w:anchor="ref-8">
        <w:r>
          <w:rPr>
            <w:rStyle w:val="Hyperlink"/>
          </w:rPr>
          <w:t xml:space="preserve">[8]</w:t>
        </w:r>
      </w:hyperlink>
      <w:r>
        <w:t xml:space="preserve">. With that, hazard coupling closes the loop: the choice that generates increasing returns also redistributes risk, and both effects resist reversal once infrastructure is in the ground.</w:t>
      </w:r>
    </w:p>
    <w:bookmarkEnd w:id="90"/>
    <w:bookmarkStart w:id="91" w:name="from-mechanisms-to-hypotheses"/>
    <w:p>
      <w:pPr>
        <w:pStyle w:val="Heading2"/>
        <w:spacing w:line="480" w:lineRule="auto"/>
      </w:pPr>
      <w:r>
        <w:t xml:space="preserve">From mechanisms to hypotheses</w:t>
      </w:r>
    </w:p>
    <w:p>
      <w:pPr>
        <w:pStyle w:val="FirstParagraph"/>
        <w:spacing w:line="480" w:lineRule="auto"/>
      </w:pPr>
      <w:r>
        <w:t xml:space="preserve">Two levels of hypotheses come out of the four mechanisms. One is broad, the other narrow. At the dissertation level the hypothesis is about foreclosure: early lunar propellant standards grow more likely to foreclose alternatives as interface dependence, learning concentration, governance translation, and hazard coupling converge. A thirty-record document corpus cannot test that hypothesis directly, and the dissertation makes no pretense that it can. This is the substantive claim the design-stage evidence is meant to render credible, not to prove.</w:t>
      </w:r>
    </w:p>
    <w:p>
      <w:pPr>
        <w:pStyle w:val="BodyText"/>
        <w:spacing w:line="480" w:lineRule="auto"/>
        <w:ind w:firstLine="720"/>
      </w:pPr>
      <w:r>
        <w:t xml:space="preserve">The empirical hypotheses run narrower, because the available evidence is a document corpus and not a full institutional dataset. The first empirical screen asks whether topic-signal intensity is associated with publication recency, citation attention, and venue family. Its null says signal intensity has no relation to those predictors, which would describe a flat, unstructured corpus. Its alternative says signal intensity relates to them systematically, which would mark the retrieved record as carrying the temporal and cross-community structure a standards-window argument requires.</w:t>
      </w:r>
    </w:p>
    <w:p>
      <w:pPr>
        <w:pStyle w:val="BodyText"/>
        <w:spacing w:line="480" w:lineRule="auto"/>
        <w:ind w:firstLine="720"/>
      </w:pPr>
      <w:r>
        <w:t xml:space="preserve">The second empirical screen asks whether citation accumulation follows a learning pattern by article age. Its null says citation attention has no relation to article age in the retrieved corpus; its alternative says citation attention shifts systematically with article age. Deliberately modest, this screen makes no claim that citations equal adoption; it only asks whether attention behaves so as to support a stronger claim about cumulative learning. A weak learning curve would force the dissertation to read the evidence as topical structuring rather than settled convergence, and it commits to that reading before ever seeing the estimate.</w:t>
      </w:r>
    </w:p>
    <w:bookmarkEnd w:id="91"/>
    <w:bookmarkStart w:id="92" w:name="X2616af7bc31f53003f15a1403d52b71197dd140"/>
    <w:p>
      <w:pPr>
        <w:pStyle w:val="Heading2"/>
        <w:spacing w:line="480" w:lineRule="auto"/>
      </w:pPr>
      <w:r>
        <w:t xml:space="preserve">Separating technical superiority from institutional dominance</w:t>
      </w:r>
    </w:p>
    <w:p>
      <w:pPr>
        <w:pStyle w:val="FirstParagraph"/>
        <w:spacing w:line="480" w:lineRule="auto"/>
      </w:pPr>
      <w:r>
        <w:t xml:space="preserve">Two paths to victory for a propellant standard are what the framework pulls apart. A standard can dominate because it is genuinely better for a given mission class, and there its persistence reflects merit. Or it can dominate because early investment, interface compatibility, and governance uptake make keeping it cheaper than replacing it, and there its persistence reflects path dependence rather than superiority. Either path can produce the same observed outcome. That symmetry is exactly why foreclosure resists detection from outcomes alone, and why a study that hopes to catch it early has to look at the structure of the record rather than at any single result.</w:t>
      </w:r>
    </w:p>
    <w:p>
      <w:pPr>
        <w:pStyle w:val="BodyText"/>
        <w:spacing w:line="480" w:lineRule="auto"/>
        <w:ind w:firstLine="720"/>
      </w:pPr>
      <w:r>
        <w:t xml:space="preserve">Which path will prevail for lunar propellant is not something the dissertation needs to prove. What it needs to show is how a standard could slide from technical choice to institutional commitment, and whether the documentary record already carries the structure such a slide would generate. That is why the empirical work fixes on structure in the literature while the interpretation fixes on governance safeguards. The design refuses, on purpose, to read institutional dominance off technical activity; it asks only whether the field is organizing in a way consistent with an approaching standards window.</w:t>
      </w:r>
    </w:p>
    <w:bookmarkEnd w:id="92"/>
    <w:bookmarkStart w:id="93" w:name="the-expectation-the-models-will-confront"/>
    <w:p>
      <w:pPr>
        <w:pStyle w:val="Heading2"/>
        <w:spacing w:line="480" w:lineRule="auto"/>
      </w:pPr>
      <w:r>
        <w:t xml:space="preserve">The expectation the models will confront</w:t>
      </w:r>
    </w:p>
    <w:p>
      <w:pPr>
        <w:pStyle w:val="FirstParagraph"/>
        <w:spacing w:line="480" w:lineRule="auto"/>
      </w:pPr>
      <w:r>
        <w:t xml:space="preserve">A concrete, falsifiable expectation drops out of the theory. If the field is nearing a standards window, newer papers should carry stronger signals, because emerging work will increasingly fold surveillance, traffic management, resource feasibility, propulsion, and infrastructure into a single conversation. Venue family may register because AMOS sources sit nearer space domain awareness and traffic management while Acta Astronautica sources sit nearer propulsion, resources, and physical systems, so a standards problem spanning both communities ought to leave a venue signature. Citation counts may register less, whether because many sources are recent or because the local index undercounts scholarly attention.</w:t>
      </w:r>
    </w:p>
    <w:p>
      <w:pPr>
        <w:pStyle w:val="BodyText"/>
        <w:spacing w:line="480" w:lineRule="auto"/>
        <w:ind w:firstLine="720"/>
      </w:pPr>
      <w:r>
        <w:t xml:space="preserve">Confirmation comes only if the models show recency and venue structure while citation effects stay limited. A different pattern demands a different reading. Strong citation effects paired with weak recency structure would point to a mature, consolidated field rather than an emerging one. No structure at all would return the flat-corpus null. That null would cut the foreclosure argument off at its evidentiary root, and the design accepts the possibility rather than hedging against it.</w:t>
      </w:r>
    </w:p>
    <w:bookmarkEnd w:id="93"/>
    <w:bookmarkStart w:id="94" w:name="how-the-mechanisms-interact"/>
    <w:p>
      <w:pPr>
        <w:pStyle w:val="Heading2"/>
        <w:spacing w:line="480" w:lineRule="auto"/>
      </w:pPr>
      <w:r>
        <w:t xml:space="preserve">How the mechanisms interact</w:t>
      </w:r>
    </w:p>
    <w:p>
      <w:pPr>
        <w:pStyle w:val="FirstParagraph"/>
        <w:spacing w:line="480" w:lineRule="auto"/>
      </w:pPr>
      <w:r>
        <w:t xml:space="preserve">The four mechanisms are not independent additive terms. They reinforce one another. That mutual reinforcement is why convergence rather than any single mechanism drives foreclosure. Interface dependence raises the switching cost of the hardware. Learning concentration raises the switching cost of the know-how. Governance translation raises the switching cost of compliance. And hazard coupling raises the switching cost of safety, since a rival architecture that redistributes traffic would force a re-validation of the entire risk picture across every node whose dwell time and failure exposure the incumbent standard had already fixed. Move all four together and the total switching cost stops being a sum of four costs and becomes a compound, each mechanism making the others harder to reverse, so that an operator eyeing a rival propellant confronts incompatible interfaces, an experience deficit, an unfavorable approval path, and an unproven safety case all at once.</w:t>
      </w:r>
    </w:p>
    <w:p>
      <w:pPr>
        <w:pStyle w:val="BodyText"/>
        <w:spacing w:line="480" w:lineRule="auto"/>
        <w:ind w:firstLine="720"/>
      </w:pPr>
      <w:r>
        <w:t xml:space="preserve">That compounding is the theoretical reason a design-stage warning is worth issuing now. Were the mechanisms acting independently, a governance body could loosen any one later and restore contestability. Because they compound, waiting until all four are visible means waiting until reversal requires attacking all four at once, which is exactly the point where reversal turns politically and financially prohibitive. The mechanisms therefore predict a characteristic timing, in which the moment to preserve optionality comes before the moment foreclosure grows measurable in outcomes.</w:t>
      </w:r>
    </w:p>
    <w:bookmarkEnd w:id="94"/>
    <w:bookmarkStart w:id="95" w:name="X38607e97ed4be648f9bcbe74ded7c0d59dda609"/>
    <w:p>
      <w:pPr>
        <w:pStyle w:val="Heading2"/>
        <w:spacing w:line="480" w:lineRule="auto"/>
      </w:pPr>
      <w:r>
        <w:t xml:space="preserve">Why the corpus can speak to compounding, if only faintly</w:t>
      </w:r>
    </w:p>
    <w:p>
      <w:pPr>
        <w:pStyle w:val="FirstParagraph"/>
        <w:spacing w:line="480" w:lineRule="auto"/>
      </w:pPr>
      <w:r>
        <w:t xml:space="preserve">Directly observable in a thirty-record document set none of the four mechanisms is, and the theory pretends otherwise nowhere. What the corpus can reveal is the antecedent condition for compounding: whether the separate technical communities whose choices the mechanisms couple have begun to converge on a shared problem. Recency structure is the fingerprint of a conversation intensifying over time, the precondition for learning concentration. Venue structure is the fingerprint of that conversation reaching across the awareness community and the engineering community, the precondition for governance translation, since a standard both communities recognize is the kind most apt to enter rules</w:t>
      </w:r>
      <w:r>
        <w:t xml:space="preserve"> </w:t>
      </w:r>
      <w:hyperlink w:anchor="ref-3">
        <w:r>
          <w:rPr>
            <w:rStyle w:val="Hyperlink"/>
          </w:rPr>
          <w:t xml:space="preserve">[3]</w:t>
        </w:r>
      </w:hyperlink>
      <w:r>
        <w:t xml:space="preserve"> </w:t>
      </w:r>
      <w:hyperlink w:anchor="ref-6">
        <w:r>
          <w:rPr>
            <w:rStyle w:val="Hyperlink"/>
          </w:rPr>
          <w:t xml:space="preserve">[6]</w:t>
        </w:r>
      </w:hyperlink>
      <w:r>
        <w:t xml:space="preserve">. So the corpus tests the soil in which compounding grows, not the compounding itself.</w:t>
      </w:r>
    </w:p>
    <w:p>
      <w:pPr>
        <w:pStyle w:val="BodyText"/>
        <w:spacing w:line="480" w:lineRule="auto"/>
        <w:ind w:firstLine="720"/>
      </w:pPr>
      <w:r>
        <w:t xml:space="preserve">From the attention side the learning-curve screen probes the same soil. A strong age pattern in citation accumulation would suggest attention already consolidating around particular works, an early sign of learning concentration. A weak pattern says the reverse: attention stays diffuse, and the field has not yet locked onto a canonical set of references. Read against the mechanisms, a weak learning curve is no failure of the design but a finding, namely that one precondition for foreclosure, consolidated attention, is not yet met, which is exactly what a genuine design window would look like.</w:t>
      </w:r>
    </w:p>
    <w:bookmarkEnd w:id="95"/>
    <w:bookmarkStart w:id="96" w:name="Xbdcf816faa865e63a6bae57d75c37d578c85df8"/>
    <w:p>
      <w:pPr>
        <w:pStyle w:val="Heading2"/>
        <w:spacing w:line="480" w:lineRule="auto"/>
      </w:pPr>
      <w:r>
        <w:t xml:space="preserve">The falsifiable core restated in mechanism terms</w:t>
      </w:r>
    </w:p>
    <w:p>
      <w:pPr>
        <w:pStyle w:val="FirstParagraph"/>
        <w:spacing w:line="480" w:lineRule="auto"/>
      </w:pPr>
      <w:r>
        <w:t xml:space="preserve">Put through the mechanisms, the falsifiable claim is that the retrieved corpus already shows the antecedent structure the compounding mechanisms need in order to operate, both temporal intensification and cross-community span. The null is that it shows neither, in which case the foreclosure concern would be premature even as a design-stage worry. To reading a null as a genuine negative the dissertation commits itself: an unstructured corpus would mean the field has not yet organized enough for early standards to compound, and the fitting governance posture would then be patience rather than intervention.</w:t>
      </w:r>
    </w:p>
    <w:bookmarkEnd w:id="96"/>
    <w:bookmarkStart w:id="97" w:name="X67627854a7ce707c14103530b67ef839b72471e"/>
    <w:p>
      <w:pPr>
        <w:pStyle w:val="Heading2"/>
        <w:spacing w:line="480" w:lineRule="auto"/>
      </w:pPr>
      <w:r>
        <w:t xml:space="preserve">Rival explanations the theory must survive</w:t>
      </w:r>
    </w:p>
    <w:p>
      <w:pPr>
        <w:pStyle w:val="FirstParagraph"/>
        <w:spacing w:line="480" w:lineRule="auto"/>
      </w:pPr>
      <w:r>
        <w:t xml:space="preserve">A rigorous framework anticipates the ways its own prediction might be produced by something other than the mechanism it proposes. Suppose newer papers do carry stronger topic signals. One benign explanation is that retrieval simply favored recent vocabulary, so recency reflects a search artifact and not a field organizing. Another is that the candidate topic happens to use language common in recent engineering writing, so the signal tracks style and not substance. With thirty rows the theory makes no claim to eliminate these rivals. It claims only that its structural reading is one credible interpretation among a small set, and it hands the identification chapter the task of stating which rivals the design can and cannot rule out.</w:t>
      </w:r>
    </w:p>
    <w:p>
      <w:pPr>
        <w:pStyle w:val="BodyText"/>
        <w:spacing w:line="480" w:lineRule="auto"/>
        <w:ind w:firstLine="720"/>
      </w:pPr>
      <w:r>
        <w:t xml:space="preserve">A parallel challenge faces the venue prediction. A venue effect could reflect a genuine cross-community problem, as the theory holds, or it could reflect nothing more than the different metadata conventions of conference proceedings and journal articles, which yield different keyword densities. Both readings predict a venue coefficient distinguishable from zero. The framework survives the ambiguity not by denying it but by insisting that the venue result be read cautiously and jointly with the substantive content of the sources. That is why the results chapter reads the venue coefficient against what the AMOS and Acta Astronautica records actually discuss, rather than treating the coefficient as self-interpreting</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7"/>
    <w:bookmarkStart w:id="98" w:name="the-temporal-logic-of-the-mechanisms"/>
    <w:p>
      <w:pPr>
        <w:pStyle w:val="Heading2"/>
        <w:spacing w:line="480" w:lineRule="auto"/>
      </w:pPr>
      <w:r>
        <w:t xml:space="preserve">The temporal logic of the mechanisms</w:t>
      </w:r>
    </w:p>
    <w:p>
      <w:pPr>
        <w:pStyle w:val="FirstParagraph"/>
        <w:spacing w:line="480" w:lineRule="auto"/>
      </w:pPr>
      <w:r>
        <w:t xml:space="preserve">Each mechanism runs on its own clock, and the clocks run at different speeds, which sharpens the prediction. Interface dependence hardens fastest, since hardware and its couplings are committed the moment the first missions fly and are the costliest to change afterward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Learning concentration builds more gradually, gathering with each mission that repeats a procedure, so its clock tracks operational cadence rather than a single design decision. Governance translation lags both, since rules, procurement templates, and safety cases codify a choice only once it has been demonstrated enough to look natural</w:t>
      </w:r>
      <w:r>
        <w:t xml:space="preserve"> </w:t>
      </w:r>
      <w:hyperlink w:anchor="ref-6">
        <w:r>
          <w:rPr>
            <w:rStyle w:val="Hyperlink"/>
          </w:rPr>
          <w:t xml:space="preserve">[6]</w:t>
        </w:r>
      </w:hyperlink>
      <w:r>
        <w:t xml:space="preserve">. Hazard coupling shows itself last, when traffic patterns have concentrated far enough that a mishap at a shared node produces visible, shared consequences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Because the mechanisms mature at different rates, the observable signature of an approaching standards window arrives in order. Temporal intensification in the technical literature comes first, as the interface and learning clocks start to run. Cross-community span follows, as governance-facing work begins to cite the technical demonstrations. Consolidated attention comes last, once a canonical set of references has taken hold. The first two signatures the corpus can see directly, through recency and venue; the absence of the third it can see through the weak citation record. A field carrying the first two but not the third sits in the early-to-middle stage of the sequence, which is exactly where reversible governance keeps its leverage.</w:t>
      </w:r>
    </w:p>
    <w:bookmarkEnd w:id="98"/>
    <w:bookmarkStart w:id="99" w:name="why-the-framework-still-earns-its-keep"/>
    <w:p>
      <w:pPr>
        <w:pStyle w:val="Heading2"/>
        <w:spacing w:line="480" w:lineRule="auto"/>
      </w:pPr>
      <w:r>
        <w:t xml:space="preserve">Why the framework still earns its keep</w:t>
      </w:r>
    </w:p>
    <w:p>
      <w:pPr>
        <w:pStyle w:val="FirstParagraph"/>
        <w:spacing w:line="480" w:lineRule="auto"/>
      </w:pPr>
      <w:r>
        <w:t xml:space="preserve">Even under these caveats the framework does real work. The work is concrete. It takes a diffuse policy intuition, that early lunar standards might foreclose alternatives, and converts it into a specific chain of mechanisms with a testable antecedent condition. It tells the reader precisely what the corpus can speak to, temporal and cross-community organization, and precisely what it cannot, adoption and causation. And it binds the interpretation in advance to a disciplined reading of both a positive and a null result. A framework doing less would leave the empirical chapters free to claim whatever the coefficients happened to suggest; this one ties their hands beforehand. Because the dissertation treats the retrieved corpus as a traceable empirical record rather than a complete map of the Earth Moon system, its interpretation stays tied to observable variation in timing, venue, attention, and topic signal, and it leaves wider operational claims to designs that carry direct mission data. The next chapter builds the identification argument that lets these hypotheses be tested honestly.</w:t>
      </w:r>
    </w:p>
    <w:bookmarkEnd w:id="99"/>
    <w:bookmarkEnd w:id="100"/>
    <w:bookmarkStart w:id="113" w:name="chapter-4-methodology-and-identification"/>
    <w:p>
      <w:pPr>
        <w:pStyle w:val="Heading1"/>
        <w:spacing w:line="480" w:lineRule="auto"/>
      </w:pPr>
      <w:r>
        <w:t xml:space="preserve">Chapter 4: Methodology and Identification</w:t>
      </w:r>
    </w:p>
    <w:p>
      <w:pPr>
        <w:pStyle w:val="FirstParagraph"/>
        <w:spacing w:line="480" w:lineRule="auto"/>
      </w:pPr>
      <w:r>
        <w:t xml:space="preserve">A two-stage document-level analysis carries the project. In the first stage, topic-signal intensity is estimated by ordinary least squares with robust HC1 standard errors. In the second, a log-log learning-curve model estimates citation accumulation by article age. Simplicity in both is deliberate. Thirty records cannot bear a complex causal design. A transparent model earns its keep by making the assumptions visible and letting the dissertation tell suggestive structure apart from stronger claims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chapter does four things. It states each estimator precisely. It explains what the estimator identifies and what it does not. It defends the choice of robust standard errors. And it catalogs the internal and external validity threats that bound every downstream reading. One principle guides all of it: identification here rests on source transparency rather than on random assignment, and the chapter is candid about the price that principle exacts.</w:t>
      </w:r>
    </w:p>
    <w:bookmarkStart w:id="101" w:name="the-signal-intensity-estimator"/>
    <w:p>
      <w:pPr>
        <w:pStyle w:val="Heading2"/>
        <w:spacing w:line="480" w:lineRule="auto"/>
      </w:pPr>
      <w:r>
        <w:t xml:space="preserve">The signal-intensity estimator</w:t>
      </w:r>
    </w:p>
    <w:p>
      <w:pPr>
        <w:pStyle w:val="FirstParagraph"/>
        <w:spacing w:line="480" w:lineRule="auto"/>
      </w:pPr>
      <w:r>
        <w:t xml:space="preserve">Signal_score is what the first model estimates, as a linear function of recency_index, citation count, and venue_score. Written out, the specification sets the signal score for source i equal to a constant, plus a recency coefficient times the recency index, plus a citation coefficient times the citation count, plus a venue coefficient times the venue score, plus an error term. Estimation runs by ordinary least squares with HC1 heteroskedasticity-consistent standard errors across all thirty observations.</w:t>
      </w:r>
    </w:p>
    <w:p>
      <w:pPr>
        <w:pStyle w:val="BodyText"/>
        <w:spacing w:line="480" w:lineRule="auto"/>
        <w:ind w:firstLine="720"/>
      </w:pPr>
      <w:r>
        <w:t xml:space="preserve">The identifying claim aims to be modest and precise. Where the topic signal is systematically associated with recency or venue, the retrieved corpus is no random bundle of loosely related sources but a structured record capable of informing a dissertation argument about emerging standards. What the model does not do is identify the causal effect of recency on topic importance. A newer paper might score higher because the field genuinely changed, because retrieval terms favored recent vocabulary, or because the candidate topic sits nearer the language of recent sources. So the recency coefficient is read as evidence of corpus structure, not as a causal timing effect, and that restraint is what keeps the inference defensible.</w:t>
      </w:r>
    </w:p>
    <w:p>
      <w:pPr>
        <w:pStyle w:val="BodyText"/>
        <w:spacing w:line="480" w:lineRule="auto"/>
        <w:ind w:firstLine="720"/>
      </w:pPr>
      <w:r>
        <w:t xml:space="preserve">Venue enters as an ordinal control, and its coefficient asks for the same care. What a venue effect indicates is that topic-signal intensity differs systematically across source families. What it does not do is rank venues by quality, nor imply that one community outweighs another. The framework of the previous chapter predicts a venue signature precisely because the standards problem spans a space-domain-awareness community and an engineering community, so a venue coefficient distinguishable from zero fits a cross-community problem rather than any hierarchy of sources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1"/>
    <w:bookmarkStart w:id="102" w:name="the-learning-curve-estimator"/>
    <w:p>
      <w:pPr>
        <w:pStyle w:val="Heading2"/>
        <w:spacing w:line="480" w:lineRule="auto"/>
      </w:pPr>
      <w:r>
        <w:t xml:space="preserve">The learning-curve estimator</w:t>
      </w:r>
    </w:p>
    <w:p>
      <w:pPr>
        <w:pStyle w:val="FirstParagraph"/>
        <w:spacing w:line="480" w:lineRule="auto"/>
      </w:pPr>
      <w:r>
        <w:t xml:space="preserve">Log citation accumulation as a function of log article age is what the second model estimates. The specification regresses the natural log of citation count plus one on the natural log of the age index, once again with HC1 robust standard errors across thirty observations. What the learning-curve form asks is whether older or newer articles carry more attention along a path that resembles cumulative learning, and it reports the elasticity term directly so the magnitude stays legible.</w:t>
      </w:r>
    </w:p>
    <w:p>
      <w:pPr>
        <w:pStyle w:val="BodyText"/>
        <w:spacing w:line="480" w:lineRule="auto"/>
        <w:ind w:firstLine="720"/>
      </w:pPr>
      <w:r>
        <w:t xml:space="preserve">Two construction choices earn emphasis. Citation count gets incremented by one before the log transform, so that uncited records, of which the corpus holds many, stay defined on the log scale. Age gets measured as 2026 minus publication year plus one, so that the newest sources take the smallest positive age and the transform stays well behaved. What the model finally answers is whether citation attention offers independent evidence of cumulative uptake. An imprecise elasticity would mean the dissertation must not lean on citations when interpreting lock-in, and the model would then have earned its place by disciplining the argument rather than confirming it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learning-curve screen therefore reads best as a diagnostic rather than a confirmatory test. The sample is small. Citation counts are sparse and heavily skewed, with a handful of Acta Astronautica papers carrying nearly the whole citation mass. Built on such data, a model serves better to rule out an overconfident learning claim than to establish one, and the dissertation frames it that way from the first.</w:t>
      </w:r>
    </w:p>
    <w:bookmarkEnd w:id="102"/>
    <w:bookmarkStart w:id="103" w:name="why-robust-standard-errors"/>
    <w:p>
      <w:pPr>
        <w:pStyle w:val="Heading2"/>
        <w:spacing w:line="480" w:lineRule="auto"/>
      </w:pPr>
      <w:r>
        <w:t xml:space="preserve">Why robust standard errors</w:t>
      </w:r>
    </w:p>
    <w:p>
      <w:pPr>
        <w:pStyle w:val="FirstParagraph"/>
        <w:spacing w:line="480" w:lineRule="auto"/>
      </w:pPr>
      <w:r>
        <w:t xml:space="preserve">A heterogeneous source corpus is what robust HC1 standard errors suit. Papers differ by venue, year, technical domain, and, almost surely, citation culture, so assuming a single constant error variance is implausible. AMOS conference papers and Acta Astronautica journal articles do not accumulate citations on one clock, and the signal score is a count-like construct whose dispersion plausibly moves with its mean. HC1 errors do not solve these problems. They cannot. What they do is decline to pretend the variance structure is cleaner than the corpus allows, which is the honest minimum for inference on thirty heterogeneous rows.</w:t>
      </w:r>
    </w:p>
    <w:p>
      <w:pPr>
        <w:pStyle w:val="BodyText"/>
        <w:spacing w:line="480" w:lineRule="auto"/>
        <w:ind w:firstLine="720"/>
      </w:pPr>
      <w:r>
        <w:t xml:space="preserve">Every model is reported with exact fit statistics and exact coefficient values, so that a reader can weigh the evidence, strength and weakness alike, without depending on a rhetorical summary. That reporting discipline is itself part of the identification strategy. Because the corpus is small, a reader has to see the standard errors, the p-values, and the model fit directly, and to judge for themselves how much weight each coefficient can carry. Hide an imprecise estimate behind a confident sentence and the whole purpose of a design-stage empirical screen collapses.</w:t>
      </w:r>
    </w:p>
    <w:bookmarkEnd w:id="103"/>
    <w:bookmarkStart w:id="104" w:name="Xee333b07ef7ebe09f9f348cef9b63524fe951ec"/>
    <w:p>
      <w:pPr>
        <w:pStyle w:val="Heading2"/>
        <w:spacing w:line="480" w:lineRule="auto"/>
      </w:pPr>
      <w:r>
        <w:t xml:space="preserve">Identification through source transparency</w:t>
      </w:r>
    </w:p>
    <w:p>
      <w:pPr>
        <w:pStyle w:val="FirstParagraph"/>
        <w:spacing w:line="480" w:lineRule="auto"/>
      </w:pPr>
      <w:r>
        <w:t xml:space="preserve">Source transparency, not random assignment, is where identification rests. Each row ties to a source, and the estimation file keeps that link for every observation. Surveillance and traffic management work sits in the sample, including tracking objects in cislunar space, near-rectilinear halo orbit surveillance, and architectural solutions for lunar growth</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Hazard work sits there too, on debris collision risk and cislunar fragmentation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 So does infrastructure-facing work on lunar construction robotics, water electrolysis propulsion, mining feasibility, trajectory design, lunar dust, and engine thermal behavior</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Assembled this way, the mix lets the dissertation observe whether a shared standard-setting concern cuts across domains rather than living inside one.</w:t>
      </w:r>
    </w:p>
    <w:p>
      <w:pPr>
        <w:pStyle w:val="BodyText"/>
        <w:spacing w:line="480" w:lineRule="auto"/>
        <w:ind w:firstLine="720"/>
      </w:pPr>
      <w:r>
        <w:t xml:space="preserve">Auditability is the reward source transparency pays. Every claim the models make about the corpus traces back to specific rows and specific sources, so a skeptical reader can rebuild the estimate from the workbook. The bill for that reward is the loss of any causal claim. There is no treatment and no counterfactual, only a structured description of a retrieved document set. The dissertation takes on that cost deliberately, because the research question at the design stage is whether structure exists, not what caused it.</w:t>
      </w:r>
    </w:p>
    <w:bookmarkEnd w:id="104"/>
    <w:bookmarkStart w:id="105" w:name="internal-validity-threats"/>
    <w:p>
      <w:pPr>
        <w:pStyle w:val="Heading2"/>
        <w:spacing w:line="480" w:lineRule="auto"/>
      </w:pPr>
      <w:r>
        <w:t xml:space="preserve">Internal validity threats</w:t>
      </w:r>
    </w:p>
    <w:p>
      <w:pPr>
        <w:pStyle w:val="FirstParagraph"/>
        <w:spacing w:line="480" w:lineRule="auto"/>
      </w:pPr>
      <w:r>
        <w:t xml:space="preserve">The primary internal validity threat is omitted variable bias. The models carry no sponsor, no mission class, no technology readiness, no standards-body participation, and no procurement relevance. Each would matter in a fuller study of institutional lock-in, and each is unavailable in the deterministic workbook. Their absence means the recency and venue coefficients soak up variation a richer model would parcel out elsewhere, so those coefficients describe the corpus as measured rather than a purified structural relationship.</w:t>
      </w:r>
    </w:p>
    <w:p>
      <w:pPr>
        <w:pStyle w:val="BodyText"/>
        <w:spacing w:line="480" w:lineRule="auto"/>
        <w:ind w:firstLine="720"/>
      </w:pPr>
      <w:r>
        <w:t xml:space="preserve">Measurement error in signal_score and venue_score is the second threat. A deterministic count of topic-relevant term hits, the signal score captures document-level fit to the candidate topic but not whether a paper endorses, rejects, or merely brushes a standard-setting concern. An ordinal family code, the venue score cannot represent review intensity, sponsorship, or community uptake. The third threat is the low variation in citation counts, and that is what leaves the learning-curve estimate fragile. Named rather than hidden, these threats confine the dissertation’s claims to what the models can carry under them.</w:t>
      </w:r>
    </w:p>
    <w:bookmarkEnd w:id="105"/>
    <w:bookmarkStart w:id="106" w:name="X2f58e758ea6815b0a95c13e30fce4f05b5b9833"/>
    <w:p>
      <w:pPr>
        <w:pStyle w:val="Heading2"/>
        <w:spacing w:line="480" w:lineRule="auto"/>
      </w:pPr>
      <w:r>
        <w:t xml:space="preserve">External validity and the purpose of the probe</w:t>
      </w:r>
    </w:p>
    <w:p>
      <w:pPr>
        <w:pStyle w:val="FirstParagraph"/>
        <w:spacing w:line="480" w:lineRule="auto"/>
      </w:pPr>
      <w:r>
        <w:t xml:space="preserve">External validity is limited too. Candidate-specific and locally retrieved, the source corpus should not be mistaken for a census of lunar propellant literature. Better to understand it as a disciplined probe into a policy-relevant document space. Find no structure, and the dissertation would have little basis for a standards argument, and would say so. Find structure, and the dissertation can warrant a cautious governance interpretation and call for deeper document coding in future work. Designed to be capable of failing, the probe is what lends a positive result any evidentiary value.</w:t>
      </w:r>
    </w:p>
    <w:p>
      <w:pPr>
        <w:pStyle w:val="BodyText"/>
        <w:spacing w:line="480" w:lineRule="auto"/>
        <w:ind w:firstLine="720"/>
      </w:pPr>
      <w:r>
        <w:t xml:space="preserve">A normative purpose runs alongside, one the design makes deliberate. Standard-setting debates often sprint from technical enthusiasm to institutional prescription, and the two-stage screen slows the sprint by forcing the argument to state what the documents show, what they do not, and how governance should respond where evidence is suggestive but incomplete. That stance matters most for lunar propellant, where premature convergence may deliver real interoperability benefits while foreclosing alternatives before anyone has understood their costs and benefits.</w:t>
      </w:r>
    </w:p>
    <w:bookmarkEnd w:id="106"/>
    <w:bookmarkStart w:id="107" w:name="Xc8101fcafa245c4eed7098f88633088da8ce848"/>
    <w:p>
      <w:pPr>
        <w:pStyle w:val="Heading2"/>
        <w:spacing w:line="480" w:lineRule="auto"/>
      </w:pPr>
      <w:r>
        <w:t xml:space="preserve">Functional form and specification choices</w:t>
      </w:r>
    </w:p>
    <w:p>
      <w:pPr>
        <w:pStyle w:val="FirstParagraph"/>
        <w:spacing w:line="480" w:lineRule="auto"/>
      </w:pPr>
      <w:r>
        <w:t xml:space="preserve">Choosing a linear form for the first model carries consequences worth stating. Signal_score is a bounded count, and a strictly correct treatment might reach for a count model. Ordinary least squares wins here because interpretability and transparency dominate at this sample size, and because the outcome varies enough across its range that a linear approximation captures the association a design-stage screen needs. A count model would layer on distributional assumptions thirty observations cannot validate, trading legible coefficients for a precision the data cannot underwrite. So the linear coefficient on recency is read as an average change in signal score per unit of recency across the observed range, not as a structural elasticity.</w:t>
      </w:r>
    </w:p>
    <w:p>
      <w:pPr>
        <w:pStyle w:val="BodyText"/>
        <w:spacing w:line="480" w:lineRule="auto"/>
        <w:ind w:firstLine="720"/>
      </w:pPr>
      <w:r>
        <w:t xml:space="preserve">Purpose dictates the log-log form of the second model. A learning curve is defined multiplicatively, so estimating it in logs recovers a constant elasticity directly as the slope, with the progress ratio following as two raised to that slope. The plus-one transform on citations is the standard device for keeping zero-valued observations under a log; it introduces a known, small distortion at the low end, acceptable because the alternative, dropping every uncited record, would throw away most of the sample and bias the estimate toward the few heavily cited journal articles. Naming that trade-off is part of keeping the identification honest.</w:t>
      </w:r>
    </w:p>
    <w:bookmarkEnd w:id="107"/>
    <w:bookmarkStart w:id="108" w:name="robustness-posture-given-the-sample"/>
    <w:p>
      <w:pPr>
        <w:pStyle w:val="Heading2"/>
        <w:spacing w:line="480" w:lineRule="auto"/>
      </w:pPr>
      <w:r>
        <w:t xml:space="preserve">Robustness posture given the sample</w:t>
      </w:r>
    </w:p>
    <w:p>
      <w:pPr>
        <w:pStyle w:val="FirstParagraph"/>
        <w:spacing w:line="480" w:lineRule="auto"/>
      </w:pPr>
      <w:r>
        <w:t xml:space="preserve">Thirty observations leave the design without asymptotic comforts, so its robustness posture is qualitative rather than a battery of formal tests. Citation counts skew heavily, dominated by one paper at eighty-nine citations and another at twenty-seven, and that skew leaves the citation coefficient in the first model and the whole second model sensitive to a small number of influential rows. The dissertation treats this as a reason to down-weight citation-based inference in interpretation, not as something a robust standard error can repair. HC1 errors widen the intervals as they should, yet they cannot manufacture information the sample never held.</w:t>
      </w:r>
    </w:p>
    <w:p>
      <w:pPr>
        <w:pStyle w:val="BodyText"/>
        <w:spacing w:line="480" w:lineRule="auto"/>
        <w:ind w:firstLine="720"/>
      </w:pPr>
      <w:r>
        <w:t xml:space="preserve">A parallel caution attaches to the venue coefficient. Venue family correlates with era, since AMOS conference papers span a longer history while Acta Astronautica records cluster in recent years, so recency and venue share variance. Estimating them jointly makes each coefficient conditional on the other, which is the right specification, though a reader should grasp that the two structural signals the dissertation cares about are entangled in the corpus and that no thirty-row design can fully pull them apart. Disclosing this here lets the results chapter report both coefficients as precise without implying they are independent.</w:t>
      </w:r>
    </w:p>
    <w:bookmarkEnd w:id="108"/>
    <w:bookmarkStart w:id="109" w:name="the-auditability-contract"/>
    <w:p>
      <w:pPr>
        <w:pStyle w:val="Heading2"/>
        <w:spacing w:line="480" w:lineRule="auto"/>
      </w:pPr>
      <w:r>
        <w:t xml:space="preserve">The auditability contract</w:t>
      </w:r>
    </w:p>
    <w:p>
      <w:pPr>
        <w:pStyle w:val="FirstParagraph"/>
        <w:spacing w:line="480" w:lineRule="auto"/>
      </w:pPr>
      <w:r>
        <w:t xml:space="preserve">An auditability contract is a central commitment of the design: every number in the results chapter reproducible from the workbook, every row traceable to a cited source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That contract is what stands in for the causal identification the design forgoes. Doubt a coefficient and you can rebuild it. Doubt a source and you can follow the source column to the document. The estimator is deterministic, the standard-error correction is named, and the specification choices are stated in advance. Transparency of that kind is the strongest claim a design-stage screen can make, and it is deliberately stronger than a claim of causal effect the data could not support.</w:t>
      </w:r>
    </w:p>
    <w:bookmarkEnd w:id="109"/>
    <w:bookmarkStart w:id="110" w:name="ruling-rival-explanations-in-and-out"/>
    <w:p>
      <w:pPr>
        <w:pStyle w:val="Heading2"/>
        <w:spacing w:line="480" w:lineRule="auto"/>
      </w:pPr>
      <w:r>
        <w:t xml:space="preserve">Ruling rival explanations in and out</w:t>
      </w:r>
    </w:p>
    <w:p>
      <w:pPr>
        <w:pStyle w:val="FirstParagraph"/>
        <w:spacing w:line="480" w:lineRule="auto"/>
      </w:pPr>
      <w:r>
        <w:t xml:space="preserve">The identification argument can now be explicit about which rival explanations from the theory chapter the design meets and which it concedes. That recency merely reflects retrieval vocabulary cannot be fully excluded, because the corpus was built around the candidate topic and no external control corpus exists. The design responds by reading recency structurally, as evidence that the topic signal concentrates in recent work, and not causally, as evidence that time drives importance. This is a real concession, and it is why the recency coefficient is never called an effect of time on topic salience.</w:t>
      </w:r>
    </w:p>
    <w:p>
      <w:pPr>
        <w:pStyle w:val="BodyText"/>
        <w:spacing w:line="480" w:lineRule="auto"/>
        <w:ind w:firstLine="720"/>
      </w:pPr>
      <w:r>
        <w:t xml:space="preserve">That the venue coefficient reflects metadata conventions rather than a cross-community problem gets handled differently. Because the design conditions venue on recency and citations jointly, the venue coefficient captures family differences that survive after temporal and attention variation are stripped out, which makes a pure-convention explanation less likely though not impossible. So the results chapter pairs the venue coefficient with a reading of what the two families actually discuss, letting the statistical signal and the substantive content corroborate one another. Identification here is a matter of triangulating a coefficient against source content, not of wielding a single clean instrument.</w:t>
      </w:r>
    </w:p>
    <w:bookmarkEnd w:id="110"/>
    <w:bookmarkStart w:id="111" w:name="X29499f0df48333cb9becf9ca1db59dd4eeb8bff"/>
    <w:p>
      <w:pPr>
        <w:pStyle w:val="Heading2"/>
        <w:spacing w:line="480" w:lineRule="auto"/>
      </w:pPr>
      <w:r>
        <w:t xml:space="preserve">What the F-test and R2 will and will not establish</w:t>
      </w:r>
    </w:p>
    <w:p>
      <w:pPr>
        <w:pStyle w:val="FirstParagraph"/>
        <w:spacing w:line="480" w:lineRule="auto"/>
      </w:pPr>
      <w:r>
        <w:t xml:space="preserve">Since the first model reports an overall F-test and an R2, it pays to state in advance what those quantities can establish. The F-test evaluates the joint null that all three slope coefficients are zero, so rejecting it establishes that the corpus is not flat, that at least one of recency, citations, or venue carries structure. That is exactly the falsifiable claim the introduction named, which is why the F-test is the decisive statistic for the dissertation’s central contribution rather than a secondary diagnostic. The R2 then quantifies how much of the signal variation the three predictors jointly explain, calibrating how strongly the corpus is structured without implying any causal share.</w:t>
      </w:r>
    </w:p>
    <w:p>
      <w:pPr>
        <w:pStyle w:val="BodyText"/>
        <w:spacing w:line="480" w:lineRule="auto"/>
        <w:ind w:firstLine="720"/>
      </w:pPr>
      <w:r>
        <w:t xml:space="preserve">Causation, generalization beyond the retrieved corpus, adoption of any standard: none of these can either statistic establish. A high R2 over thirty candidate-specific rows says the corpus is internally structured, not that the wider literature is, and not that any actor has acted. So the identification argument reads a rejected F-test as confirmation that the retrieved record has organized enough to warrant a design-stage argument, and it reads the R2 as a measure of that organization’s strength, while refusing to convert either into a claim about the world beyond the corpus. Stating these boundaries before the results appear is what stops the results chapter from overreading its own fit statistics.</w:t>
      </w:r>
    </w:p>
    <w:bookmarkEnd w:id="111"/>
    <w:bookmarkStart w:id="112" w:name="the-cost-of-the-design-stated-plainly"/>
    <w:p>
      <w:pPr>
        <w:pStyle w:val="Heading2"/>
        <w:spacing w:line="480" w:lineRule="auto"/>
      </w:pPr>
      <w:r>
        <w:t xml:space="preserve">The cost of the design, stated plainly</w:t>
      </w:r>
    </w:p>
    <w:p>
      <w:pPr>
        <w:pStyle w:val="FirstParagraph"/>
        <w:spacing w:line="480" w:lineRule="auto"/>
      </w:pPr>
      <w:r>
        <w:t xml:space="preserve">Every design pays for what it buys, and this one pays a specific price. It buys full auditability and a falsifiable test of corpus structure. It pays with causal identification forgone, recency and venue signals left entangled, and a citation field too sparse to support attention-based inference. A reader after a causal estimate of how early standards foreclose alternatives will not find one here, and the design says so up front rather than dressing a descriptive result in causal language. That candor is the point. A design-stage screen that overstated its identification would fail the reader more seriously than one that stated its limits and stayed inside them. Because the dissertation treats the retrieved corpus as a traceable empirical record rather than a complete map of the Earth Moon system, its interpretation stays tied to observable variation in timing, venue, attention, and topic signal, and it leaves wider operational claims to designs that carry direct mission data. The dataset these estimators run on is documented in full in the next chapter.</w:t>
      </w:r>
    </w:p>
    <w:bookmarkEnd w:id="112"/>
    <w:bookmarkEnd w:id="113"/>
    <w:bookmarkStart w:id="127" w:name="chapter-5-data-and-measurement"/>
    <w:p>
      <w:pPr>
        <w:pStyle w:val="Heading1"/>
        <w:spacing w:line="480" w:lineRule="auto"/>
      </w:pPr>
      <w:r>
        <w:t xml:space="preserve">Chapter 5: Data and Measurement</w:t>
      </w:r>
    </w:p>
    <w:p>
      <w:pPr>
        <w:pStyle w:val="FirstParagraph"/>
        <w:spacing w:line="480" w:lineRule="auto"/>
      </w:pPr>
      <w:r>
        <w:t xml:space="preserve">The data are a local candidate source corpus of thirty retrieved records. Each row holds a good deal. There is a source identifier, a publication year, a venue family, a citation count as the local index represents it, title words, snippet words, a keyword count, theme hits, and a derived signal score. The design is documentary and bibliometric, not experimental. Its purpose is to leave the evidence chain open to inspection, so that any empirical claim about the corpus traces to a row, a variable, and a cited source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chapter documents four things and closes on a fifth. It lays out the source pool. It sets out the construction of the outcome and of each predictor. It names the second-screen variables and the reference base. And it ends on the measurement threats that fix the level of inference the data can support.</w:t>
      </w:r>
    </w:p>
    <w:bookmarkStart w:id="114" w:name="the-source-pool"/>
    <w:p>
      <w:pPr>
        <w:pStyle w:val="Heading2"/>
        <w:spacing w:line="480" w:lineRule="auto"/>
      </w:pPr>
      <w:r>
        <w:t xml:space="preserve">The source pool</w:t>
      </w:r>
    </w:p>
    <w:p>
      <w:pPr>
        <w:pStyle w:val="FirstParagraph"/>
        <w:spacing w:line="480" w:lineRule="auto"/>
      </w:pPr>
      <w:r>
        <w:t xml:space="preserve">Across the pool run cislunar surveillance, space traffic management, debris and fragmentation risk, lunar construction robotics, off-Earth resource economics, water electrolysis propulsion, trajectory design, lunar resource feasibility, lunar dust, and rocket engine thermal behavior</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Breadth here is deliberate, because the dissertation studies standards as system-level institutions. A propellant standard would not stay inside propulsion; it would touch awareness, traffic management, logistics, surface operations, and resource development, so the corpus is built to span those domains rather than to bunch up in one.</w:t>
      </w:r>
    </w:p>
    <w:p>
      <w:pPr>
        <w:pStyle w:val="BodyText"/>
        <w:spacing w:line="480" w:lineRule="auto"/>
        <w:ind w:firstLine="720"/>
      </w:pPr>
      <w:r>
        <w:t xml:space="preserve">Three venue families divide the thirty records. AMOS conference records take the lowest venue code and cluster around space situational awareness, cislunar tracking, surveillance, and traffic management. Acta Astronautica journal records take the middle code and cluster around propulsion, resource economics, construction robotics, trajectories, lunar dust, and engine behavior. A small set of space-economy records takes the highest code and carries governance-facing material on sustainability and orbital classification. Uneven by design is what the distribution is, because retrieval was organized around the candidate topic rather than balanced across families.</w:t>
      </w:r>
    </w:p>
    <w:bookmarkEnd w:id="114"/>
    <w:bookmarkStart w:id="115" w:name="the-outcome-variable"/>
    <w:p>
      <w:pPr>
        <w:pStyle w:val="Heading2"/>
        <w:spacing w:line="480" w:lineRule="auto"/>
      </w:pPr>
      <w:r>
        <w:t xml:space="preserve">The outcome variable</w:t>
      </w:r>
    </w:p>
    <w:p>
      <w:pPr>
        <w:pStyle w:val="FirstParagraph"/>
        <w:spacing w:line="480" w:lineRule="auto"/>
      </w:pPr>
      <w:r>
        <w:t xml:space="preserve">In the first screen the outcome is signal_score. What it captures is deterministic topic-signal intensity from local source metadata, built as a count of candidate-theme term hits across each record’s title, snippet, keyword field, and author metadata. It is not a human-coded measure of policy importance. It is a screen, no more, for whether a document looks close to the dissertation topic on observable text features, and since every row cites its retrieved source in the source column, the count stays auditable to anyone who cares to check it.</w:t>
      </w:r>
    </w:p>
    <w:p>
      <w:pPr>
        <w:pStyle w:val="BodyText"/>
        <w:spacing w:line="480" w:lineRule="auto"/>
        <w:ind w:firstLine="720"/>
      </w:pPr>
      <w:r>
        <w:t xml:space="preserve">The variable earns its use by letting the dissertation ask whether relevant technical and governance records cluster by time or venue. In the observed data, signal scores run from a single point on peripheral records up to fourteen on the Chang’e 5 tracking paper, and most records land between four and nine. It is limited in one specific way: it registers proximity to the topic, not stance. Whether a paper endorses, rejects, or merely grazes a standard-setting concern it cannot decide, and the dissertation reads it only as a proximity screen.</w:t>
      </w:r>
    </w:p>
    <w:bookmarkEnd w:id="115"/>
    <w:bookmarkStart w:id="116" w:name="the-recency-predictor"/>
    <w:p>
      <w:pPr>
        <w:pStyle w:val="Heading2"/>
        <w:spacing w:line="480" w:lineRule="auto"/>
      </w:pPr>
      <w:r>
        <w:t xml:space="preserve">The recency predictor</w:t>
      </w:r>
    </w:p>
    <w:p>
      <w:pPr>
        <w:pStyle w:val="FirstParagraph"/>
        <w:spacing w:line="480" w:lineRule="auto"/>
      </w:pPr>
      <w:r>
        <w:t xml:space="preserve">Recency_index is the first predictor, built from publication year so that newer sources take higher values. The computation is the publication year minus the minimum publication year in the sample plus one. In the observed data a 2006 record takes a recency value of one, a 2009 record takes four, a 2015 record takes ten, 2021 records take sixteen, 2022 takes seventeen, 2023 takes eighteen, 2024 takes nineteen, 2025 takes twenty, and 2026 takes twenty-one. Scaling it this way lets the model test whether the topic signal strengthens in recent literature.</w:t>
      </w:r>
    </w:p>
    <w:p>
      <w:pPr>
        <w:pStyle w:val="BodyText"/>
        <w:spacing w:line="480" w:lineRule="auto"/>
        <w:ind w:firstLine="720"/>
      </w:pPr>
      <w:r>
        <w:t xml:space="preserve">Theoretical weight rides on recency. The reason is convergence. Standard-setting windows often open as technical demonstrations and governance concerns begin to meet, so where the newest records concentrate the topic signal, the corpus fits a field organizing toward such a window rather than one that has already settled its architecture. For the reasons the identification chapter develops, the dissertation reads recency structurally rather than causally, and it treats a positive recency association as evidence that the retrieved record is temporally structured rather than flat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116"/>
    <w:bookmarkStart w:id="117" w:name="the-citation-and-venue-predictors"/>
    <w:p>
      <w:pPr>
        <w:pStyle w:val="Heading2"/>
        <w:spacing w:line="480" w:lineRule="auto"/>
      </w:pPr>
      <w:r>
        <w:t xml:space="preserve">The citation and venue predictors</w:t>
      </w:r>
    </w:p>
    <w:p>
      <w:pPr>
        <w:pStyle w:val="FirstParagraph"/>
        <w:spacing w:line="480" w:lineRule="auto"/>
      </w:pPr>
      <w:r>
        <w:t xml:space="preserve">Next comes cites_num, the citation attention recorded in the local brain index, set to zero where the index reports no count. Its distribution is a warning in itself. Zero citations mark most of the records, and the few nonzero values pile up in a handful of journal articles, so any effect the variable carries rests on a thin and lopsided base. Zero citations mark most records, and the nonzero values gather in a few Acta Astronautica journal articles, one carrying eighty-nine citations and another twenty-seven. Recent technical papers may not have had time to accrue citations, the local index may undercount attention, and conference papers may circulate through operational communities without leaving conventional citation trails. So citation results are handled cautiously throughout the dissertation.</w:t>
      </w:r>
    </w:p>
    <w:p>
      <w:pPr>
        <w:pStyle w:val="BodyText"/>
        <w:spacing w:line="480" w:lineRule="auto"/>
        <w:ind w:firstLine="720"/>
      </w:pPr>
      <w:r>
        <w:t xml:space="preserve">Then venue_score, an ordinal indicator of venue family, coded as AMOS equals one, Acta Astronautica equals two, and space economy equals three. Coarse though it is, the variable lets the model test whether the topic signal differs across source communities. AMOS records stress space situational awareness, cislunar tracking, and traffic management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Acta Astronautica records stress propulsion, resource economics, construction robotics, mining feasibility, transportation, lunar dust, and engine behavior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 venue effect may therefore stand for the difference between a governance-facing awareness literature and an engineering-facing infrastructure literature, which is exactly the cross-community structure the theory predicts.</w:t>
      </w:r>
    </w:p>
    <w:bookmarkEnd w:id="117"/>
    <w:bookmarkStart w:id="118" w:name="the-second-screen-variables"/>
    <w:p>
      <w:pPr>
        <w:pStyle w:val="Heading2"/>
        <w:spacing w:line="480" w:lineRule="auto"/>
      </w:pPr>
      <w:r>
        <w:t xml:space="preserve">The second-screen variables</w:t>
      </w:r>
    </w:p>
    <w:p>
      <w:pPr>
        <w:pStyle w:val="FirstParagraph"/>
        <w:spacing w:line="480" w:lineRule="auto"/>
      </w:pPr>
      <w:r>
        <w:t xml:space="preserve">Age_index, cites_num, cites_plus1, and signal_score are what the second empirical screen uses. Age_index measures document age as 2026 minus publication year plus one, so the newest sources take the smallest positive value and the oldest AMOS records reach eighteen and twenty-one. Cites_plus1 is the citation count incremented by one, which permits a log transformation even where the observed citation count is zero, and keeps the many uncited records inside the estimation rather than dropping them.</w:t>
      </w:r>
    </w:p>
    <w:p>
      <w:pPr>
        <w:pStyle w:val="BodyText"/>
        <w:spacing w:line="480" w:lineRule="auto"/>
        <w:ind w:firstLine="720"/>
      </w:pPr>
      <w:r>
        <w:t xml:space="preserve">Whether citation accumulation changes with age is what this learning-curve model asks. Because the source sample is small and citation counts are sparse, the model reads best as a diagnostic, earning its place if it cautions against exaggerated claims about cumulative attention as readily as if it flags a clear pattern. Conservative on purpose are the construction choices here: incrementing citations before the log keeps the fragile records in the sample, and measuring age from a fixed 2026 anchor holds the transform stable across the full year range.</w:t>
      </w:r>
    </w:p>
    <w:bookmarkEnd w:id="118"/>
    <w:bookmarkStart w:id="119" w:name="the-reference-base"/>
    <w:p>
      <w:pPr>
        <w:pStyle w:val="Heading2"/>
        <w:spacing w:line="480" w:lineRule="auto"/>
      </w:pPr>
      <w:r>
        <w:t xml:space="preserve">The reference base</w:t>
      </w:r>
    </w:p>
    <w:p>
      <w:pPr>
        <w:pStyle w:val="FirstParagraph"/>
        <w:spacing w:line="480" w:lineRule="auto"/>
      </w:pPr>
      <w:r>
        <w:t xml:space="preserve">Sixteen references in the shared pool are what the dissertation draws on. The first eight connect strongly to cislunar surveillance, lunar traffic management, and hazard environments, covering guide star instrumentation, Chang’e 5 tracking, contrasting cislunar architectures, halo-orbit surveillance, radar spin states, lunar traffic architecture, lunar debris collision risk, and cislunar fragmentation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second eight widen the infrastructure and propulsion context, covering construction robotics, asteroid mining economics, two water electrolysis thruster demonstrations, in-space transportation trajectories, lunar mining feasibility, lunar dust dissolution, and deep-throttling engine heat transfer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Enough range to discuss standards as a cross-domain problem, and a bounded evidentiary base at the same time, is what the pool gives the dissertation, and every chapter citation draws from this pool alone. That constraint keeps the argument from drifting past the documents that generated the empirical work, which is a design commitment rather than a convenience. A reader can hold the argument accountable to exactly sixteen sources, and each empirical claim traces to a row that cites one of them.</w:t>
      </w:r>
    </w:p>
    <w:bookmarkEnd w:id="119"/>
    <w:bookmarkStart w:id="120" w:name="measurement-threats"/>
    <w:p>
      <w:pPr>
        <w:pStyle w:val="Heading2"/>
        <w:spacing w:line="480" w:lineRule="auto"/>
      </w:pPr>
      <w:r>
        <w:t xml:space="preserve">Measurement threats</w:t>
      </w:r>
    </w:p>
    <w:p>
      <w:pPr>
        <w:pStyle w:val="FirstParagraph"/>
        <w:spacing w:line="480" w:lineRule="auto"/>
      </w:pPr>
      <w:r>
        <w:t xml:space="preserve">Three measurement threats deserve emphasis, because they set how far the data can carry the argument. Source-pack construction may shape the results, since a corpus retrieved around cislunar and lunar infrastructure will naturally hold related language, and the recency or venue structure it shows partly reflects how the corpus was assembled; the dissertation answers by reading the models as corpus screens rather than as proof of external prevalence. The signal score is a proxy, measuring document-level fit to the candidate topic rather than actual adoption of a propellant standard, so a high score marks topical proximity and nothing stronger. Venue coding is blunt, catching broad publication family but not peer-review intensity, sponsor, community uptake, or operational use, and the ordinal spacing between families carries no cardinal meaning. None of these threats invalidates the dissertation. What they do is define the altitude at which the evidence speaks, and every interpretation in the results chapter is calibrated to that altitude.</w:t>
      </w:r>
    </w:p>
    <w:bookmarkEnd w:id="120"/>
    <w:bookmarkStart w:id="121" w:name="the-distribution-of-the-data-in-detail"/>
    <w:p>
      <w:pPr>
        <w:pStyle w:val="Heading2"/>
        <w:spacing w:line="480" w:lineRule="auto"/>
      </w:pPr>
      <w:r>
        <w:t xml:space="preserve">The distribution of the data in detail</w:t>
      </w:r>
    </w:p>
    <w:p>
      <w:pPr>
        <w:pStyle w:val="FirstParagraph"/>
        <w:spacing w:line="480" w:lineRule="auto"/>
      </w:pPr>
      <w:r>
        <w:t xml:space="preserve">Read the thirty rows closely and it becomes clear why the estimators behave as they do. Signal-score mass concentrates in the middle of the range. Highest is the Chang’e 5 tracking record at fourteen, its metadata dense with cislunar and tracking terms</w:t>
      </w:r>
      <w:r>
        <w:t xml:space="preserve"> </w:t>
      </w:r>
      <w:hyperlink w:anchor="ref-2">
        <w:r>
          <w:rPr>
            <w:rStyle w:val="Hyperlink"/>
          </w:rPr>
          <w:t xml:space="preserve">[2]</w:t>
        </w:r>
      </w:hyperlink>
      <w:r>
        <w:t xml:space="preserve">. The lunar debris collision-risk and halo-orbit surveillance records sit at nine, as do several of the resource and mining feasibility records</w:t>
      </w:r>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14">
        <w:r>
          <w:rPr>
            <w:rStyle w:val="Hyperlink"/>
          </w:rPr>
          <w:t xml:space="preserve">[14]</w:t>
        </w:r>
      </w:hyperlink>
      <w:r>
        <w:t xml:space="preserve">. Peripheral records, the radar spin-states paper and several space-economy governance items among them, fall to one, marking their distance from the propellant-standards core</w:t>
      </w:r>
      <w:r>
        <w:t xml:space="preserve"> </w:t>
      </w:r>
      <w:hyperlink w:anchor="ref-5">
        <w:r>
          <w:rPr>
            <w:rStyle w:val="Hyperlink"/>
          </w:rPr>
          <w:t xml:space="preserve">[5]</w:t>
        </w:r>
      </w:hyperlink>
      <w:r>
        <w:t xml:space="preserve">. That spread is what hands the first model a third of its variation to explain.</w:t>
      </w:r>
    </w:p>
    <w:p>
      <w:pPr>
        <w:pStyle w:val="BodyText"/>
        <w:spacing w:line="480" w:lineRule="auto"/>
        <w:ind w:firstLine="720"/>
      </w:pPr>
      <w:r>
        <w:t xml:space="preserve">Uneven across venue families is the recency distribution, and the unevenness matters for interpretation. AMOS records span 2006 to 2024, giving the low-recency end of the sample almost wholly to the awareness community. Acta Astronautica records cluster from 2020 to 2026, filling the high-recency end with engineering and resource work. The space-economy records sit at 2020. This structure correlates recency with venue in the data, which the identification chapter flagged and which the joint estimation handles by conditioning each coefficient on the other.</w:t>
      </w:r>
    </w:p>
    <w:bookmarkEnd w:id="121"/>
    <w:bookmarkStart w:id="122" w:name="the-citation-record-and-its-skew"/>
    <w:p>
      <w:pPr>
        <w:pStyle w:val="Heading2"/>
        <w:spacing w:line="480" w:lineRule="auto"/>
      </w:pPr>
      <w:r>
        <w:t xml:space="preserve">The citation record and its skew</w:t>
      </w:r>
    </w:p>
    <w:p>
      <w:pPr>
        <w:pStyle w:val="FirstParagraph"/>
        <w:spacing w:line="480" w:lineRule="auto"/>
      </w:pPr>
      <w:r>
        <w:t xml:space="preserve">The citation field earns separate scrutiny because it drives the weakest results. The numbers are stark. Twenty-three of the thirty records carry zero citations in the local index. Of the seven nonzero records, all are Acta Astronautica journal articles, and two dominate: one lunar-adjacent record at eighty-nine citations, another at twenty-seven. The rest of the nonzero records carry between three and nine. This is a textbook skewed count with a long right tail. It explains why the first model’s citation coefficient comes back imprecise and why the second model’s learning curve stays fragile no matter how the estimation is arranged. The information content of the citation field concentrates in a handful of rows, so any inference resting on citations rests on those rows.</w:t>
      </w:r>
    </w:p>
    <w:p>
      <w:pPr>
        <w:pStyle w:val="BodyText"/>
        <w:spacing w:line="480" w:lineRule="auto"/>
        <w:ind w:firstLine="720"/>
      </w:pPr>
      <w:r>
        <w:t xml:space="preserve">The plus-one transform in the second screen holds all twenty-three uncited records in the estimation by mapping them to a citation-plus-one value of one, which becomes zero in logs. The heavily cited records map to logged values standing far above the mass of the sample. A slope estimated across such a distribution gets pulled by a few points, and that is the structural reason the learning-curve model explains almost none of the variance. Documenting this here lets the results chapter report the weak second model without surprise, since the data chapter has already shown why it had to be weak.</w:t>
      </w:r>
    </w:p>
    <w:bookmarkEnd w:id="122"/>
    <w:bookmarkStart w:id="123" w:name="provenance-and-reproducibility"/>
    <w:p>
      <w:pPr>
        <w:pStyle w:val="Heading2"/>
        <w:spacing w:line="480" w:lineRule="auto"/>
      </w:pPr>
      <w:r>
        <w:t xml:space="preserve">Provenance and reproducibility</w:t>
      </w:r>
    </w:p>
    <w:p>
      <w:pPr>
        <w:pStyle w:val="FirstParagraph"/>
        <w:spacing w:line="480" w:lineRule="auto"/>
      </w:pPr>
      <w:r>
        <w:t xml:space="preserve">A source column survives on every row, and the sources fall into two identifiable classes. Records with digital object identifiers point to Acta Astronautica journal articles and to the small set of AMOS records carrying a resolvable identifier</w:t>
      </w:r>
      <w:r>
        <w:t xml:space="preserve"> </w:t>
      </w:r>
      <w:hyperlink w:anchor="ref-6">
        <w:r>
          <w:rPr>
            <w:rStyle w:val="Hyperlink"/>
          </w:rPr>
          <w:t xml:space="preserve">[6]</w:t>
        </w:r>
      </w:hyperlink>
      <w:r>
        <w:t xml:space="preserve"> </w:t>
      </w:r>
      <w:hyperlink w:anchor="ref-8">
        <w:r>
          <w:rPr>
            <w:rStyle w:val="Hyperlink"/>
          </w:rPr>
          <w:t xml:space="preserve">[8]</w:t>
        </w:r>
      </w:hyperlink>
      <w:r>
        <w:t xml:space="preserve">. Records with conference URLs point to AMOS proceedings pages. Records with descriptive text point to the space-economy governance items. This provenance structure lets a reviewer confirm the venue coding of most rows from the source column alone, which is the concrete shape the auditability commitment takes at the dataset level.</w:t>
      </w:r>
    </w:p>
    <w:p>
      <w:pPr>
        <w:pStyle w:val="BodyText"/>
        <w:spacing w:line="480" w:lineRule="auto"/>
        <w:ind w:firstLine="720"/>
      </w:pPr>
      <w:r>
        <w:t xml:space="preserve">Reproducibility of the derived variables follows from their deterministic construction. Nothing here is random. Recency, age, and citation-plus-one are arithmetic functions of the year and citation fields. A lookup on the venue family is what venue score is. A count of theme hits across fixed metadata fields is what signal score is. Not one of these involves a random step, so a second analyst starting from the same source records and the same construction rules would recover the same estimation file. That determinism is what lets the results chapter report coefficients to full precision rather than as rounded approximations.</w:t>
      </w:r>
    </w:p>
    <w:bookmarkEnd w:id="123"/>
    <w:bookmarkStart w:id="124" w:name="how-the-signal-score-is-built"/>
    <w:p>
      <w:pPr>
        <w:pStyle w:val="Heading2"/>
        <w:spacing w:line="480" w:lineRule="auto"/>
      </w:pPr>
      <w:r>
        <w:t xml:space="preserve">How the signal score is built</w:t>
      </w:r>
    </w:p>
    <w:p>
      <w:pPr>
        <w:pStyle w:val="FirstParagraph"/>
        <w:spacing w:line="480" w:lineRule="auto"/>
      </w:pPr>
      <w:r>
        <w:t xml:space="preserve">Because the signal score anchors the first model, its construction warrants a fuller account. A count of candidate-theme term hits, the score is assembled from four metadata fields: the source title, the retrieved snippet, the keyword field, and the author metadata. Mention cislunar tracking, lunar traffic, propellant, or resource terms across several of those fields and a record accumulates a higher count than one that touches the topic in a single field. Highest scores the Chang’e 5 record, tracking and cislunar language saturating its title and snippet</w:t>
      </w:r>
      <w:r>
        <w:t xml:space="preserve"> </w:t>
      </w:r>
      <w:hyperlink w:anchor="ref-2">
        <w:r>
          <w:rPr>
            <w:rStyle w:val="Hyperlink"/>
          </w:rPr>
          <w:t xml:space="preserve">[2]</w:t>
        </w:r>
      </w:hyperlink>
      <w:r>
        <w:t xml:space="preserve">, while lowest among the AMOS papers scores the radar spin-states record, its metadata centered on defunct GEO objects rather than lunar infrastructure</w:t>
      </w:r>
      <w:r>
        <w:t xml:space="preserve"> </w:t>
      </w:r>
      <w:hyperlink w:anchor="ref-5">
        <w:r>
          <w:rPr>
            <w:rStyle w:val="Hyperlink"/>
          </w:rPr>
          <w:t xml:space="preserve">[5]</w:t>
        </w:r>
      </w:hyperlink>
      <w:r>
        <w:t xml:space="preserve">.</w:t>
      </w:r>
    </w:p>
    <w:p>
      <w:pPr>
        <w:pStyle w:val="BodyText"/>
        <w:spacing w:line="480" w:lineRule="auto"/>
        <w:ind w:firstLine="720"/>
      </w:pPr>
      <w:r>
        <w:t xml:space="preserve">A deliberate property lives in this construction: it rewards breadth of topical contact over depth of any single mention. Touch awareness, propulsion, and resources and a paper scores above one that treats one of them intensively. That property suits a standards analysis, since a propellant standard is a cross-domain institution and the records most relevant to it are exactly those that bridge domains. So the score is no neutral text statistic but a purpose-built proximity measure, and reading it as anything more than proximity would run past what the construction supports.</w:t>
      </w:r>
    </w:p>
    <w:bookmarkEnd w:id="124"/>
    <w:bookmarkStart w:id="125" w:name="the-three-venue-families-in-detail"/>
    <w:p>
      <w:pPr>
        <w:pStyle w:val="Heading2"/>
        <w:spacing w:line="480" w:lineRule="auto"/>
      </w:pPr>
      <w:r>
        <w:t xml:space="preserve">The three venue families in detail</w:t>
      </w:r>
    </w:p>
    <w:p>
      <w:pPr>
        <w:pStyle w:val="FirstParagraph"/>
        <w:spacing w:line="480" w:lineRule="auto"/>
      </w:pPr>
      <w:r>
        <w:t xml:space="preserve">More than an ordinal scale, the three venue families each carry a distinct evidentiary character worth documenting. The AMOS family, coded one, is conference proceedings from the space situational awareness and traffic-management community, its records stressing observation, orbital geometry, debris, and fragmentation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These records span the widest range of publication years in the sample, back to 2006, which gives the low-recency end of the corpus almost wholly to this community. The Acta Astronautica family, coded two, is peer-reviewed journal articles stressing propulsion, resources, construction, trajectories, and engine behavior, and it supplies nearly all the nonzero citation counts while filling the high-recency end from 2020 onward</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Smallest and most heterogeneous is the space-economy family, coded three, gathering governance-facing items on sustainability, orbital classification, and the space economy. Short metadata and low signal scores mark its records, and none carries a citation count in the local index. What this family matters for is less its statistical weight than what it represents: the governance-facing literature into which a technical standards conversation would eventually translate. Its thinness in the corpus is itself informative, since it fits a field whose technical strands have intensified while the governance translation has not yet caught up, which is the very pattern the theory ties to a design window rather than a consolidated standard.</w:t>
      </w:r>
    </w:p>
    <w:bookmarkEnd w:id="125"/>
    <w:bookmarkStart w:id="126" w:name="X23d6efd72a55c7c9f87175096824709c9f0532c"/>
    <w:p>
      <w:pPr>
        <w:pStyle w:val="Heading2"/>
        <w:spacing w:line="480" w:lineRule="auto"/>
      </w:pPr>
      <w:r>
        <w:t xml:space="preserve">The role of the title and snippet word counts</w:t>
      </w:r>
    </w:p>
    <w:p>
      <w:pPr>
        <w:pStyle w:val="FirstParagraph"/>
        <w:spacing w:line="480" w:lineRule="auto"/>
      </w:pPr>
      <w:r>
        <w:t xml:space="preserve">Title-word and snippet-word counts also live in the dataset, and though they enter no estimator directly, they bound the interpretation of the signal score. A record with a long, information-dense title offers more surface area for theme terms to land on, so its signal score is partly a function of how much text the metadata exposes. The space-economy governance records show the opposite case, several carrying short descriptive titles and empty snippet fields, which mechanically caps their theme-hit counts and helps account for their low signal scores. Holding these auxiliary counts in view keeps the results chapter from overreading a low signal score as topical distance where it may partly reflect thin metadata.</w:t>
      </w:r>
    </w:p>
    <w:p>
      <w:pPr>
        <w:pStyle w:val="BodyText"/>
        <w:spacing w:line="480" w:lineRule="auto"/>
        <w:ind w:firstLine="720"/>
      </w:pPr>
      <w:r>
        <w:t xml:space="preserve">Here is one more reason the venue coefficient must be read against source content rather than in isolation. The space-economy family pairs a high venue code with short metadata and low signal scores, so part of the negative venue slope reflects that family’s metadata thinness rather than a substantive gap in relevance. The data chapter surfaces this so the results chapter can qualify the venue reading honestly. A variable’s meaning is inseparable from how it was built, and the signal score’s dependence on metadata length is a construction fact the interpretation must carry throughout. Because the dissertation treats the retrieved corpus as a traceable empirical record rather than a complete map of the Earth Moon system, its interpretation stays tied to observable variation in timing, venue, attention, and topic signal, and it leaves wider operational claims to designs that carry direct mission data. The estimator output over this dataset is reported next.</w:t>
      </w:r>
    </w:p>
    <w:bookmarkEnd w:id="126"/>
    <w:bookmarkEnd w:id="127"/>
    <w:bookmarkStart w:id="141" w:name="chapter-6-results"/>
    <w:p>
      <w:pPr>
        <w:pStyle w:val="Heading1"/>
        <w:spacing w:line="480" w:lineRule="auto"/>
      </w:pPr>
      <w:r>
        <w:t xml:space="preserve">Chapter 6: Results</w:t>
      </w:r>
    </w:p>
    <w:p>
      <w:pPr>
        <w:pStyle w:val="FirstParagraph"/>
        <w:spacing w:line="480" w:lineRule="auto"/>
      </w:pPr>
      <w:r>
        <w:t xml:space="preserve">Meaningful evidence of structure in the retrieved corpus is what the first empirical screen returns. Thirty observations enter the ordinary least squares model. The exact fit summary reads N = 30, R2 = 0.3506023400218983, adjusted R2 = 0.2756718407936557, F = 11.001987667535962, and F_p = 7.590237724447738e-05. For a small heterogeneous source corpus, an R2 near 0.351 is substantial enough to interpret, though short of what would justify a sweeping claim. A little more than one third of the observed variation in signal intensity is what the model explains, and the joint F-test rejects the flat-corpus null at a very small p-value</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overall fit already settles the falsifiable question the introduction posed. The record is not flat. It is not an undifferentiated bundle of adjacent papers. Across recency, citation, and venue it carries enough joint structure that a model of those three predictors accounts for a third of the signal variation, and under the null the probability of drawing an F statistic this large sits on the order of seven parts in one hundred thousand.</w:t>
      </w:r>
    </w:p>
    <w:bookmarkStart w:id="128" w:name="the-recency-coefficient"/>
    <w:p>
      <w:pPr>
        <w:pStyle w:val="Heading2"/>
        <w:spacing w:line="480" w:lineRule="auto"/>
      </w:pPr>
      <w:r>
        <w:t xml:space="preserve">The recency coefficient</w:t>
      </w:r>
    </w:p>
    <w:p>
      <w:pPr>
        <w:pStyle w:val="FirstParagraph"/>
        <w:spacing w:line="480" w:lineRule="auto"/>
      </w:pPr>
      <w:r>
        <w:t xml:space="preserve">Positive and precise is how recency comes back, its exact estimate 0.27696780621441125 at p = 4.2610544023143526e-07. Inside the retrieved corpus, newer records go with higher topic-signal intensity once local citation count and venue score are accounted for. The magnitude reads clearly on the recency scale the data chapter documented: move from an early record to one roughly a decade newer and signal score climbs by close to three points, a large fraction of the observed signal range.</w:t>
      </w:r>
    </w:p>
    <w:p>
      <w:pPr>
        <w:pStyle w:val="BodyText"/>
        <w:spacing w:line="480" w:lineRule="auto"/>
        <w:ind w:firstLine="720"/>
      </w:pPr>
      <w:r>
        <w:t xml:space="preserve">The result fits the dissertation’s stated expectation, that the standards problem grows more visible as cislunar surveillance, lunar traffic management, propulsion, resource feasibility, and infrastructure discussions begin to converge. Recent records on lunar traffic management, water electrolysis propulsion, construction robotics, resource feasibility, and transportation systems bear on that interpretation with particular force</w:t>
      </w:r>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coefficient reads structurally, not causally: it says the corpus is temporally organized, the topic signal massing in newer work, which is the pattern a field nearing a standards window would produce.</w:t>
      </w:r>
    </w:p>
    <w:bookmarkEnd w:id="128"/>
    <w:bookmarkStart w:id="129" w:name="the-citation-coefficient"/>
    <w:p>
      <w:pPr>
        <w:pStyle w:val="Heading2"/>
        <w:spacing w:line="480" w:lineRule="auto"/>
      </w:pPr>
      <w:r>
        <w:t xml:space="preserve">The citation coefficient</w:t>
      </w:r>
    </w:p>
    <w:p>
      <w:pPr>
        <w:pStyle w:val="FirstParagraph"/>
        <w:spacing w:line="480" w:lineRule="auto"/>
      </w:pPr>
      <w:r>
        <w:t xml:space="preserve">Negative and statistically imprecise is how citation attention comes back, its exact estimate -0.011241368206617117 at p = 0.2718337417803546. No claim that locally observed citation attention predicts topic-signal intensity survives this, and the sign should not be overread given the imprecision. The finding is unsurprising. Many records are recent and have had little time to gather citations, and several technical sources move through professional and operational communities in ways the local citation field never captures.</w:t>
      </w:r>
    </w:p>
    <w:p>
      <w:pPr>
        <w:pStyle w:val="BodyText"/>
        <w:spacing w:line="480" w:lineRule="auto"/>
        <w:ind w:firstLine="720"/>
      </w:pPr>
      <w:r>
        <w:t xml:space="preserve">A constraint on the rest of the argument follows from it. Citation attention cannot serve as evidence of lock-in in this corpus. So the standards argument has to lean more on recency, venue structure, and substantive source interpretation than on any citation-based claim, and it does so from here forward. To reading a weak citation result this way the dissertation committed in advance, and the estimate delivers exactly the imprecision that warns against leaning on citations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bookmarkEnd w:id="129"/>
    <w:bookmarkStart w:id="130" w:name="the-venue-coefficient"/>
    <w:p>
      <w:pPr>
        <w:pStyle w:val="Heading2"/>
        <w:spacing w:line="480" w:lineRule="auto"/>
      </w:pPr>
      <w:r>
        <w:t xml:space="preserve">The venue coefficient</w:t>
      </w:r>
    </w:p>
    <w:p>
      <w:pPr>
        <w:pStyle w:val="FirstParagraph"/>
        <w:spacing w:line="480" w:lineRule="auto"/>
      </w:pPr>
      <w:r>
        <w:t xml:space="preserve">Negative and precise is how venue comes back, its exact estimate -2.058479346884078 at p = 0.011498597491072356. Because venue_score is an ordinal coding of source family, the sign asks for cautious reading rather than a ranking of venue quality. What the result indicates is that topic-signal intensity differs systematically across venue families, and the magnitude is substantial: one step up the venue coding goes with roughly two fewer signal points, recency and citations held fixed.</w:t>
      </w:r>
    </w:p>
    <w:p>
      <w:pPr>
        <w:pStyle w:val="BodyText"/>
        <w:spacing w:line="480" w:lineRule="auto"/>
        <w:ind w:firstLine="720"/>
      </w:pPr>
      <w:r>
        <w:t xml:space="preserve">This is plausible on its face. The two families read differently. AMOS records lean toward cislunar awareness, tracking, surveillance, and traffic management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Acta Astronautica records lean toward propulsion, resource economics, construction robotics, trajectories, lunar dust, and engine behavior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Not a hierarchy of venues but evidence that the standards problem sits across distinct technical communities is how the dissertation reads the coefficient, which is the venue signature the theory predicted a cross-community problem would leave.</w:t>
      </w:r>
    </w:p>
    <w:bookmarkEnd w:id="130"/>
    <w:bookmarkStart w:id="131" w:name="the-learning-curve-screen"/>
    <w:p>
      <w:pPr>
        <w:pStyle w:val="Heading2"/>
        <w:spacing w:line="480" w:lineRule="auto"/>
      </w:pPr>
      <w:r>
        <w:t xml:space="preserve">The learning-curve screen</w:t>
      </w:r>
    </w:p>
    <w:p>
      <w:pPr>
        <w:pStyle w:val="FirstParagraph"/>
        <w:spacing w:line="480" w:lineRule="auto"/>
      </w:pPr>
      <w:r>
        <w:t xml:space="preserve">Weaker is the second empirical screen, and its weakness is informative. Thirty observations enter the learning-curve model. The exact fit summary reads N = 30, R2 = 0.00840380519854056, elasticity_b = -0.14808133802728066, and progress_ratio_2^b = 0.9024498466058269. The constant is 0.8307908499534133 with p = 0.03311106600518017. The log-age coefficient is -0.14808133802728066 with p = 0.5094737814177508. Less than one percent of the variation in the transformed citation outcome is what this model explains. Negative is the age elasticity, but imprecise, its p-value above one half.</w:t>
      </w:r>
    </w:p>
    <w:p>
      <w:pPr>
        <w:pStyle w:val="BodyText"/>
        <w:spacing w:line="480" w:lineRule="auto"/>
        <w:ind w:firstLine="720"/>
      </w:pPr>
      <w:r>
        <w:t xml:space="preserve">The learning-curve result matters because it heads off overstatement. The corpus shows no strong citation accumulation pattern by article age. A progress ratio near 0.90 would, in a well-identified learning curve, imply modest gains per doubling of experience, but with an R2 below one percent and an insignificant slope, that ratio cannot bear interpretive weight. A weak citation model means the dissertation cannot claim attention has settled into a cumulative learning trajectory. A different pattern is what the evidence shows, in which the topic signal is structured by recency and venue while citation accumulation stays too noisy to prove field consolidation.</w:t>
      </w:r>
    </w:p>
    <w:bookmarkEnd w:id="131"/>
    <w:bookmarkStart w:id="132" w:name="what-the-two-screens-say-together"/>
    <w:p>
      <w:pPr>
        <w:pStyle w:val="Heading2"/>
        <w:spacing w:line="480" w:lineRule="auto"/>
      </w:pPr>
      <w:r>
        <w:t xml:space="preserve">What the two screens say together</w:t>
      </w:r>
    </w:p>
    <w:p>
      <w:pPr>
        <w:pStyle w:val="FirstParagraph"/>
        <w:spacing w:line="480" w:lineRule="auto"/>
      </w:pPr>
      <w:r>
        <w:t xml:space="preserve">Taken together, the results support a cautious version of the alternative hypothesis for the first screen and fail to support a strong learning-curve claim in the second. Recency and venue structure show the retrieved corpus is not flat. Citation attention shows no learning pattern yet. The verdict splits. Emergent rather than settled is therefore how the standards problem appears: visible enough to merit governance attention, and not mature enough to justify rigid institutional closure.</w:t>
      </w:r>
    </w:p>
    <w:p>
      <w:pPr>
        <w:pStyle w:val="BodyText"/>
        <w:spacing w:line="480" w:lineRule="auto"/>
        <w:ind w:firstLine="720"/>
      </w:pPr>
      <w:r>
        <w:t xml:space="preserve">This split verdict is the most defensible reading of the estimator output, and more useful than a uniform result would have been. Had both screens come back strong, the corpus would look like a consolidated field, and a design-stage claim of an approaching standards window would arrive too late. Had both come back null, no evidentiary basis for a foreclosure concern would exist at all. The observed combination, precise recency and venue structure alongside a noisy citation record, describes exactly the moment the dissertation is built to detect, a field organizing but not yet locked.</w:t>
      </w:r>
    </w:p>
    <w:bookmarkEnd w:id="132"/>
    <w:bookmarkStart w:id="133" w:name="substantive-reading"/>
    <w:p>
      <w:pPr>
        <w:pStyle w:val="Heading2"/>
        <w:spacing w:line="480" w:lineRule="auto"/>
      </w:pPr>
      <w:r>
        <w:t xml:space="preserve">Substantive reading</w:t>
      </w:r>
    </w:p>
    <w:p>
      <w:pPr>
        <w:pStyle w:val="FirstParagraph"/>
        <w:spacing w:line="480" w:lineRule="auto"/>
      </w:pPr>
      <w:r>
        <w:t xml:space="preserve">What these findings imply is that lunar propellant standards are entering a window in which early choices may matter before attention metrics make the issue look settled, and that is exactly when governance design pays off. Wait until citation attention, procurement language, and operational routines have converged, and reversal costs may already be high, because by then interface dependence, learning concentration, and governance translation will have done their work. Impose a rigid standard too early and useful experimentation may be suppressed before the mission classes have differentiated their needs.</w:t>
      </w:r>
    </w:p>
    <w:p>
      <w:pPr>
        <w:pStyle w:val="BodyText"/>
        <w:spacing w:line="480" w:lineRule="auto"/>
        <w:ind w:firstLine="720"/>
      </w:pPr>
      <w:r>
        <w:t xml:space="preserve">A middle position is what the empirical results support. They justify building interoperability expectations, data reporting requirements, and review mechanisms without prematurely locking the lunar economy into a single propellant architecture. The conversation is real and cross-community, which recency and venue structure establish; it is not yet consolidated, which the weak citation record establishes.</w:t>
      </w:r>
    </w:p>
    <w:bookmarkEnd w:id="133"/>
    <w:bookmarkStart w:id="134" w:name="reading-the-magnitudes-against-the-data"/>
    <w:p>
      <w:pPr>
        <w:pStyle w:val="Heading2"/>
        <w:spacing w:line="480" w:lineRule="auto"/>
      </w:pPr>
      <w:r>
        <w:t xml:space="preserve">Reading the magnitudes against the data</w:t>
      </w:r>
    </w:p>
    <w:p>
      <w:pPr>
        <w:pStyle w:val="FirstParagraph"/>
        <w:spacing w:line="480" w:lineRule="auto"/>
      </w:pPr>
      <w:r>
        <w:t xml:space="preserve">Against the scale the data chapter documented, the recency estimate deserves a concrete reading. Recency runs from one for the oldest 2006 record to twenty-one for the 2026 records, a span of twenty units. At a coefficient near 0.277 signal points per unit, the model implies roughly 5.5 signal points between the oldest and newest records, citations and venue held fixed. Against an observed signal-score range from one to fourteen, a 5.5-point recency effect is a large share of the total spread. No marginal statistical curiosity is the recency structure; it is one of the dominant sources of variation in the corpus, which is why the first model reaches a third of its fit largely through this single predictor.</w:t>
      </w:r>
    </w:p>
    <w:p>
      <w:pPr>
        <w:pStyle w:val="BodyText"/>
        <w:spacing w:line="480" w:lineRule="auto"/>
        <w:ind w:firstLine="720"/>
      </w:pPr>
      <w:r>
        <w:t xml:space="preserve">Venue reads much the same. A coefficient near -2.06 signal points per venue step means that moving from the AMOS family to the Acta Astronautica family, or from Acta Astronautica to space economy, goes with about two fewer signal points once recency and citations are held fixed. Because the space-economy governance records mostly carry low signal scores of one, while the awareness and engineering records carry higher scores, this negative venue slope fits the topic signal being strongest in the AMOS and Acta Astronautica families and thinnest in the governance-facing space-economy items. An artifact of the ordinal coding direction is what the sign is, and it should not be read as a judgment about which community matters more.</w:t>
      </w:r>
    </w:p>
    <w:bookmarkEnd w:id="134"/>
    <w:bookmarkStart w:id="135" w:name="X46db40268608ce72f6a2a14d8998fa469b46a0d"/>
    <w:p>
      <w:pPr>
        <w:pStyle w:val="Heading2"/>
        <w:spacing w:line="480" w:lineRule="auto"/>
      </w:pPr>
      <w:r>
        <w:t xml:space="preserve">Why the two signals point the same direction</w:t>
      </w:r>
    </w:p>
    <w:p>
      <w:pPr>
        <w:pStyle w:val="FirstParagraph"/>
        <w:spacing w:line="480" w:lineRule="auto"/>
      </w:pPr>
      <w:r>
        <w:t xml:space="preserve">Estimated from different predictors though they are, the recency and venue results tell one consistent story about where the propellant-standards conversation lives. It is concentrated in recent work, and it spans the awareness community and the engineering community while thinning out in the broad governance literature. That is exactly the configuration the theory tied to an approaching standards window: a technical conversation intensifying over time and crossing community boundaries, but not yet fully translated into the governance-facing literature where formal standards would be written</w:t>
      </w:r>
      <w:r>
        <w:t xml:space="preserve"> </w:t>
      </w:r>
      <w:hyperlink w:anchor="ref-3">
        <w:r>
          <w:rPr>
            <w:rStyle w:val="Hyperlink"/>
          </w:rPr>
          <w:t xml:space="preserve">[3]</w:t>
        </w:r>
      </w:hyperlink>
      <w:r>
        <w:t xml:space="preserve"> </w:t>
      </w:r>
      <w:hyperlink w:anchor="ref-6">
        <w:r>
          <w:rPr>
            <w:rStyle w:val="Hyperlink"/>
          </w:rPr>
          <w:t xml:space="preserve">[6]</w:t>
        </w:r>
      </w:hyperlink>
      <w:r>
        <w:t xml:space="preserve">. So the estimator output matches the mechanism-level prediction, that the antecedent conditions for foreclosure are present while the consolidation itself is not.</w:t>
      </w:r>
    </w:p>
    <w:p>
      <w:pPr>
        <w:pStyle w:val="BodyText"/>
        <w:spacing w:line="480" w:lineRule="auto"/>
        <w:ind w:firstLine="720"/>
      </w:pPr>
      <w:r>
        <w:t xml:space="preserve">From the opposite side the citation results reinforce the same reading. Had attention already consolidated, the citation coefficient in the first model would carry independent explanatory weight, and the learning curve would show a discernible age pattern. Neither happens. The near-zero learning-curve R2 of about 0.0084 and the insignificant age elasticity of about -0.148 confirm that attention remains diffuse, which is the signature of a field organizing topically without yet crowning a canonical literature of its own. No tension holds between the two screens; they describe the same intermediate stage from two measurement angles.</w:t>
      </w:r>
    </w:p>
    <w:bookmarkEnd w:id="135"/>
    <w:bookmarkStart w:id="136" w:name="X600d1cdfba36a99a6b1335cc7af1aec20913dce"/>
    <w:p>
      <w:pPr>
        <w:pStyle w:val="Heading2"/>
        <w:spacing w:line="480" w:lineRule="auto"/>
      </w:pPr>
      <w:r>
        <w:t xml:space="preserve">Sensitivity and the influence of extreme rows</w:t>
      </w:r>
    </w:p>
    <w:p>
      <w:pPr>
        <w:pStyle w:val="FirstParagraph"/>
        <w:spacing w:line="480" w:lineRule="auto"/>
      </w:pPr>
      <w:r>
        <w:t xml:space="preserve">A responsible reading admits how much the weak results ride on a few rows. Sensitive to the two high-citation Acta Astronautica records at eighty-nine and twenty-seven citations are both the citation coefficient and the entire learning-curve model. Those two points anchor the right tail of the citation distribution, and because the learning curve is estimated in logs, they lever the slope. The dissertation leaves them untrimmed, since trimming would swap the analyst’s judgment for the data, but flags their influence so the weak second-model verdict reads as robust to interpretation rather than as an artifact to explain away. Remove those rows and no learning-curve claim gets rescued; what remains is an even sparser citation field with even less structure.</w:t>
      </w:r>
    </w:p>
    <w:p>
      <w:pPr>
        <w:pStyle w:val="BodyText"/>
        <w:spacing w:line="480" w:lineRule="auto"/>
        <w:ind w:firstLine="720"/>
      </w:pPr>
      <w:r>
        <w:t xml:space="preserve">The strong results are far less fragile. They rest on breadth, not on outliers. The recency coefficient draws on variation spread across all thirty records and the full 2006 to 2026 range, and its p-value near 4.3e-07 reflects that breadth. On systematic differences between families rather than on outliers rests the venue coefficient likewise. The asymmetry is itself a finding, since the structural signals the dissertation relies on are broadly supported while the citation signals it declines to rely on are concentrated and fragile. That asymmetry is exactly why the argument leans on recency and venue and treats citations with caution</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bookmarkEnd w:id="136"/>
    <w:bookmarkStart w:id="137" w:name="X815fe7f55389c3019f70fede77fa61816d84d0e"/>
    <w:p>
      <w:pPr>
        <w:pStyle w:val="Heading2"/>
        <w:spacing w:line="480" w:lineRule="auto"/>
      </w:pPr>
      <w:r>
        <w:t xml:space="preserve">Mapping the results back to the hypotheses</w:t>
      </w:r>
    </w:p>
    <w:p>
      <w:pPr>
        <w:pStyle w:val="FirstParagraph"/>
        <w:spacing w:line="480" w:lineRule="auto"/>
      </w:pPr>
      <w:r>
        <w:t xml:space="preserve">The results resolve the two empirical hypotheses cleanly. The first hypothesis held that topic-signal intensity relates systematically to recency, citation attention, and venue. The joint F-test rejects the null of no relationship at F_p = 7.590237724447738e-05, and two of the three predictors, recency and venue, carry precise coefficients. Supported is the alternative, though in a specific and partial form, the relationship running through recency and venue rather than through citations. A cautious confirmation rather than a sweeping one is what this is, and the dissertation reports it that way.</w:t>
      </w:r>
    </w:p>
    <w:p>
      <w:pPr>
        <w:pStyle w:val="BodyText"/>
        <w:spacing w:line="480" w:lineRule="auto"/>
        <w:ind w:firstLine="720"/>
      </w:pPr>
      <w:r>
        <w:t xml:space="preserve">That citation accumulation follows a learning pattern by article age is what the second hypothesis held. The near-zero R2 of 0.00840380519854056 and the insignificant age elasticity at p = 0.5094737814177508 mean the null of no age-based pattern cannot be rejected, so the alternative goes unsupported. To reading this outcome as a genuine negative the dissertation pre-committed, and it does: attention in this corpus does not accumulate in a learning-curve shape, so citations cannot serve as evidence of consolidation. Reporting the failure of the second hypothesis with the same precision as the success of the first is what keeps the results chapter faithful to the estimator output.</w:t>
      </w:r>
    </w:p>
    <w:bookmarkEnd w:id="137"/>
    <w:bookmarkStart w:id="138" w:name="comparing-the-two-models"/>
    <w:p>
      <w:pPr>
        <w:pStyle w:val="Heading2"/>
        <w:spacing w:line="480" w:lineRule="auto"/>
      </w:pPr>
      <w:r>
        <w:t xml:space="preserve">Comparing the two models</w:t>
      </w:r>
    </w:p>
    <w:p>
      <w:pPr>
        <w:pStyle w:val="FirstParagraph"/>
        <w:spacing w:line="480" w:lineRule="auto"/>
      </w:pPr>
      <w:r>
        <w:t xml:space="preserve">Set the two models side by side and it grows clear why one carries the argument and the other guards it. The first model, with R2 = 0.3506023400218983 and a joint F of 11.001987667535962 at F_p = 7.590237724447738e-05, explains a meaningful share of signal variation through predictors broadly supported across the sample. The second model, with R2 = 0.00840380519854056 and an age elasticity of -0.14808133802728066 at p = 0.5094737814177508, explains almost nothing and rests on a handful of influential citation rows. No defect is that contrast. It is the reason the dissertation leans on the first model’s recency and venue structure and treats the second as a caution rather than a finding.</w:t>
      </w:r>
    </w:p>
    <w:p>
      <w:pPr>
        <w:pStyle w:val="BodyText"/>
        <w:spacing w:line="480" w:lineRule="auto"/>
        <w:ind w:firstLine="720"/>
      </w:pPr>
      <w:r>
        <w:t xml:space="preserve">A different antecedent of foreclosure is what each model probes. Whether the topic has organized in time and across communities, the preconditions for interface dependence and governance translation, is the first model’s target. Whether attention has consolidated, the precondition for learning concentration to have advanced, is the second’s. The first returns a yes, the second a no, and together they place the field at a specific point in the sequence the theory laid out: organized enough to warrant concern, not yet consolidated enough to have foreclosed. A design reporting only the strong model would misstate that location, implying more maturity than the citations support.</w:t>
      </w:r>
    </w:p>
    <w:bookmarkEnd w:id="138"/>
    <w:bookmarkStart w:id="139" w:name="the-verdict-in-one-sentence"/>
    <w:p>
      <w:pPr>
        <w:pStyle w:val="Heading2"/>
        <w:spacing w:line="480" w:lineRule="auto"/>
      </w:pPr>
      <w:r>
        <w:t xml:space="preserve">The verdict in one sentence</w:t>
      </w:r>
    </w:p>
    <w:p>
      <w:pPr>
        <w:pStyle w:val="FirstParagraph"/>
        <w:spacing w:line="480" w:lineRule="auto"/>
      </w:pPr>
      <w:r>
        <w:t xml:space="preserve">Boiled to a single sentence, the estimator output says the retrieved corpus is temporally and cross-community structured but not yet consolidated in attention. That sentence is the spine. Everything the dissertation argues hangs from it. Everything the discussion chapter recommends follows from it. Nothing the dissertation claims runs past it. The recency coefficient of 0.27696780621441125, the venue coefficient of -2.058479346884078, the imprecise citation coefficient of -0.011241368206617117, and the flat learning curve at R2 = 0.00840380519854056 together describe a field caught in the act of organizing, which is precisely the condition a design-window argument requires and precisely the condition under which reversible governance stays cheap.</w:t>
      </w:r>
    </w:p>
    <w:bookmarkEnd w:id="139"/>
    <w:bookmarkStart w:id="140" w:name="what-the-results-do-not-license"/>
    <w:p>
      <w:pPr>
        <w:pStyle w:val="Heading2"/>
        <w:spacing w:line="480" w:lineRule="auto"/>
      </w:pPr>
      <w:r>
        <w:t xml:space="preserve">What the results do not license</w:t>
      </w:r>
    </w:p>
    <w:p>
      <w:pPr>
        <w:pStyle w:val="FirstParagraph"/>
        <w:spacing w:line="480" w:lineRule="auto"/>
      </w:pPr>
      <w:r>
        <w:t xml:space="preserve">Two readings have to be refused even where the numbers might tempt them. The precise recency coefficient licenses no causal claim that the passage of time raises topic importance; it licenses only the structural claim that the topic signal massing in newer records holds within this corpus. The precise venue coefficient licenses no ranking of the AMOS and Acta Astronautica communities by importance; its sign is an artifact of the ordinal coding direction, and its content is that the signal differs across families, corroborated by what those families discuss</w:t>
      </w:r>
      <w:r>
        <w:t xml:space="preserve"> </w:t>
      </w:r>
      <w:hyperlink w:anchor="ref-3">
        <w:r>
          <w:rPr>
            <w:rStyle w:val="Hyperlink"/>
          </w:rPr>
          <w:t xml:space="preserve">[3]</w:t>
        </w:r>
      </w:hyperlink>
      <w:r>
        <w:t xml:space="preserve"> </w:t>
      </w:r>
      <w:hyperlink w:anchor="ref-6">
        <w:r>
          <w:rPr>
            <w:rStyle w:val="Hyperlink"/>
          </w:rPr>
          <w:t xml:space="preserve">[6]</w:t>
        </w:r>
      </w:hyperlink>
      <w:r>
        <w:t xml:space="preserve">. Holding these refusals firm is what keeps a strong first model from being overread into conclusions the design cannot support.</w:t>
      </w:r>
    </w:p>
    <w:p>
      <w:pPr>
        <w:pStyle w:val="BodyText"/>
        <w:spacing w:line="480" w:lineRule="auto"/>
        <w:ind w:firstLine="720"/>
      </w:pPr>
      <w:r>
        <w:t xml:space="preserve">The weak second model also has to be read for exactly what it is. Its near-zero R2 proves nothing about attention never consolidating; it shows only that, in this corpus at this moment, citation accumulation carries no age-based learning pattern. A future corpus with more mature citation histories could return a different result, which is one reason replication is named as future work. So the results chapter closes as it opened, on a split verdict that supports a bounded, structural reading and refuses every stronger one.</w:t>
      </w:r>
    </w:p>
    <w:p>
      <w:pPr>
        <w:pStyle w:val="BodyText"/>
        <w:spacing w:line="480" w:lineRule="auto"/>
        <w:ind w:firstLine="720"/>
      </w:pPr>
      <w:r>
        <w:t xml:space="preserve">Because the dissertation treats the retrieved corpus as a traceable empirical record rather than a complete map of the Earth Moon system, its interpretation stays tied to observable variation in timing, venue, attention, and topic signal, and it leaves wider operational claims to designs that carry direct mission data. The discussion chapter turns this split verdict into governance implications and confronts the threats that could undo them.</w:t>
      </w:r>
    </w:p>
    <w:bookmarkEnd w:id="140"/>
    <w:bookmarkEnd w:id="141"/>
    <w:bookmarkStart w:id="155" w:name="chapter-7-discussion-and-limitations"/>
    <w:p>
      <w:pPr>
        <w:pStyle w:val="Heading1"/>
        <w:spacing w:line="480" w:lineRule="auto"/>
      </w:pPr>
      <w:r>
        <w:t xml:space="preserve">Chapter 7: Discussion and Limitations</w:t>
      </w:r>
    </w:p>
    <w:p>
      <w:pPr>
        <w:pStyle w:val="FirstParagraph"/>
        <w:spacing w:line="480" w:lineRule="auto"/>
      </w:pPr>
      <w:r>
        <w:t xml:space="preserve">The results show an emerging standards problem, not a completed lock-in process. Recency predicts stronger topic-signal intensity. Venue family carries weight too. Citation attention, though, provides no reliable evidence of cumulative learning, and that gap between a structured record and an unconsolidated one is the whole finding. Put together, this pattern says lunar propellant standards are growing more visible across cislunar and lunar infrastructure literatures while the field has yet to converge enough to warrant rigid closure. So governance should treat the present moment as a design window</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chapter moves in three stages. It first develops what a design window is and why the evidence supports naming one. It then draws five governance implications. And it finally faces the threats to validity that could undercut each implication. The order is deliberate, since the implications are only as strong as the evidence behind them, and the closing section states plainly what the data cannot show.</w:t>
      </w:r>
    </w:p>
    <w:bookmarkStart w:id="142" w:name="the-design-window"/>
    <w:p>
      <w:pPr>
        <w:pStyle w:val="Heading2"/>
        <w:spacing w:line="480" w:lineRule="auto"/>
      </w:pPr>
      <w:r>
        <w:t xml:space="preserve">The design window</w:t>
      </w:r>
    </w:p>
    <w:p>
      <w:pPr>
        <w:pStyle w:val="FirstParagraph"/>
        <w:spacing w:line="480" w:lineRule="auto"/>
      </w:pPr>
      <w:r>
        <w:t xml:space="preserve">A design window is the period when institutions can shape compatibility without freezing the wrong architecture. Timing does most of the work. For lunar propellant it means encouraging interfaces, disclosure practices, safety cases, and testing protocols that keep future choice alive. Early water electrolysis propulsion demonstrations earn their value by showing plausible pathways for tying lunar resources to propulsion systems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Resource feasibility work earns its value by disciplining claims about extraction and demand</w:t>
      </w:r>
      <w:r>
        <w:t xml:space="preserve"> </w:t>
      </w:r>
      <w:hyperlink w:anchor="ref-14">
        <w:r>
          <w:rPr>
            <w:rStyle w:val="Hyperlink"/>
          </w:rPr>
          <w:t xml:space="preserve">[14]</w:t>
        </w:r>
      </w:hyperlink>
      <w:r>
        <w:t xml:space="preserve">. Traffic management architecture earns its value by framing growth as an operational system rather than a run of isolated missions</w:t>
      </w:r>
      <w:r>
        <w:t xml:space="preserve"> </w:t>
      </w:r>
      <w:hyperlink w:anchor="ref-6">
        <w:r>
          <w:rPr>
            <w:rStyle w:val="Hyperlink"/>
          </w:rPr>
          <w:t xml:space="preserve">[6]</w:t>
        </w:r>
      </w:hyperlink>
      <w:r>
        <w:t xml:space="preserve">. The governance challenge is to connect those insights without letting the first workable pathway become the only legitimate one.</w:t>
      </w:r>
    </w:p>
    <w:p>
      <w:pPr>
        <w:pStyle w:val="BodyText"/>
        <w:spacing w:line="480" w:lineRule="auto"/>
        <w:ind w:firstLine="720"/>
      </w:pPr>
      <w:r>
        <w:t xml:space="preserve">The empirical results place the window precisely. The conversation is active and cross-community, which the precise recency and venue structure says. The conversation has not consolidated into settled attention, which the weak citation record says. A window is exactly the gap between those two conditions, and the split verdict of the previous chapter is what gives the window-framing its evidentiary basis rather than leaving it a rhetorical flourish.</w:t>
      </w:r>
    </w:p>
    <w:bookmarkEnd w:id="142"/>
    <w:bookmarkStart w:id="143" w:name="implication-one-modular-standards"/>
    <w:p>
      <w:pPr>
        <w:pStyle w:val="Heading2"/>
        <w:spacing w:line="480" w:lineRule="auto"/>
      </w:pPr>
      <w:r>
        <w:t xml:space="preserve">Implication one: modular standards</w:t>
      </w:r>
    </w:p>
    <w:p>
      <w:pPr>
        <w:pStyle w:val="FirstParagraph"/>
        <w:spacing w:line="480" w:lineRule="auto"/>
      </w:pPr>
      <w:r>
        <w:t xml:space="preserve">Standards should be modular. A modular standard separates interface requirements from propellant mandates wherever they can be separated. Transfer safety, data fields, contamination controls, measurement units, inspection routines, emergency procedures: all of them a modular standard can specify without demanding one chemical pathway from every user. This matters because different mission classes may favor different propellant choices. Surface construction, orbital transfer, power storage, crewed logistics, robotic cargo: no single optimum may serve them all, and the integration literature shows how many downstream systems inherit whatever choice is made</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What modularity reduces is the risk that early adopters impose their architecture on later entrants. Standardize the couplings that must be shared while leaving the chemistry open, and a modular approach captures the coordination benefits of a standard without paying its foreclosure cost. It is the institutional analog of the interface-dependence mechanism from the theory chapter, turned from a hazard into a design principle.</w:t>
      </w:r>
    </w:p>
    <w:bookmarkEnd w:id="143"/>
    <w:bookmarkStart w:id="144" w:name="implication-two-evidence-preservation"/>
    <w:p>
      <w:pPr>
        <w:pStyle w:val="Heading2"/>
        <w:spacing w:line="480" w:lineRule="auto"/>
      </w:pPr>
      <w:r>
        <w:t xml:space="preserve">Implication two: evidence preservation</w:t>
      </w:r>
    </w:p>
    <w:p>
      <w:pPr>
        <w:pStyle w:val="FirstParagraph"/>
        <w:spacing w:line="480" w:lineRule="auto"/>
      </w:pPr>
      <w:r>
        <w:t xml:space="preserve">Governance should require evidence preservation. Every demonstration touching lunar propellant infrastructure should yield reusable data on storage losses, transfer efficiency, contamination, failure modes, power demand, handling constraints, and interface performance. How central observability is in cislunar operations, where keeping track of objects is already hard, is what the corpus shows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and that lesson should carry from object tracking over to infrastructure learning.</w:t>
      </w:r>
    </w:p>
    <w:p>
      <w:pPr>
        <w:pStyle w:val="BodyText"/>
        <w:spacing w:line="480" w:lineRule="auto"/>
        <w:ind w:firstLine="720"/>
      </w:pPr>
      <w:r>
        <w:t xml:space="preserve">Specific are the stakes here. Let early missions generate private knowledge that never gets shared, and lock-in can arrive through information asymmetry as surely as through hardware. An operator who alone grasps how a propellant architecture behaves under real conditions holds an advantage that compounds, and later entrants meet not only interface costs but an evidence deficit. Require demonstrations to feed a shared evidence base and you attack the learning-concentration mechanism at its root, before proprietary experience hardens into an insurmountable head start.</w:t>
      </w:r>
    </w:p>
    <w:bookmarkEnd w:id="144"/>
    <w:bookmarkStart w:id="145" w:name="X0cc6cd26cb1870c84bd853617e6466490882722"/>
    <w:p>
      <w:pPr>
        <w:pStyle w:val="Heading2"/>
        <w:spacing w:line="480" w:lineRule="auto"/>
      </w:pPr>
      <w:r>
        <w:t xml:space="preserve">Implication three: coordinate traffic management with propellant standards</w:t>
      </w:r>
    </w:p>
    <w:p>
      <w:pPr>
        <w:pStyle w:val="FirstParagraph"/>
        <w:spacing w:line="480" w:lineRule="auto"/>
      </w:pPr>
      <w:r>
        <w:t xml:space="preserve">Coordinated early is what traffic management and propellant standards should be, since propellant logistics shape dwell points, maneuver frequency, transfer locations, and servicing nodes. Why those operational patterns matter is what debris and fragmentation studies show, a mishap at a concentrated node throwing off persistent hazards</w:t>
      </w:r>
      <w:r>
        <w:t xml:space="preserve"> </w:t>
      </w:r>
      <w:hyperlink w:anchor="ref-7">
        <w:r>
          <w:rPr>
            <w:rStyle w:val="Hyperlink"/>
          </w:rPr>
          <w:t xml:space="preserve">[7]</w:t>
        </w:r>
      </w:hyperlink>
      <w:r>
        <w:t xml:space="preserve"> </w:t>
      </w:r>
      <w:hyperlink w:anchor="ref-8">
        <w:r>
          <w:rPr>
            <w:rStyle w:val="Hyperlink"/>
          </w:rPr>
          <w:t xml:space="preserve">[8]</w:t>
        </w:r>
      </w:hyperlink>
      <w:r>
        <w:t xml:space="preserve">. Encourage concentration around particular nodes and a standard may deliver safety benefits through predictability, and it may also breed congestion and single points of failure.</w:t>
      </w:r>
    </w:p>
    <w:p>
      <w:pPr>
        <w:pStyle w:val="BodyText"/>
        <w:spacing w:line="480" w:lineRule="auto"/>
        <w:ind w:firstLine="720"/>
      </w:pPr>
      <w:r>
        <w:t xml:space="preserve">Lunar traffic management work should therefore weigh propellant infrastructure as part of the operating environment rather than as a separate industrial question</w:t>
      </w:r>
      <w:r>
        <w:t xml:space="preserve"> </w:t>
      </w:r>
      <w:hyperlink w:anchor="ref-6">
        <w:r>
          <w:rPr>
            <w:rStyle w:val="Hyperlink"/>
          </w:rPr>
          <w:t xml:space="preserve">[6]</w:t>
        </w:r>
      </w:hyperlink>
      <w:r>
        <w:t xml:space="preserve">. Directly from the hazard-coupling mechanism this implication follows. Because a propellant standard redistributes operational risk through the traffic patterns it encourages, the body that governs traffic and the body that sets propellant interfaces cannot decide in isolation without one externalizing costs onto the other.</w:t>
      </w:r>
    </w:p>
    <w:bookmarkEnd w:id="145"/>
    <w:bookmarkStart w:id="146" w:name="X48a9208e81a6e075456ef32fcfcc1dcf9fb508c"/>
    <w:p>
      <w:pPr>
        <w:pStyle w:val="Heading2"/>
        <w:spacing w:line="480" w:lineRule="auto"/>
      </w:pPr>
      <w:r>
        <w:t xml:space="preserve">Implication four: procurement without premature exclusivity</w:t>
      </w:r>
    </w:p>
    <w:p>
      <w:pPr>
        <w:pStyle w:val="FirstParagraph"/>
        <w:spacing w:line="480" w:lineRule="auto"/>
      </w:pPr>
      <w:r>
        <w:t xml:space="preserve">Premature exclusivity is what procurement should avoid, since public agencies often create de facto standards through buying behavior before formal standards bodies act. Let early solicitations demand a particular propellant architecture without clear justification, and they can generate increasing returns that private actors then rationally follow, the standard consolidating not because it is best but because it was bought first. Interoperability is something procurement can still promote, by requiring open interfaces, test data, contingency procedures, and compatibility plans.</w:t>
      </w:r>
    </w:p>
    <w:p>
      <w:pPr>
        <w:pStyle w:val="BodyText"/>
        <w:spacing w:line="480" w:lineRule="auto"/>
        <w:ind w:firstLine="720"/>
      </w:pPr>
      <w:r>
        <w:t xml:space="preserve">The operative distinction is interoperability versus exclusivity. The two pull in opposite directions. Interoperability requirements preserve a contestable market by making sure multiple architectures can share infrastructure. What exclusivity requirements do, even unintended ones, is foreclose that market by making one architecture the price of participation. This implication is where the governance-translation mechanism turns most actionable, since procurement language is the earliest and most concrete channel through which technical convenience becomes institutional rule.</w:t>
      </w:r>
    </w:p>
    <w:bookmarkEnd w:id="146"/>
    <w:bookmarkStart w:id="147" w:name="X4c2e448c326fc8262e766cf3939979b1f7f56c1"/>
    <w:p>
      <w:pPr>
        <w:pStyle w:val="Heading2"/>
        <w:spacing w:line="480" w:lineRule="auto"/>
      </w:pPr>
      <w:r>
        <w:t xml:space="preserve">Implication five: scheduled review and legitimacy</w:t>
      </w:r>
    </w:p>
    <w:p>
      <w:pPr>
        <w:pStyle w:val="FirstParagraph"/>
        <w:spacing w:line="480" w:lineRule="auto"/>
      </w:pPr>
      <w:r>
        <w:t xml:space="preserve">Scheduled review is what standards governance should include. Treat a lunar propellant standard adopted in the first decade of sustained activity as a constitutional settlement, and you have overreached. It should carry review triggers keyed to mission volume, accident history, resource verification, demonstration results, and traffic density. Directly the empirical results fit this approach, since the corpus shows emerging structure while the citation model shows no settled learning, so a standard set now is set under acknowledged uncertainty and should stay revisable as that uncertainty resolves.</w:t>
      </w:r>
    </w:p>
    <w:p>
      <w:pPr>
        <w:pStyle w:val="BodyText"/>
        <w:spacing w:line="480" w:lineRule="auto"/>
        <w:ind w:firstLine="720"/>
      </w:pPr>
      <w:r>
        <w:t xml:space="preserve">Institutional legitimacy is something these findings also speak to. Government agencies, commercial operators, international partners, standards organizations, scientific communities, defense-adjacent awareness systems: lunar infrastructure will involve all of them. Adopt a propellant standard through a narrow group and it may bring technical speed and weak legitimacy; make one too broad and vague and it may bring legitimacy without operational value. A staged process is what the governance task calls for: provisional compatibility rules now, evidence collection during demonstrations, stronger standards only after operational learning has accumulated. Reversible coordination rather than permanent closure is the objective, since some convergence is necessary for markets to form while premature closure destroys the pluralism early experimentation needs.</w:t>
      </w:r>
    </w:p>
    <w:bookmarkEnd w:id="147"/>
    <w:bookmarkStart w:id="148" w:name="X5568c126dffedd1cad337ba4db574e5f660af50"/>
    <w:p>
      <w:pPr>
        <w:pStyle w:val="Heading2"/>
        <w:spacing w:line="480" w:lineRule="auto"/>
      </w:pPr>
      <w:r>
        <w:t xml:space="preserve">Threats to validity and what the data cannot show</w:t>
      </w:r>
    </w:p>
    <w:p>
      <w:pPr>
        <w:pStyle w:val="FirstParagraph"/>
        <w:spacing w:line="480" w:lineRule="auto"/>
      </w:pPr>
      <w:r>
        <w:t xml:space="preserve">On a bounded empirical base these implications rest, and honesty requires naming what could undo them. Corpus construction is the first threat. A document set retrieved around cislunar and lunar infrastructure holds related language by design. So some of the recency and venue structure the model detects may reflect how the corpus was assembled rather than an external trend, and no amount of careful estimation can fully separate the two. The dissertation cannot rule this out; it can only read the models as corpus screens rather than as measures of prevalence in the wider literature.</w:t>
      </w:r>
    </w:p>
    <w:p>
      <w:pPr>
        <w:pStyle w:val="BodyText"/>
        <w:spacing w:line="480" w:lineRule="auto"/>
        <w:ind w:firstLine="720"/>
      </w:pPr>
      <w:r>
        <w:t xml:space="preserve">Measurement is the second threat. The signal score registers topical proximity, not stance or adoption, so a strongly signaled corpus is no corpus of standards endorsements. Ordinal and blunt is the venue coding, and sparse and probably undercounting attention that flows through operational channels is the citation field. These limits mean the venue and recency coefficients describe the corpus as measured, and the negative citation coefficient reflects a thin and skewed citation record rather than a settled finding about attention.</w:t>
      </w:r>
    </w:p>
    <w:p>
      <w:pPr>
        <w:pStyle w:val="BodyText"/>
        <w:spacing w:line="480" w:lineRule="auto"/>
        <w:ind w:firstLine="720"/>
      </w:pPr>
      <w:r>
        <w:t xml:space="preserve">What the design cannot show at all is the third and deepest limit. That any actor has adopted a propellant standard, that foreclosure has occurred, that a causal path runs from early choice to market closure: none of these can it establish. There is no treatment, no counterfactual, no mission-level data on interfaces, procurement, or operations. So the dissertation claims no completed lock-in. What it claims is that the documentary record already carries the structure an approaching standards window would generate, which is enough to justify the governance posture above and short of what any stronger institutional commitment would need.</w:t>
      </w:r>
    </w:p>
    <w:bookmarkEnd w:id="148"/>
    <w:bookmarkStart w:id="149" w:name="sequencing-the-five-implications"/>
    <w:p>
      <w:pPr>
        <w:pStyle w:val="Heading2"/>
        <w:spacing w:line="480" w:lineRule="auto"/>
      </w:pPr>
      <w:r>
        <w:t xml:space="preserve">Sequencing the five implications</w:t>
      </w:r>
    </w:p>
    <w:p>
      <w:pPr>
        <w:pStyle w:val="FirstParagraph"/>
        <w:spacing w:line="480" w:lineRule="auto"/>
      </w:pPr>
      <w:r>
        <w:t xml:space="preserve">A menu from which a governance body picks one the five implications are not. They form a sequence keyed to the four mechanisms, and their value depends on being adopted early and together. Modular standards and procurement discipline strike interface dependence and governance translation at the front of the sequence, while interfaces and solicitations are still being written and switching costs are low. Evidence preservation strikes learning concentration in the middle, while operational knowledge is still being generated and can still be made public. Traffic-management coordination strikes hazard coupling as soon as dwell points and transfer nodes begin to form. Scheduled review sits across all four, holding the standard revisable while the other measures do their work.</w:t>
      </w:r>
    </w:p>
    <w:p>
      <w:pPr>
        <w:pStyle w:val="BodyText"/>
        <w:spacing w:line="480" w:lineRule="auto"/>
        <w:ind w:firstLine="720"/>
      </w:pPr>
      <w:r>
        <w:t xml:space="preserve">Sequencing matters because the mechanisms compound, as the theory chapter argued. Adopt only scheduled review while permitting exclusive procurement and private demonstration data, and a governance body would find that by the first scheduled review the compounding had already driven switching costs beyond the reach of revision. The implications are cheap now and expensive later. That is the practical corollary of the finding that the field sits in a design window rather than in a consolidated state. Act on one implication without the others and you leave an open channel through which foreclosure can still proceed.</w:t>
      </w:r>
    </w:p>
    <w:bookmarkEnd w:id="149"/>
    <w:bookmarkStart w:id="150" w:name="Xf85c818f7494ec962b8203cb342a0ea8ea703d8"/>
    <w:p>
      <w:pPr>
        <w:pStyle w:val="Heading2"/>
        <w:spacing w:line="480" w:lineRule="auto"/>
      </w:pPr>
      <w:r>
        <w:t xml:space="preserve">Distinguishing the claim from adjacent claims</w:t>
      </w:r>
    </w:p>
    <w:p>
      <w:pPr>
        <w:pStyle w:val="FirstParagraph"/>
        <w:spacing w:line="480" w:lineRule="auto"/>
      </w:pPr>
      <w:r>
        <w:t xml:space="preserve">Stating plainly what the dissertation is not claiming is worth the space, because a design-stage argument is easily overread. It does not claim a particular propellant, water-derived or otherwise, is technically inferior or superior; on chemistry the estimator is silent. It does not claim any agency or firm has committed to a standard; adoption data the corpus holds none. It does not claim foreclosure is inevitable; the whole point of naming a design window is that the outcome stays open. And it does not claim the retrieved corpus represents the global literature; a candidate-specific probe is what the corpus is, not a census.</w:t>
      </w:r>
    </w:p>
    <w:p>
      <w:pPr>
        <w:pStyle w:val="BodyText"/>
        <w:spacing w:line="480" w:lineRule="auto"/>
        <w:ind w:firstLine="720"/>
      </w:pPr>
      <w:r>
        <w:t xml:space="preserve">What it does claim is bounded and defensible: the retrieved record shows the temporal and cross-community structure that precedes foreclosure, the citation record shows consolidation has not yet occurred, and together these justify preserving optionality now rather than later. Keeping the claim this precise is what lets the governance implications stay actionable without overreaching. A reader who accepts the estimator output is asked to accept only that the field is organizing, not that any specific institutional outcome has been settled</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50"/>
    <w:bookmarkStart w:id="151" w:name="what-would-change-the-verdict"/>
    <w:p>
      <w:pPr>
        <w:pStyle w:val="Heading2"/>
        <w:spacing w:line="480" w:lineRule="auto"/>
      </w:pPr>
      <w:r>
        <w:t xml:space="preserve">What would change the verdict</w:t>
      </w:r>
    </w:p>
    <w:p>
      <w:pPr>
        <w:pStyle w:val="FirstParagraph"/>
        <w:spacing w:line="480" w:lineRule="auto"/>
      </w:pPr>
      <w:r>
        <w:t xml:space="preserve">Because the design is falsifiable, it is possible to say what evidence would overturn its reading. Mission-level data showing early solicitations already mandate a single propellant architecture would move the finding from design window to active foreclosure and would strengthen, not weaken, the case for intervention. On the other side, evidence that multiple propellant architectures are being demonstrated, procured, and certified in parallel, with shared interfaces and open data, would suggest reversible coordination is already the norm and formal intervention unnecessary. Either finding would refine the governance posture, and both require the mission-level instruments the present design deliberately forgoes.</w:t>
      </w:r>
    </w:p>
    <w:p>
      <w:pPr>
        <w:pStyle w:val="BodyText"/>
        <w:spacing w:line="480" w:lineRule="auto"/>
        <w:ind w:firstLine="720"/>
      </w:pPr>
      <w:r>
        <w:t xml:space="preserve">A third possibility is that a richer bibliometric study over a broader corpus fails to reproduce the recency and venue structure found here, which would suggest the structure is an artifact of candidate-specific retrieval rather than a real trend. This the dissertation cannot rule out, and it names replication over an independently constructed corpus as the most immediate test of its central finding. Naming the conditions under which the verdict would change is the final discipline a design-stage argument owes its reader.</w:t>
      </w:r>
    </w:p>
    <w:bookmarkEnd w:id="151"/>
    <w:bookmarkStart w:id="152" w:name="the-cost-of-getting-the-timing-wrong"/>
    <w:p>
      <w:pPr>
        <w:pStyle w:val="Heading2"/>
        <w:spacing w:line="480" w:lineRule="auto"/>
      </w:pPr>
      <w:r>
        <w:t xml:space="preserve">The cost of getting the timing wrong</w:t>
      </w:r>
    </w:p>
    <w:p>
      <w:pPr>
        <w:pStyle w:val="FirstParagraph"/>
        <w:spacing w:line="480" w:lineRule="auto"/>
      </w:pPr>
      <w:r>
        <w:t xml:space="preserve">The discussion so far has treated the design window as an opportunity, yet the cost of missing it is worth dwelling on, because that cost is asymmetric. Act too early with a rigid propellant mandate and the loss is foregone experimentation: mission classes that might have favored different chemistries get pushed onto one architecture before their needs differentiate, and the field never learns what the alternatives could have offered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Act too late and the loss is foregone reversibility: by the time citation attention, procurement language, and operational routines have visibly converged, the four mechanisms will have compounded switching costs beyond the reach of ordinary revision. Symmetric in their remedies the two errors are not, since a premature standard can in principle be relaxed while a matured foreclosure resists even well-designed relaxation.</w:t>
      </w:r>
    </w:p>
    <w:p>
      <w:pPr>
        <w:pStyle w:val="BodyText"/>
        <w:spacing w:line="480" w:lineRule="auto"/>
        <w:ind w:firstLine="720"/>
      </w:pPr>
      <w:r>
        <w:t xml:space="preserve">Toward the second error as the more dangerous in the lunar case the evidence points. A conversation intensifying and crossing communities, the leading edge of consolidation, is what the recency and venue structure show, while consolidation not yet completed is what the weak citation record shows. That configuration puts the field closer to the late-action risk than to the early-action risk, so the governance posture should lean toward preserving optionality now rather than waiting for cleaner evidence. Waiting for the learning curve to strengthen would mean waiting until the window has begun to close.</w:t>
      </w:r>
    </w:p>
    <w:bookmarkEnd w:id="152"/>
    <w:bookmarkStart w:id="153" w:name="Xea7255807d37c138f17850b49c41785ecad4515"/>
    <w:p>
      <w:pPr>
        <w:pStyle w:val="Heading2"/>
        <w:spacing w:line="480" w:lineRule="auto"/>
      </w:pPr>
      <w:r>
        <w:t xml:space="preserve">Governance under acknowledged uncertainty</w:t>
      </w:r>
    </w:p>
    <w:p>
      <w:pPr>
        <w:pStyle w:val="FirstParagraph"/>
        <w:spacing w:line="480" w:lineRule="auto"/>
      </w:pPr>
      <w:r>
        <w:t xml:space="preserve">This deepest implication is procedural rather than substantive. The evidence is suggestive but incomplete, so governance has to be built to act under acknowledged uncertainty rather than to wait for a certainty a sparse, early field cannot supply. That is what the five implications collectively achieve. Choice without a bet on which chemistry is best is what modularity and non-exclusive procurement preserve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The very data that would resolve the uncertainty is what evidence preservation and traffic coordination generate, so that later decisions rest on more than metadata</w:t>
      </w:r>
      <w:r>
        <w:t xml:space="preserve"> </w:t>
      </w:r>
      <w:hyperlink w:anchor="ref-2">
        <w:r>
          <w:rPr>
            <w:rStyle w:val="Hyperlink"/>
          </w:rPr>
          <w:t xml:space="preserve">[2]</w:t>
        </w:r>
      </w:hyperlink>
      <w:r>
        <w:t xml:space="preserve"> </w:t>
      </w:r>
      <w:hyperlink w:anchor="ref-6">
        <w:r>
          <w:rPr>
            <w:rStyle w:val="Hyperlink"/>
          </w:rPr>
          <w:t xml:space="preserve">[6]</w:t>
        </w:r>
      </w:hyperlink>
      <w:r>
        <w:t xml:space="preserve">. Every early choice to a revision trigger is what scheduled review binds, so that acting under uncertainty does not become acting irreversibly.</w:t>
      </w:r>
    </w:p>
    <w:bookmarkEnd w:id="153"/>
    <w:bookmarkStart w:id="154" w:name="Xcc45b0011fd1003c5442176a2d7bf346dfb8234"/>
    <w:p>
      <w:pPr>
        <w:pStyle w:val="Heading2"/>
        <w:spacing w:line="480" w:lineRule="auto"/>
      </w:pPr>
      <w:r>
        <w:t xml:space="preserve">The interoperability-versus-exclusivity distinction as the operative test</w:t>
      </w:r>
    </w:p>
    <w:p>
      <w:pPr>
        <w:pStyle w:val="FirstParagraph"/>
        <w:spacing w:line="480" w:lineRule="auto"/>
      </w:pPr>
      <w:r>
        <w:t xml:space="preserve">Could a governance body carry only one distinction from this analysis, it should be the line between interoperability and exclusivity. The couplings that must be shared, the transfer safety, data fields, contamination controls, and inspection routines, are what interoperability requirements standardize, while they leave the propellant chemistry open to competition</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One architecture the price of participation is what exclusivity requirements make, whether written deliberately or slipped accidentally into a solicitation, thereby turning a technical convenience into a market boundary. On paper the two can look alike, yet one preserves contestability while the other forecloses it, and the difference is where the entire governance argument turns.</w:t>
      </w:r>
    </w:p>
    <w:p>
      <w:pPr>
        <w:pStyle w:val="BodyText"/>
        <w:spacing w:line="480" w:lineRule="auto"/>
        <w:ind w:firstLine="720"/>
      </w:pPr>
      <w:r>
        <w:t xml:space="preserve">The distinction is also the most testable prediction the discussion offers for future mission-level work. With access to solicitation language and interface control documents, a study could code each requirement as interoperability-preserving or exclusivity-creating and could track how the balance shifts across successive procurement rounds. A drift toward exclusivity would be direct evidence that governance translation is converting early technical choices into foreclosure, which is the mechanism the present corpus can only flag indirectly through recency and venue structure</w:t>
      </w:r>
      <w:r>
        <w:t xml:space="preserve"> </w:t>
      </w:r>
      <w:hyperlink w:anchor="ref-6">
        <w:r>
          <w:rPr>
            <w:rStyle w:val="Hyperlink"/>
          </w:rPr>
          <w:t xml:space="preserve">[6]</w:t>
        </w:r>
      </w:hyperlink>
      <w:r>
        <w:t xml:space="preserve">. So the distinction does double duty, guiding action now and defining the measurement that would confirm or refute the foreclosure concern later.</w:t>
      </w:r>
    </w:p>
    <w:p>
      <w:pPr>
        <w:pStyle w:val="BodyText"/>
        <w:spacing w:line="480" w:lineRule="auto"/>
        <w:ind w:firstLine="720"/>
      </w:pPr>
      <w:r>
        <w:t xml:space="preserve">The honest response to a design-stage finding is this procedural stance. Which propellant to standardize the dissertation cannot tell a governance body, and it does not pretend to. What it can tell that body is that the field is organizing, that the moment for cheap coordination is now, and that the responsible way to act under that uncertainty is to standardize the sharable couplings, keep the contestable choices open, generate public evidence, and schedule the revisiting of every provisional rule. Because the dissertation treats the retrieved corpus as a traceable empirical record rather than a complete map of the Earth Moon system, its interpretation stays tied to observable variation in timing, venue, attention, and topic signal, and it leaves wider operational claims to designs that carry direct mission data.</w:t>
      </w:r>
    </w:p>
    <w:bookmarkEnd w:id="154"/>
    <w:bookmarkEnd w:id="155"/>
    <w:bookmarkStart w:id="196" w:name="chapter-8-conclusions-and-implications"/>
    <w:p>
      <w:pPr>
        <w:pStyle w:val="Heading1"/>
        <w:spacing w:line="480" w:lineRule="auto"/>
      </w:pPr>
      <w:r>
        <w:t xml:space="preserve">Chapter 8: Conclusions and Implications</w:t>
      </w:r>
    </w:p>
    <w:p>
      <w:pPr>
        <w:pStyle w:val="FirstParagraph"/>
        <w:spacing w:line="480" w:lineRule="auto"/>
      </w:pPr>
      <w:r>
        <w:t xml:space="preserve">Whether early lunar propellant standards could create increasing returns and foreclose later alternatives is what this dissertation set out to ask. The answer is cautious but consequential. The evidence does not prove foreclosure has occurred. What it does show is that the retrieved literature holds enough structure to make foreclosure a credible governance concern, which is a smaller claim and a more defensible one. Newer sources carry stronger topic-signal intensity. Venue family is associated with the signal. Citation accumulation by article age turns out weak and imprecise, and the field, read across all three results together, appears to be forming rather than settled</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finding matters because the weightiest standard-setting decisions often land before the evidence feels complete. Wait for mature markets, dense citation networks, and repeated operational experience, and the first generation of infrastructure may already have run up high switching costs through interface dependence and concentrated learning. Mandate a rigid standard before alternatives have been tested, and you may create the very foreclosure you meant to prevent. So the dissertation backs a middle path: preserve interoperability, require evidence, coordinate with traffic management, avoid procurement exclusivity, and schedule review.</w:t>
      </w:r>
    </w:p>
    <w:bookmarkStart w:id="156" w:name="the-empirical-contribution"/>
    <w:p>
      <w:pPr>
        <w:pStyle w:val="Heading2"/>
        <w:spacing w:line="480" w:lineRule="auto"/>
      </w:pPr>
      <w:r>
        <w:t xml:space="preserve">The empirical contribution</w:t>
      </w:r>
    </w:p>
    <w:p>
      <w:pPr>
        <w:pStyle w:val="FirstParagraph"/>
        <w:spacing w:line="480" w:lineRule="auto"/>
      </w:pPr>
      <w:r>
        <w:t xml:space="preserve">The empirical contribution is modest by design and precise in its claims. The first model, with N = 30 and R2 = 0.3506023400218983, shows recency and venue structure to be meaningful in the retrieved corpus. Positive and precise at 0.27696780621441125 with p = 4.2610544023143526e-07 is the recency coefficient, while citation attention is neither, at -0.011241368206617117 with p = 0.2718337417803546. Precise at -2.058479346884078 with p = 0.011498597491072356 is the venue coefficient, though it asks for careful interpretation because venue coding is ordinal. The second model, with R2 = 0.00840380519854056 and an imprecise age elasticity of -0.14808133802728066 at p = 0.5094737814177508, supports no strong claim about citation-based learning.</w:t>
      </w:r>
    </w:p>
    <w:p>
      <w:pPr>
        <w:pStyle w:val="BodyText"/>
        <w:spacing w:line="480" w:lineRule="auto"/>
        <w:ind w:firstLine="720"/>
      </w:pPr>
      <w:r>
        <w:t xml:space="preserve">These numbers discipline the argument rather than decorate it. They support concern about an emerging standards window, not a claim of completed institutional lock-in. The falsifiable contribution the introduction stated survives its test, since the topic signal relates systematically to recency and venue inside the retrieved corpus, and the flat-corpus null is rejected by a joint F-test at F = 11.001987667535962 with F_p = 7.590237724447738e-05. By returning a near-zero R2, the learning-curve screen keeps the argument from overreaching on citations. Reporting both outcomes intact is what makes the contribution honest.</w:t>
      </w:r>
    </w:p>
    <w:bookmarkEnd w:id="156"/>
    <w:bookmarkStart w:id="157" w:name="the-substantive-contribution"/>
    <w:p>
      <w:pPr>
        <w:pStyle w:val="Heading2"/>
        <w:spacing w:line="480" w:lineRule="auto"/>
      </w:pPr>
      <w:r>
        <w:t xml:space="preserve">The substantive contribution</w:t>
      </w:r>
    </w:p>
    <w:p>
      <w:pPr>
        <w:pStyle w:val="FirstParagraph"/>
        <w:spacing w:line="480" w:lineRule="auto"/>
      </w:pPr>
      <w:r>
        <w:t xml:space="preserve">A second contribution connects technical domains usually treated apart. Cislunar surveillance, lunar traffic management, debris risk, propulsion demonstration, mining feasibility, construction robotics, trajectory design, materials behavior: all of it bears on propellant standard setting</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 lunar propellant standard would not simply pick a fuel. It would shape interfaces, data, safety practice, infrastructure siting, operational learning, and governance authority all at once, reaching into decisions no one framed as propellant decisions. That reach is why early standards deserve institutional care even where markets stay immature.</w:t>
      </w:r>
    </w:p>
    <w:p>
      <w:pPr>
        <w:pStyle w:val="BodyText"/>
        <w:spacing w:line="480" w:lineRule="auto"/>
        <w:ind w:firstLine="720"/>
      </w:pPr>
      <w:r>
        <w:t xml:space="preserve">Auditable rather than asserted is what the dissertation’s method makes this cross-domain claim. By reducing a scattered technical literature to a structured document set and then testing that set for temporal and cross-community organization, it shows the propellant-standards problem already visible in the record the separate technical communities are generating. Why that visibility should worry a governance designer is what the four-mechanism framework then explains, since interface dependence, learning concentration, governance translation, and hazard coupling each turn an early technical choice into a later institutional commitment.</w:t>
      </w:r>
    </w:p>
    <w:bookmarkEnd w:id="157"/>
    <w:bookmarkStart w:id="158" w:name="governance-and-program-relevance"/>
    <w:p>
      <w:pPr>
        <w:pStyle w:val="Heading2"/>
        <w:spacing w:line="480" w:lineRule="auto"/>
      </w:pPr>
      <w:r>
        <w:t xml:space="preserve">Governance and program relevance</w:t>
      </w:r>
    </w:p>
    <w:p>
      <w:pPr>
        <w:pStyle w:val="FirstParagraph"/>
        <w:spacing w:line="480" w:lineRule="auto"/>
      </w:pPr>
      <w:r>
        <w:t xml:space="preserve">For program and governance audiences the recommendation is practical. Which propellant architecture should win is not where agencies and standards bodies should begin. They should ask which decisions must be standardized now to permit safe interoperability, which should stay open, what evidence each demonstration must contribute, and when provisional rules should be revisited. That sequence cuts avoidable incompatibility while preserving technological pluralism, and it treats standard setting as adaptive governance rather than a one-time act of closure.</w:t>
      </w:r>
    </w:p>
    <w:p>
      <w:pPr>
        <w:pStyle w:val="BodyText"/>
        <w:spacing w:line="480" w:lineRule="auto"/>
        <w:ind w:firstLine="720"/>
      </w:pPr>
      <w:r>
        <w:t xml:space="preserve">The relevance is immediate for the institutions now shaping cislunar activity. Procurement offices write the earliest de facto standards through their solicitations, so requiring open interfaces and shared test data in those solicitations is the single most actionable step available. Traffic management architects, already framing lunar growth as a coordination problem, should fold propellant infrastructure into their operating-environment models rather than treat it as a separate industrial track</w:t>
      </w:r>
      <w:r>
        <w:t xml:space="preserve"> </w:t>
      </w:r>
      <w:hyperlink w:anchor="ref-6">
        <w:r>
          <w:rPr>
            <w:rStyle w:val="Hyperlink"/>
          </w:rPr>
          <w:t xml:space="preserve">[6]</w:t>
        </w:r>
      </w:hyperlink>
      <w:r>
        <w:t xml:space="preserve">. Safety authorities should require demonstrations to preserve reusable performance data, so that learning does not consolidate as private advantage. None of these steps commits the enterprise to a propellant chemistry, and each keeps alive the reversibility the evidence says is still available.</w:t>
      </w:r>
    </w:p>
    <w:bookmarkEnd w:id="158"/>
    <w:bookmarkStart w:id="159" w:name="restating-the-falsifiable-result-plainly"/>
    <w:p>
      <w:pPr>
        <w:pStyle w:val="Heading2"/>
        <w:spacing w:line="480" w:lineRule="auto"/>
      </w:pPr>
      <w:r>
        <w:t xml:space="preserve">Restating the falsifiable result plainly</w:t>
      </w:r>
    </w:p>
    <w:p>
      <w:pPr>
        <w:pStyle w:val="FirstParagraph"/>
        <w:spacing w:line="480" w:lineRule="auto"/>
      </w:pPr>
      <w:r>
        <w:t xml:space="preserve">At the center of the dissertation is one result that either held or did not, and it held. At F_p = 7.590237724447738e-05 the first model rejected the flat-corpus null, with a precise positive recency coefficient of 0.27696780621441125 and a precise negative venue coefficient of -2.058479346884078. Structured is the topic signal, and structured in time and across communities. That is the falsifiable contribution, and it survived a test built to be capable of failing. Had the F-test failed to reject, or had recency and venue both come back imprecise, the dissertation would have reported a null and concluded that the foreclosure concern was premature even as a design-stage worry.</w:t>
      </w:r>
    </w:p>
    <w:p>
      <w:pPr>
        <w:pStyle w:val="BodyText"/>
        <w:spacing w:line="480" w:lineRule="auto"/>
        <w:ind w:firstLine="720"/>
      </w:pPr>
      <w:r>
        <w:t xml:space="preserve">The opposite result is what the learning-curve screen returned, and reporting it is part of the same integrity. With R2 = 0.00840380519854056 and an age elasticity of -0.14808133802728066 that is not significant, the second model shows no consolidated attention. That null the dissertation does not bury; it uses it to bound the claim. More informative than either half alone is the combined result, a structured but unconsolidated corpus, because it places the field precisely at the design-window stage where reversible governance still matters and where the recommendations of this project are cheapest to adopt.</w:t>
      </w:r>
    </w:p>
    <w:bookmarkEnd w:id="159"/>
    <w:bookmarkStart w:id="160" w:name="limitations-as-a-research-agenda"/>
    <w:p>
      <w:pPr>
        <w:pStyle w:val="Heading2"/>
        <w:spacing w:line="480" w:lineRule="auto"/>
      </w:pPr>
      <w:r>
        <w:t xml:space="preserve">Limitations as a research agenda</w:t>
      </w:r>
    </w:p>
    <w:p>
      <w:pPr>
        <w:pStyle w:val="FirstParagraph"/>
        <w:spacing w:line="480" w:lineRule="auto"/>
      </w:pPr>
      <w:r>
        <w:t xml:space="preserve">These limitations point directly to future research. A stronger study would add manual document coding, interviews with standards participants, procurement analysis, technology readiness measures, mission architecture data, and international governance records. Among propellant types and mission classes it would distinguish, rather than treating propellant as a single object. How demonstration results enter solicitation language, interface control documents, safety standards, and traffic management protocols it would track, which is the governance-translation mechanism this design-stage corpus can flag but not observe.</w:t>
      </w:r>
    </w:p>
    <w:p>
      <w:pPr>
        <w:pStyle w:val="BodyText"/>
        <w:spacing w:line="480" w:lineRule="auto"/>
        <w:ind w:firstLine="720"/>
      </w:pPr>
      <w:r>
        <w:t xml:space="preserve">A fuller design would also set lunar propellant against other space infrastructure standards, to identify which lock-in mechanisms travel across domains and which are specific to propellant. Docking standards, power interfaces, data protocols: each carries its own path-dependence history, and a comparative study would sharpen the claim about which of the four mechanisms proves most decisive in the lunar case. Data the present corpus does not hold is what these extensions require, which is why the dissertation confines itself to structure in the literature and leaves causal institutional claims to designs with direct mission evidence.</w:t>
      </w:r>
    </w:p>
    <w:p>
      <w:pPr>
        <w:pStyle w:val="BodyText"/>
        <w:spacing w:line="480" w:lineRule="auto"/>
        <w:ind w:firstLine="720"/>
      </w:pPr>
      <w:r>
        <w:t xml:space="preserve">The task is not to avoid standards. Some convergence is necessary for markets to form, and interfaces, safety practices, and shared expectations cut transaction costs for everyone. The task is to build standards that help the first lunar infrastructure generation without binding the next one too tightly to its assumptions.</w:t>
      </w:r>
    </w:p>
    <w:bookmarkEnd w:id="160"/>
    <w:bookmarkStart w:id="161" w:name="methodological-contribution"/>
    <w:p>
      <w:pPr>
        <w:pStyle w:val="Heading2"/>
        <w:spacing w:line="480" w:lineRule="auto"/>
      </w:pPr>
      <w:r>
        <w:t xml:space="preserve">Methodological contribution</w:t>
      </w:r>
    </w:p>
    <w:p>
      <w:pPr>
        <w:pStyle w:val="FirstParagraph"/>
        <w:spacing w:line="480" w:lineRule="auto"/>
      </w:pPr>
      <w:r>
        <w:t xml:space="preserve">Beyond its substantive findings, the dissertation offers a transferable method for design-stage governance analysis. A scattered technical literature into an auditable test of whether a field is organizing toward a standards window is what the two-screen approach converts, pairing a signal-intensity regression with a citation learning curve. Cheap, deterministic, and reproducible is the method, and falsifiable in the sense that it can return a flat-corpus null. That combination suits it to other emerging space-infrastructure questions, where the causal instruments are not yet available and the prior question is whether the field has begun to converge at all.</w:t>
      </w:r>
    </w:p>
    <w:p>
      <w:pPr>
        <w:pStyle w:val="BodyText"/>
        <w:spacing w:line="480" w:lineRule="auto"/>
        <w:ind w:firstLine="720"/>
      </w:pPr>
      <w:r>
        <w:t xml:space="preserve">Honesty is the method’s main virtue. By reporting exact coefficients and exact p-values, and by leaning on the broadly supported recency and venue signals while declining to lean on the fragile citation signal, it models a disciplined relationship between evidence and claim. A design-stage analysis that overreached on a thirty-record sample would discredit itself; one that refused to draw any conclusion would waste the structure the data does contain. The defensible middle is what the two-screen method finds, and that posture is itself worth carrying to adjacent problems in lunar power interfaces, data protocols, and docking standards.</w:t>
      </w:r>
    </w:p>
    <w:bookmarkEnd w:id="161"/>
    <w:bookmarkStart w:id="162" w:name="the-broader-lesson-about-lock-in"/>
    <w:p>
      <w:pPr>
        <w:pStyle w:val="Heading2"/>
        <w:spacing w:line="480" w:lineRule="auto"/>
      </w:pPr>
      <w:r>
        <w:t xml:space="preserve">The broader lesson about lock-in</w:t>
      </w:r>
    </w:p>
    <w:p>
      <w:pPr>
        <w:pStyle w:val="FirstParagraph"/>
        <w:spacing w:line="480" w:lineRule="auto"/>
      </w:pPr>
      <w:r>
        <w:t xml:space="preserve">That lock-in is not uniformly a harm to be prevented is the dissertation’s deepest lesson. Convergence lowers transaction costs, enables interoperability, and lets a market form at all, so some measure of standardization is a precondition for a functioning lunar economy rather than a threat to it. Standardization is not the danger. The danger is confusing useful coordination with permanent closure, and treating a first provisional rule as though it were a final constitutional settlement. Treat every standard as suspect and a governance regime forfeits the coordination gains early infrastructure needs; treat its first standard as final and the same regime forfeits the pluralism later innovation needs.</w:t>
      </w:r>
    </w:p>
    <w:p>
      <w:pPr>
        <w:pStyle w:val="BodyText"/>
        <w:spacing w:line="480" w:lineRule="auto"/>
        <w:ind w:firstLine="720"/>
      </w:pPr>
      <w:r>
        <w:t xml:space="preserve">Reversible coordination is the resolution the evidence supports, neither closure nor laissez-faire. Standardize the couplings that must be shared, keep the chemistry open, require demonstrations to contribute public evidence, coordinate propellant infrastructure with traffic management, keep procurement non-exclusive, and schedule review against explicit triggers. A coordination benefit is what each measure captures, while it attacks one of the four foreclosure mechanisms, and together they let the first infrastructure generation build without mortgaging the second. That balance, not the avoidance of standards, is the practical import of a design-window finding.</w:t>
      </w:r>
    </w:p>
    <w:bookmarkEnd w:id="162"/>
    <w:bookmarkStart w:id="163" w:name="X973d8c51c8244bef73377fc4064272d5c22f4db"/>
    <w:p>
      <w:pPr>
        <w:pStyle w:val="Heading2"/>
        <w:spacing w:line="480" w:lineRule="auto"/>
      </w:pPr>
      <w:r>
        <w:t xml:space="preserve">Relevance to specific institutional actors</w:t>
      </w:r>
    </w:p>
    <w:p>
      <w:pPr>
        <w:pStyle w:val="FirstParagraph"/>
        <w:spacing w:line="480" w:lineRule="auto"/>
      </w:pPr>
      <w:r>
        <w:t xml:space="preserve">Onto identifiable institutional roles these findings map. For a civil space agency the actionable step is to write interoperability rather than exclusivity into early lunar logistics solicitations, so that its buying power promotes a contestable market rather than an accidental monopoly. Because agencies are frequently the first movers whose procurement language becomes a de facto standard, the governance-translation mechanism runs most directly through their contracts. Requiring open interfaces, contingency procedures, and reusable test data in those contracts is the single highest-leverage intervention the evidence supports, and it costs little while interfaces are still being defined.</w:t>
      </w:r>
    </w:p>
    <w:p>
      <w:pPr>
        <w:pStyle w:val="BodyText"/>
        <w:spacing w:line="480" w:lineRule="auto"/>
        <w:ind w:firstLine="720"/>
      </w:pPr>
      <w:r>
        <w:t xml:space="preserve">For a standards organization the relevant step is to split the interface layer from the propellant layer explicitly, publishing transfer, contamination, and safety specifications any chemistry can meet rather than blessing a single architecture. For a traffic-management authority the step is to fold propellant infrastructure into the operating-environment model, so that dwell points and transfer nodes are weighed for congestion and hazard before they concentrate</w:t>
      </w:r>
      <w:r>
        <w:t xml:space="preserve"> </w:t>
      </w:r>
      <w:hyperlink w:anchor="ref-6">
        <w:r>
          <w:rPr>
            <w:rStyle w:val="Hyperlink"/>
          </w:rPr>
          <w:t xml:space="preserve">[6]</w:t>
        </w:r>
      </w:hyperlink>
      <w:r>
        <w:t xml:space="preserve"> </w:t>
      </w:r>
      <w:hyperlink w:anchor="ref-7">
        <w:r>
          <w:rPr>
            <w:rStyle w:val="Hyperlink"/>
          </w:rPr>
          <w:t xml:space="preserve">[7]</w:t>
        </w:r>
      </w:hyperlink>
      <w:r>
        <w:t xml:space="preserve">. For an international partner the step is to insist on reversible coordination as a condition of participation, since a standard adopted by a narrow group carries weak legitimacy and one imposed too broadly carries little operational value. A distinct entry point into the same design window is what each role has, and the window stays open only for as long as the compounding mechanisms remain uncoupled.</w:t>
      </w:r>
    </w:p>
    <w:p>
      <w:pPr>
        <w:pStyle w:val="BodyText"/>
        <w:spacing w:line="480" w:lineRule="auto"/>
        <w:ind w:firstLine="720"/>
      </w:pPr>
      <w:r>
        <w:t xml:space="preserve">For a commercial operator the incentive structure runs subtler but no less real. A firm that moves first has a private incentive to consolidate its architecture, yet the same firm carries the systemic risk of a fragile, single-node logistics regime and the reputational cost of a foreclosure that later invites regulatory reversal. What evidence-preservation requirements and non-exclusive procurement do is align the private incentive with the public interest, by ensuring first-mover advantage does not rest on withheld knowledge. So the governance posture is not adversarial to commercial actors; it is a structure within which early movers can lead without foreclosing the market they are trying to build.</w:t>
      </w:r>
    </w:p>
    <w:bookmarkEnd w:id="163"/>
    <w:bookmarkStart w:id="164" w:name="X534a2d4c4a96c709d1d490df8b6bd6c29e5fbc4"/>
    <w:p>
      <w:pPr>
        <w:pStyle w:val="Heading2"/>
        <w:spacing w:line="480" w:lineRule="auto"/>
      </w:pPr>
      <w:r>
        <w:t xml:space="preserve">Situating the contribution in the wider debate</w:t>
      </w:r>
    </w:p>
    <w:p>
      <w:pPr>
        <w:pStyle w:val="FirstParagraph"/>
        <w:spacing w:line="480" w:lineRule="auto"/>
      </w:pPr>
      <w:r>
        <w:t xml:space="preserve">To a debate larger than lunar propellant this contribution also speaks: how to govern emerging infrastructure before markets exist to discipline it. The prevailing instinct in fast-moving technical fields is to let standards emerge from practice and to step in only once problems appear. For sparse environments the findings here complicate that instinct. Where the installed base is thin and correction is slow, waiting for problems to appear means waiting until the four mechanisms have compounded and reversal has turned prohibitive</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lunar case suggests the governance timing fit for dense terrestrial markets is exactly wrong for sparse extraterrestrial ones, and that the design window shuts earlier than intuition expects.</w:t>
      </w:r>
    </w:p>
    <w:p>
      <w:pPr>
        <w:pStyle w:val="BodyText"/>
        <w:spacing w:line="480" w:lineRule="auto"/>
        <w:ind w:firstLine="720"/>
      </w:pPr>
      <w:r>
        <w:t xml:space="preserve">Beyond propellant this reframing applies. Any lunar infrastructure decision with strong interface dependence, concentrated learning, governance uptake, and hazard coupling will show the same asymmetry between early and late action. Power interfaces, data protocols, docking standards: each plausibly shares that structure, which is why the methodological and substantive contributions travel together. The two-screen method can detect the leading edge of a standards window in any of those domains, and the reversible-coordination posture prescribes how to act once the edge is detected. So the dissertation’s small empirical result anchors a general argument about the tempo of extraterrestrial governance.</w:t>
      </w:r>
    </w:p>
    <w:bookmarkEnd w:id="164"/>
    <w:bookmarkStart w:id="165" w:name="the-contribution-restated-for-a-defense"/>
    <w:p>
      <w:pPr>
        <w:pStyle w:val="Heading2"/>
        <w:spacing w:line="480" w:lineRule="auto"/>
      </w:pPr>
      <w:r>
        <w:t xml:space="preserve">The contribution restated for a defense</w:t>
      </w:r>
    </w:p>
    <w:p>
      <w:pPr>
        <w:pStyle w:val="FirstParagraph"/>
        <w:spacing w:line="480" w:lineRule="auto"/>
      </w:pPr>
      <w:r>
        <w:t xml:space="preserve">Stated for a committee, the contribution is threefold. Empirically, an auditable, deterministic test establishes that the retrieved cislunar and lunar infrastructure literature is structured by recency and venue but not consolidated in attention, which places the propellant-standards problem at a design-window stage rather than a settled one. Theoretically, four compounding mechanisms are specified, interface dependence, learning concentration, governance translation, and hazard coupling, with the argument that their convergence, not any single one, drives foreclosure in sparse infrastructure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Methodologically, a transferable two-screen probe is offered for detecting the leading edge of a standards window in emerging space-infrastructure domains where causal instruments are not yet available.</w:t>
      </w:r>
    </w:p>
    <w:p>
      <w:pPr>
        <w:pStyle w:val="BodyText"/>
        <w:spacing w:line="480" w:lineRule="auto"/>
        <w:ind w:firstLine="720"/>
      </w:pPr>
      <w:r>
        <w:t xml:space="preserve">Each contribution is bounded, and the boundaries are the point. The empirical claim does not assert adoption or causation. The theoretical claim does not assert that foreclosure has occurred. The methodological claim does not assert that a bibliometric probe replaces mission-level study. What the three assert together is that a design-stage argument about lunar propellant foreclosure is empirically credible, mechanistically specified, and methodologically reproducible, the appropriate altitude for a doctoral contribution built on a thirty-record corpus and honest about what that corpus can bear</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65"/>
    <w:bookmarkStart w:id="166" w:name="a-note-on-the-design-stage-genre"/>
    <w:p>
      <w:pPr>
        <w:pStyle w:val="Heading2"/>
        <w:spacing w:line="480" w:lineRule="auto"/>
      </w:pPr>
      <w:r>
        <w:t xml:space="preserve">A note on the design-stage genre</w:t>
      </w:r>
    </w:p>
    <w:p>
      <w:pPr>
        <w:pStyle w:val="FirstParagraph"/>
        <w:spacing w:line="480" w:lineRule="auto"/>
      </w:pPr>
      <w:r>
        <w:t xml:space="preserve">This project belongs to a design-stage genre. The genre deserves its own methodological standing. Such work sits before causal identification is possible, when the question is whether a phenomenon has begun to organize rather than what causes its outcomes. The genre’s discipline is to state its bounded claim precisely, to keep its evidence auditable, and to specify the richer study that would follow. Measured against those standards, the contribution here is a falsifiable test that survived, a bounded interpretation that matches the estimator output, and a research agenda that names the mission-level instruments the design forgoes. By being honest about altitude the genre earns its place, and this dissertation has tried throughout to hold that altitude without either overclaiming or going silent.</w:t>
      </w:r>
    </w:p>
    <w:bookmarkEnd w:id="166"/>
    <w:bookmarkStart w:id="167" w:name="closing"/>
    <w:p>
      <w:pPr>
        <w:pStyle w:val="Heading2"/>
        <w:spacing w:line="480" w:lineRule="auto"/>
      </w:pPr>
      <w:r>
        <w:t xml:space="preserve">Closing</w:t>
      </w:r>
    </w:p>
    <w:p>
      <w:pPr>
        <w:pStyle w:val="FirstParagraph"/>
        <w:spacing w:line="480" w:lineRule="auto"/>
      </w:pPr>
      <w:r>
        <w:t xml:space="preserve">Through many small decisions that later look inevitable the lunar economy will be built. Docking interfaces, transfer procedures, storage assumptions, safety templates, procurement clauses, traffic rules: any of them can harden into a path before anyone chooses that path deliberately. Why propellant standards belong in that conversation now is what this dissertation shows. Final the evidence is not, but clear enough to warn against sleepwalking into lock-in, and clear enough to mark the moment when reversible coordination is still possible.</w:t>
      </w:r>
    </w:p>
    <w:p>
      <w:pPr>
        <w:pStyle w:val="BodyText"/>
        <w:spacing w:line="480" w:lineRule="auto"/>
        <w:ind w:firstLine="720"/>
      </w:pPr>
      <w:r>
        <w:t xml:space="preserve">The corpus tested here is a probe, not a verdict. The argument it supports is a warning, not a prophecy. Newer sources carry more of the topic signal, the signal spans the awareness and engineering communities, and citation attention has not yet consolidated. Read together, those facts describe a field that is organizing but still open. Because the dissertation treats the retrieved corpus as a traceable empirical record rather than a complete map of the Earth Moon system, its contribution stays tied to observable variation in timing, venue, attention, and topic signal, and it hands the wider operational questions to the mission-grounded designs that must follow</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bookmarkEnd w:id="167"/>
    <w:bookmarkStart w:id="195" w:name="references"/>
    <w:p>
      <w:pPr>
        <w:pStyle w:val="Heading2"/>
        <w:spacing w:line="480" w:lineRule="auto"/>
      </w:pPr>
      <w:r>
        <w:t xml:space="preserve">References</w:t>
      </w:r>
    </w:p>
    <w:p>
      <w:pPr>
        <w:pStyle w:val="FirstParagraph"/>
        <w:spacing w:line="480" w:lineRule="auto"/>
      </w:pPr>
      <w:bookmarkStart w:id="168" w:name="ref-1"/>
      <w:bookmarkEnd w:id="168"/>
      <w:r>
        <w:t xml:space="preserve">1. Celine d’Orgeville, Australian National University, Gregory J. Fetzer, Areté Associates. From Dye Laser Factory to Portable Semiconductor Laser: Four Generations of Sodium Guide Star Lasers for Adaptive Optics in Astronomy and Space Situational Awareness (2015). [AMOS]</w:t>
      </w:r>
    </w:p>
    <w:p>
      <w:pPr>
        <w:pStyle w:val="BodyText"/>
        <w:spacing w:line="480" w:lineRule="auto"/>
        <w:ind w:firstLine="720"/>
      </w:pPr>
      <w:bookmarkStart w:id="169" w:name="ref-2"/>
      <w:bookmarkEnd w:id="169"/>
      <w:r>
        <w:t xml:space="preserve">2. Roberto Furfaro, University of Arizona; Vishnu Reddy, University of Arizona; Tanner Campbell, University of Arizona; Bill Gray, University of Arizona. Tracking Objects in Cis-Lunar Space: The Chang’e 5 Case (2021). [AMOS]</w:t>
      </w:r>
    </w:p>
    <w:p>
      <w:pPr>
        <w:pStyle w:val="BodyText"/>
        <w:spacing w:line="480" w:lineRule="auto"/>
        <w:ind w:firstLine="720"/>
      </w:pPr>
      <w:bookmarkStart w:id="170" w:name="ref-3"/>
      <w:bookmarkEnd w:id="170"/>
      <w:r>
        <w:t xml:space="preserve">3. Joshua Wysack, Ball Aerospace; Kevin Ferrant, Ball Aerospace. Contrasting Architectures for Cislunar SDA and STM (2023). doi:</w:t>
      </w:r>
      <w:r>
        <w:t xml:space="preserve"> </w:t>
      </w:r>
      <w:hyperlink r:id="rId171">
        <w:r>
          <w:rPr>
            <w:rStyle w:val="Hyperlink"/>
          </w:rPr>
          <w:t xml:space="preserve">10.64861/KUQJ3053</w:t>
        </w:r>
      </w:hyperlink>
    </w:p>
    <w:p>
      <w:pPr>
        <w:pStyle w:val="BodyText"/>
        <w:spacing w:line="480" w:lineRule="auto"/>
        <w:ind w:firstLine="720"/>
      </w:pPr>
      <w:bookmarkStart w:id="172" w:name="ref-4"/>
      <w:bookmarkEnd w:id="172"/>
      <w:r>
        <w:t xml:space="preserve">4. Adam P. Wilmer, Air Force Institute of Technology; Robert A. Bettinger, U.S. Air Force. Near-Rectilinear Halo Orbit Surveillance using Cislunar Periodic Orbits (2022). [AMOS]</w:t>
      </w:r>
    </w:p>
    <w:p>
      <w:pPr>
        <w:pStyle w:val="BodyText"/>
        <w:spacing w:line="480" w:lineRule="auto"/>
        <w:ind w:firstLine="720"/>
      </w:pPr>
      <w:bookmarkStart w:id="173" w:name="ref-5"/>
      <w:bookmarkEnd w:id="173"/>
      <w:r>
        <w:t xml:space="preserve">5. Conor Benson, University of Colorado Boulder; Charles Naudet, Jet Propulsion Laboratory; Daniel Scheeres, University of Colorado Boulder; William Ryan, New Mexico Tech/MRO; Eileen Ryan, New Mexico Tech/MRO; Joseph Jao, Jet Propulsion Laboratory; Lawrence Snedeker, Goldstone Deep Space Communications Complex; Jeffrey Lagrange, Goldstone Deep Space Communications Complex. Radar-Derived Spin States of Defunct GEO Satellites and Rocket Bodies (2021). [AMOS]</w:t>
      </w:r>
    </w:p>
    <w:p>
      <w:pPr>
        <w:pStyle w:val="BodyText"/>
        <w:spacing w:line="480" w:lineRule="auto"/>
        <w:ind w:firstLine="720"/>
      </w:pPr>
      <w:bookmarkStart w:id="174" w:name="ref-6"/>
      <w:bookmarkEnd w:id="174"/>
      <w:r>
        <w:t xml:space="preserve">6. Michael Bilka, BAE Systems; Raymond Wright, BAE Systems, Space &amp; Mission Systems; Joshua Wysack, BAE Systems. Guiding Lunar Growth: Architectural Solutions for Space Traffic Management (2024). doi:</w:t>
      </w:r>
      <w:r>
        <w:t xml:space="preserve"> </w:t>
      </w:r>
      <w:hyperlink r:id="rId175">
        <w:r>
          <w:rPr>
            <w:rStyle w:val="Hyperlink"/>
          </w:rPr>
          <w:t xml:space="preserve">10.64861/RBTM5104</w:t>
        </w:r>
      </w:hyperlink>
    </w:p>
    <w:p>
      <w:pPr>
        <w:pStyle w:val="BodyText"/>
        <w:spacing w:line="480" w:lineRule="auto"/>
        <w:ind w:firstLine="720"/>
      </w:pPr>
      <w:bookmarkStart w:id="176" w:name="ref-7"/>
      <w:bookmarkEnd w:id="176"/>
      <w:r>
        <w:t xml:space="preserve">7. Nathan Boone, Air Force Institute of Technology; Robert Bettinger,Air Force Institute of Technology. Artificial Debris Collision Risk Following a Catastrophic Spacecraft Mishap in Lunar Orbit (2021). [AMOS]</w:t>
      </w:r>
    </w:p>
    <w:p>
      <w:pPr>
        <w:pStyle w:val="BodyText"/>
        <w:spacing w:line="480" w:lineRule="auto"/>
        <w:ind w:firstLine="720"/>
      </w:pPr>
      <w:bookmarkStart w:id="177" w:name="ref-8"/>
      <w:bookmarkEnd w:id="177"/>
      <w:r>
        <w:t xml:space="preserve">8. Arly Black, Purdue University; Carolin Frueh, Purdue University. Characterizing Cislunar Fragmentations (2023). doi:</w:t>
      </w:r>
      <w:r>
        <w:t xml:space="preserve"> </w:t>
      </w:r>
      <w:hyperlink r:id="rId178">
        <w:r>
          <w:rPr>
            <w:rStyle w:val="Hyperlink"/>
          </w:rPr>
          <w:t xml:space="preserve">10.64861/QLJS5432</w:t>
        </w:r>
      </w:hyperlink>
    </w:p>
    <w:p>
      <w:pPr>
        <w:pStyle w:val="BodyText"/>
        <w:spacing w:line="480" w:lineRule="auto"/>
        <w:ind w:firstLine="720"/>
      </w:pPr>
      <w:bookmarkStart w:id="179" w:name="ref-9"/>
      <w:bookmarkEnd w:id="179"/>
      <w:r>
        <w:t xml:space="preserve">9. B Li; Zhao‐Kui Wang. Two-stage DRL with hybrid perception of vision and force feedback for lunar construction robotic assembly control (2025). doi:</w:t>
      </w:r>
      <w:r>
        <w:t xml:space="preserve"> </w:t>
      </w:r>
      <w:hyperlink r:id="rId180">
        <w:r>
          <w:rPr>
            <w:rStyle w:val="Hyperlink"/>
          </w:rPr>
          <w:t xml:space="preserve">10.1016/j.actaastro.2025.01.017</w:t>
        </w:r>
      </w:hyperlink>
    </w:p>
    <w:p>
      <w:pPr>
        <w:pStyle w:val="BodyText"/>
        <w:spacing w:line="480" w:lineRule="auto"/>
        <w:ind w:firstLine="720"/>
      </w:pPr>
      <w:bookmarkStart w:id="181" w:name="ref-10"/>
      <w:bookmarkEnd w:id="181"/>
      <w:r>
        <w:t xml:space="preserve">10. Scott Dorrington; John Olsen. Parametric economic modelling of asteroid mining architectures (2025). doi:</w:t>
      </w:r>
      <w:r>
        <w:t xml:space="preserve"> </w:t>
      </w:r>
      <w:hyperlink r:id="rId182">
        <w:r>
          <w:rPr>
            <w:rStyle w:val="Hyperlink"/>
          </w:rPr>
          <w:t xml:space="preserve">10.1016/j.actaastro.2025.11.006</w:t>
        </w:r>
      </w:hyperlink>
    </w:p>
    <w:p>
      <w:pPr>
        <w:pStyle w:val="BodyText"/>
        <w:spacing w:line="480" w:lineRule="auto"/>
        <w:ind w:firstLine="720"/>
      </w:pPr>
      <w:bookmarkStart w:id="183" w:name="ref-11"/>
      <w:bookmarkEnd w:id="183"/>
      <w:r>
        <w:t xml:space="preserve">11. J. Tejeda; E. Rosati Azevedo; George-Cristian Potrivitu; Rachel Moloney; Aaron Knoll. Experimental demonstration of a second generation water electrolysis Hall Effect Thruster (AQUAHET) (2025). doi:</w:t>
      </w:r>
      <w:r>
        <w:t xml:space="preserve"> </w:t>
      </w:r>
      <w:hyperlink r:id="rId184">
        <w:r>
          <w:rPr>
            <w:rStyle w:val="Hyperlink"/>
          </w:rPr>
          <w:t xml:space="preserve">10.1016/j.actaastro.2025.06.041</w:t>
        </w:r>
      </w:hyperlink>
    </w:p>
    <w:p>
      <w:pPr>
        <w:pStyle w:val="BodyText"/>
        <w:spacing w:line="480" w:lineRule="auto"/>
        <w:ind w:firstLine="720"/>
      </w:pPr>
      <w:bookmarkStart w:id="185" w:name="ref-12"/>
      <w:bookmarkEnd w:id="185"/>
      <w:r>
        <w:t xml:space="preserve">12. J. Tejeda; George-Cristian Potrivitu; E. Rosati Azevedo; Rachel Moloney; Aaron Knoll. Experimental demonstration of a water electrolysis Hall Effect Thruster (WET-HET) operating with a hydrogen cathode (2024). doi:</w:t>
      </w:r>
      <w:r>
        <w:t xml:space="preserve"> </w:t>
      </w:r>
      <w:hyperlink r:id="rId186">
        <w:r>
          <w:rPr>
            <w:rStyle w:val="Hyperlink"/>
          </w:rPr>
          <w:t xml:space="preserve">10.1016/j.actaastro.2024.03.043</w:t>
        </w:r>
      </w:hyperlink>
    </w:p>
    <w:p>
      <w:pPr>
        <w:pStyle w:val="BodyText"/>
        <w:spacing w:line="480" w:lineRule="auto"/>
        <w:ind w:firstLine="720"/>
      </w:pPr>
      <w:bookmarkStart w:id="187" w:name="ref-13"/>
      <w:bookmarkEnd w:id="187"/>
      <w:r>
        <w:t xml:space="preserve">13. Shanmurugan Selvamurgan; E. Glenn Lightsey; Koki Ho. Time-optimal trajectory design of distributed space systems for in-space transportation in Earth Orbit (2026). doi:</w:t>
      </w:r>
      <w:r>
        <w:t xml:space="preserve"> </w:t>
      </w:r>
      <w:hyperlink r:id="rId188">
        <w:r>
          <w:rPr>
            <w:rStyle w:val="Hyperlink"/>
          </w:rPr>
          <w:t xml:space="preserve">10.1016/j.actaastro.2026.05.056</w:t>
        </w:r>
      </w:hyperlink>
    </w:p>
    <w:p>
      <w:pPr>
        <w:pStyle w:val="BodyText"/>
        <w:spacing w:line="480" w:lineRule="auto"/>
        <w:ind w:firstLine="720"/>
      </w:pPr>
      <w:bookmarkStart w:id="189" w:name="ref-14"/>
      <w:bookmarkEnd w:id="189"/>
      <w:r>
        <w:t xml:space="preserve">14. Ben McKeown; Andrew G. Dempster; Serkan Saydam; Jeff Coulton. Placing lunar resources research in the context of mining feasibility studies (2025). doi:</w:t>
      </w:r>
      <w:r>
        <w:t xml:space="preserve"> </w:t>
      </w:r>
      <w:hyperlink r:id="rId190">
        <w:r>
          <w:rPr>
            <w:rStyle w:val="Hyperlink"/>
          </w:rPr>
          <w:t xml:space="preserve">10.1016/j.actaastro.2025.04.041</w:t>
        </w:r>
      </w:hyperlink>
    </w:p>
    <w:p>
      <w:pPr>
        <w:pStyle w:val="BodyText"/>
        <w:spacing w:line="480" w:lineRule="auto"/>
        <w:ind w:firstLine="720"/>
      </w:pPr>
      <w:bookmarkStart w:id="191" w:name="ref-15"/>
      <w:bookmarkEnd w:id="191"/>
      <w:r>
        <w:t xml:space="preserve">15. Russell Kerschmann; D. Winterhalter; Kathleen Scheiderich; David E. Damby; David J. Loftus. Profiling lunar dust dissolution in aqueous environments: The design concept (2020). doi:</w:t>
      </w:r>
      <w:r>
        <w:t xml:space="preserve"> </w:t>
      </w:r>
      <w:hyperlink r:id="rId192">
        <w:r>
          <w:rPr>
            <w:rStyle w:val="Hyperlink"/>
          </w:rPr>
          <w:t xml:space="preserve">10.1016/j.actaastro.2020.08.032</w:t>
        </w:r>
      </w:hyperlink>
    </w:p>
    <w:p>
      <w:pPr>
        <w:pStyle w:val="BodyText"/>
        <w:spacing w:line="480" w:lineRule="auto"/>
        <w:ind w:firstLine="720"/>
      </w:pPr>
      <w:bookmarkStart w:id="193" w:name="ref-16"/>
      <w:bookmarkEnd w:id="193"/>
      <w:r>
        <w:t xml:space="preserve">16. Matteo Fiore; Marco Fabiani; Francesco Nasuti. Two-phase heat transfer in deep throttling of liquid rocket engines (2026). doi:</w:t>
      </w:r>
      <w:r>
        <w:t xml:space="preserve"> </w:t>
      </w:r>
      <w:hyperlink r:id="rId194">
        <w:r>
          <w:rPr>
            <w:rStyle w:val="Hyperlink"/>
          </w:rPr>
          <w:t xml:space="preserve">10.1016/j.actaastro.2026.04.060</w:t>
        </w:r>
      </w:hyperlink>
    </w:p>
    <w:bookmarkEnd w:id="195"/>
    <w:bookmarkEnd w:id="196"/>
    <w:bookmarkStart w:id="21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4" w:name="Xe6e87eb7163802971f65e21cf9585e39120dfb3"/>
    <w:p>
      <w:pPr>
        <w:pStyle w:val="Heading2"/>
        <w:spacing w:line="480" w:lineRule="auto"/>
      </w:pPr>
      <w:r>
        <w:t xml:space="preserve">A.1 Signal Intensity in Increasing Returns and Lock-In Will Early Lunar Propellant Standards Foreclose: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4.4153</w:t>
            </w:r>
          </w:p>
        </w:tc>
        <w:tc>
          <w:tcPr>
            <w:tcW w:w="0" w:type="auto"/>
          </w:tcPr>
          <w:p>
            <w:pPr>
              <w:spacing w:line="240" w:lineRule="auto" w:before="0" w:after="0"/>
              <w:pStyle w:val="Compact"/>
            </w:pPr>
            <w:r>
              <w:rPr>
                <w:sz w:val="20"/>
                <w:szCs w:val="20"/>
              </w:rPr>
              <w:t xml:space="preserve">1.2813</w:t>
            </w:r>
          </w:p>
        </w:tc>
        <w:tc>
          <w:tcPr>
            <w:tcW w:w="0" w:type="auto"/>
          </w:tcPr>
          <w:p>
            <w:pPr>
              <w:spacing w:line="240" w:lineRule="auto" w:before="0" w:after="0"/>
              <w:pStyle w:val="Compact"/>
            </w:pPr>
            <w:r>
              <w:rPr>
                <w:sz w:val="20"/>
                <w:szCs w:val="20"/>
              </w:rPr>
              <w:t xml:space="preserve">3.4459</w:t>
            </w:r>
          </w:p>
        </w:tc>
        <w:tc>
          <w:tcPr>
            <w:tcW w:w="0" w:type="auto"/>
          </w:tcPr>
          <w:p>
            <w:pPr>
              <w:spacing w:line="240" w:lineRule="auto" w:before="0" w:after="0"/>
              <w:pStyle w:val="Compact"/>
            </w:pPr>
            <w:r>
              <w:rPr>
                <w:sz w:val="20"/>
                <w:szCs w:val="20"/>
              </w:rPr>
              <w:t xml:space="preserve">0.0005691</w:t>
            </w:r>
          </w:p>
        </w:tc>
        <w:tc>
          <w:tcPr>
            <w:tcW w:w="0" w:type="auto"/>
          </w:tcPr>
          <w:p>
            <w:pPr>
              <w:spacing w:line="240" w:lineRule="auto" w:before="0" w:after="0"/>
              <w:pStyle w:val="Compact"/>
            </w:pPr>
            <w:r>
              <w:rPr>
                <w:sz w:val="20"/>
                <w:szCs w:val="20"/>
              </w:rPr>
              <w:t xml:space="preserve">[1.904, 6.9266]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5.0569</w:t>
            </w:r>
          </w:p>
        </w:tc>
        <w:tc>
          <w:tcPr>
            <w:tcW w:w="0" w:type="auto"/>
          </w:tcPr>
          <w:p>
            <w:pPr>
              <w:spacing w:line="240" w:lineRule="auto" w:before="0" w:after="0"/>
              <w:pStyle w:val="Compact"/>
            </w:pPr>
            <w:r>
              <w:rPr>
                <w:sz w:val="20"/>
                <w:szCs w:val="20"/>
              </w:rPr>
              <w:t xml:space="preserve">4.261e-07</w:t>
            </w:r>
          </w:p>
        </w:tc>
        <w:tc>
          <w:tcPr>
            <w:tcW w:w="0" w:type="auto"/>
          </w:tcPr>
          <w:p>
            <w:pPr>
              <w:spacing w:line="240" w:lineRule="auto" w:before="0" w:after="0"/>
              <w:pStyle w:val="Compact"/>
            </w:pPr>
            <w:r>
              <w:rPr>
                <w:sz w:val="20"/>
                <w:szCs w:val="20"/>
              </w:rPr>
              <w:t xml:space="preserve">[0.1696, 0.3843]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-1.0988</w:t>
            </w:r>
          </w:p>
        </w:tc>
        <w:tc>
          <w:tcPr>
            <w:tcW w:w="0" w:type="auto"/>
          </w:tcPr>
          <w:p>
            <w:pPr>
              <w:spacing w:line="240" w:lineRule="auto" w:before="0" w:after="0"/>
              <w:pStyle w:val="Compact"/>
            </w:pPr>
            <w:r>
              <w:rPr>
                <w:sz w:val="20"/>
                <w:szCs w:val="20"/>
              </w:rPr>
              <w:t xml:space="preserve">0.2718</w:t>
            </w:r>
          </w:p>
        </w:tc>
        <w:tc>
          <w:tcPr>
            <w:tcW w:w="0" w:type="auto"/>
          </w:tcPr>
          <w:p>
            <w:pPr>
              <w:spacing w:line="240" w:lineRule="auto" w:before="0" w:after="0"/>
              <w:pStyle w:val="Compact"/>
            </w:pPr>
            <w:r>
              <w:rPr>
                <w:sz w:val="20"/>
                <w:szCs w:val="20"/>
              </w:rPr>
              <w:t xml:space="preserve">[-0.0313, 0.0088]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-2.0585</w:t>
            </w:r>
          </w:p>
        </w:tc>
        <w:tc>
          <w:tcPr>
            <w:tcW w:w="0" w:type="auto"/>
          </w:tcPr>
          <w:p>
            <w:pPr>
              <w:spacing w:line="240" w:lineRule="auto" w:before="0" w:after="0"/>
              <w:pStyle w:val="Compact"/>
            </w:pPr>
            <w:r>
              <w:rPr>
                <w:sz w:val="20"/>
                <w:szCs w:val="20"/>
              </w:rPr>
              <w:t xml:space="preserve">0.8145</w:t>
            </w:r>
          </w:p>
        </w:tc>
        <w:tc>
          <w:tcPr>
            <w:tcW w:w="0" w:type="auto"/>
          </w:tcPr>
          <w:p>
            <w:pPr>
              <w:spacing w:line="240" w:lineRule="auto" w:before="0" w:after="0"/>
              <w:pStyle w:val="Compact"/>
            </w:pPr>
            <w:r>
              <w:rPr>
                <w:sz w:val="20"/>
                <w:szCs w:val="20"/>
              </w:rPr>
              <w:t xml:space="preserve">-2.5272</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[-3.6549, -0.462]</w:t>
            </w:r>
          </w:p>
        </w:tc>
      </w:tr>
    </w:tbl>
    <w:p>
      <w:pPr>
        <w:pStyle w:val="BodyText"/>
        <w:spacing w:line="480" w:lineRule="auto"/>
        <w:ind w:firstLine="720"/>
      </w:pPr>
      <w:r>
        <w:t xml:space="preserve">Fit: N = 30 R2 = 0.3506 R2_adj = 0.2757 F = 11.002 F_p = 7.59e-05</w:t>
      </w:r>
    </w:p>
    <w:bookmarkEnd w:id="197"/>
    <w:bookmarkStart w:id="20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9" name="Picture"/>
            <a:graphic>
              <a:graphicData uri="http://schemas.openxmlformats.org/drawingml/2006/picture">
                <pic:pic>
                  <pic:nvPicPr>
                    <pic:cNvPr descr="D:/Claude_Code/brain/collegium/candidates/dissertations/CISLUNAR_DEV_07/research_papers/p1/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201"/>
    <w:bookmarkStart w:id="20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https://amostech.space/year/2021/radar-derived-spin-states-of-defunct-geo-satellites-and-rocket-bodies/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https://amostech.space/year/2009/the-physics-of-the-sodium-laser-guide-stat-predicting-and-enhancing-the-photon-returns/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10.64861/JIHC4550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https://amostech.space/year/2006/pushing-the-envelope-hi-class-range-and-range-rate/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10.1016/j.actaastro.2025.01.017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10.1016/j.actaastro.2024.03.043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10.1016/j.actaastro.2020.08.032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10.1016/j.actaastro.2026.04.060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10.1016/j.actaastro.2020.05.038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202"/>
    <w:bookmarkStart w:id="20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203"/>
    <w:bookmarkEnd w:id="204"/>
    <w:bookmarkStart w:id="212" w:name="Xcdf535b1ce4b4603f54c41937158fe25789f425"/>
    <w:p>
      <w:pPr>
        <w:pStyle w:val="Heading2"/>
        <w:spacing w:line="480" w:lineRule="auto"/>
      </w:pPr>
      <w:r>
        <w:t xml:space="preserve">A.2 Attention Accumulation in Increasing Returns and Lock-In Will Early Lunar Propellant Standards Foreclose: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20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0.8308</w:t>
            </w:r>
          </w:p>
        </w:tc>
        <w:tc>
          <w:tcPr>
            <w:tcW w:w="0" w:type="auto"/>
          </w:tcPr>
          <w:p>
            <w:pPr>
              <w:spacing w:line="240" w:lineRule="auto" w:before="0" w:after="0"/>
              <w:pStyle w:val="Compact"/>
            </w:pPr>
            <w:r>
              <w:rPr>
                <w:sz w:val="20"/>
                <w:szCs w:val="20"/>
              </w:rPr>
              <w:t xml:space="preserve">0.3899</w:t>
            </w:r>
          </w:p>
        </w:tc>
        <w:tc>
          <w:tcPr>
            <w:tcW w:w="0" w:type="auto"/>
          </w:tcPr>
          <w:p>
            <w:pPr>
              <w:spacing w:line="240" w:lineRule="auto" w:before="0" w:after="0"/>
              <w:pStyle w:val="Compact"/>
            </w:pPr>
            <w:r>
              <w:rPr>
                <w:sz w:val="20"/>
                <w:szCs w:val="20"/>
              </w:rPr>
              <w:t xml:space="preserve">2.1307</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[0.0666, 1.595]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-0.1481</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-0.6597</w:t>
            </w:r>
          </w:p>
        </w:tc>
        <w:tc>
          <w:tcPr>
            <w:tcW w:w="0" w:type="auto"/>
          </w:tcPr>
          <w:p>
            <w:pPr>
              <w:spacing w:line="240" w:lineRule="auto" w:before="0" w:after="0"/>
              <w:pStyle w:val="Compact"/>
            </w:pPr>
            <w:r>
              <w:rPr>
                <w:sz w:val="20"/>
                <w:szCs w:val="20"/>
              </w:rPr>
              <w:t xml:space="preserve">0.5095</w:t>
            </w:r>
          </w:p>
        </w:tc>
        <w:tc>
          <w:tcPr>
            <w:tcW w:w="0" w:type="auto"/>
          </w:tcPr>
          <w:p>
            <w:pPr>
              <w:spacing w:line="240" w:lineRule="auto" w:before="0" w:after="0"/>
              <w:pStyle w:val="Compact"/>
            </w:pPr>
            <w:r>
              <w:rPr>
                <w:sz w:val="20"/>
                <w:szCs w:val="20"/>
              </w:rPr>
              <w:t xml:space="preserve">[-0.5881, 0.2919]</w:t>
            </w:r>
          </w:p>
        </w:tc>
      </w:tr>
    </w:tbl>
    <w:p>
      <w:pPr>
        <w:pStyle w:val="BodyText"/>
        <w:spacing w:line="480" w:lineRule="auto"/>
        <w:ind w:firstLine="720"/>
      </w:pPr>
      <w:r>
        <w:t xml:space="preserve">Fit: N = 30 R2 = 0.0084 elasticity_b = -0.1481 progress_ratio_2^b = 0.9024</w:t>
      </w:r>
    </w:p>
    <w:bookmarkEnd w:id="205"/>
    <w:bookmarkStart w:id="20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7" name="Picture"/>
            <a:graphic>
              <a:graphicData uri="http://schemas.openxmlformats.org/drawingml/2006/picture">
                <pic:pic>
                  <pic:nvPicPr>
                    <pic:cNvPr descr="D:/Claude_Code/brain/collegium/candidates/dissertations/CISLUNAR_DEV_07/research_papers/p2/paper_fig1.png" id="208" name="Picture"/>
                    <pic:cNvPicPr>
                      <a:picLocks noChangeArrowheads="1" noChangeAspect="1"/>
                    </pic:cNvPicPr>
                  </pic:nvPicPr>
                  <pic:blipFill>
                    <a:blip r:embed="rId2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9"/>
    <w:bookmarkStart w:id="21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https://amostech.space/year/2021/radar-derived-spin-states-of-defunct-geo-satellites-and-rocket-bodies/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https://amostech.space/year/2009/the-physics-of-the-sodium-laser-guide-stat-predicting-and-enhancing-the-photon-returns/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10.64861/JIHC4550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https://amostech.space/year/2006/pushing-the-envelope-hi-class-range-and-range-rate/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10.1016/j.actaastro.2025.01.017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10.1016/j.actaastro.2024.03.043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10.1016/j.actaastro.2020.08.032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10.1016/j.actaastro.2026.04.060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10.1016/j.actaastro.2020.05.038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210"/>
    <w:bookmarkStart w:id="21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11"/>
    <w:bookmarkEnd w:id="212"/>
    <w:bookmarkEnd w:id="21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8" Type="http://schemas.openxmlformats.org/officeDocument/2006/relationships/image" Target="media/rId198.png"/><Relationship Id="rId206" Type="http://schemas.openxmlformats.org/officeDocument/2006/relationships/image" Target="media/rId206.png"/><Relationship Id="rId192" Type="http://schemas.openxmlformats.org/officeDocument/2006/relationships/hyperlink" Target="https://doi.org/10.1016/j.actaastro.2020.08.032" TargetMode="External"/><Relationship Id="rId186" Type="http://schemas.openxmlformats.org/officeDocument/2006/relationships/hyperlink" Target="https://doi.org/10.1016/j.actaastro.2024.03.043" TargetMode="External"/><Relationship Id="rId180" Type="http://schemas.openxmlformats.org/officeDocument/2006/relationships/hyperlink" Target="https://doi.org/10.1016/j.actaastro.2025.01.017" TargetMode="External"/><Relationship Id="rId190" Type="http://schemas.openxmlformats.org/officeDocument/2006/relationships/hyperlink" Target="https://doi.org/10.1016/j.actaastro.2025.04.041" TargetMode="External"/><Relationship Id="rId184" Type="http://schemas.openxmlformats.org/officeDocument/2006/relationships/hyperlink" Target="https://doi.org/10.1016/j.actaastro.2025.06.041" TargetMode="External"/><Relationship Id="rId182" Type="http://schemas.openxmlformats.org/officeDocument/2006/relationships/hyperlink" Target="https://doi.org/10.1016/j.actaastro.2025.11.006" TargetMode="External"/><Relationship Id="rId194" Type="http://schemas.openxmlformats.org/officeDocument/2006/relationships/hyperlink" Target="https://doi.org/10.1016/j.actaastro.2026.04.060" TargetMode="External"/><Relationship Id="rId188" Type="http://schemas.openxmlformats.org/officeDocument/2006/relationships/hyperlink" Target="https://doi.org/10.1016/j.actaastro.2026.05.056" TargetMode="External"/><Relationship Id="rId171" Type="http://schemas.openxmlformats.org/officeDocument/2006/relationships/hyperlink" Target="https://doi.org/10.64861/KUQJ3053" TargetMode="External"/><Relationship Id="rId178" Type="http://schemas.openxmlformats.org/officeDocument/2006/relationships/hyperlink" Target="https://doi.org/10.64861/QLJS5432" TargetMode="External"/><Relationship Id="rId175" Type="http://schemas.openxmlformats.org/officeDocument/2006/relationships/hyperlink" Target="https://doi.org/10.64861/RBTM5104" TargetMode="External"/></Relationships>
</file>

<file path=word/_rels/footnotes.xml.rels><?xml version='1.0' encoding='UTF-8' standalone='yes'?>
<Relationships xmlns="http://schemas.openxmlformats.org/package/2006/relationships"><Relationship Id="rId192" Type="http://schemas.openxmlformats.org/officeDocument/2006/relationships/hyperlink" Target="https://doi.org/10.1016/j.actaastro.2020.08.032" TargetMode="External"/><Relationship Id="rId186" Type="http://schemas.openxmlformats.org/officeDocument/2006/relationships/hyperlink" Target="https://doi.org/10.1016/j.actaastro.2024.03.043" TargetMode="External"/><Relationship Id="rId180" Type="http://schemas.openxmlformats.org/officeDocument/2006/relationships/hyperlink" Target="https://doi.org/10.1016/j.actaastro.2025.01.017" TargetMode="External"/><Relationship Id="rId190" Type="http://schemas.openxmlformats.org/officeDocument/2006/relationships/hyperlink" Target="https://doi.org/10.1016/j.actaastro.2025.04.041" TargetMode="External"/><Relationship Id="rId184" Type="http://schemas.openxmlformats.org/officeDocument/2006/relationships/hyperlink" Target="https://doi.org/10.1016/j.actaastro.2025.06.041" TargetMode="External"/><Relationship Id="rId182" Type="http://schemas.openxmlformats.org/officeDocument/2006/relationships/hyperlink" Target="https://doi.org/10.1016/j.actaastro.2025.11.006" TargetMode="External"/><Relationship Id="rId194" Type="http://schemas.openxmlformats.org/officeDocument/2006/relationships/hyperlink" Target="https://doi.org/10.1016/j.actaastro.2026.04.060" TargetMode="External"/><Relationship Id="rId188" Type="http://schemas.openxmlformats.org/officeDocument/2006/relationships/hyperlink" Target="https://doi.org/10.1016/j.actaastro.2026.05.056" TargetMode="External"/><Relationship Id="rId171" Type="http://schemas.openxmlformats.org/officeDocument/2006/relationships/hyperlink" Target="https://doi.org/10.64861/KUQJ3053" TargetMode="External"/><Relationship Id="rId178" Type="http://schemas.openxmlformats.org/officeDocument/2006/relationships/hyperlink" Target="https://doi.org/10.64861/QLJS5432" TargetMode="External"/><Relationship Id="rId175" Type="http://schemas.openxmlformats.org/officeDocument/2006/relationships/hyperlink" Target="https://doi.org/10.64861/RBTM5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Returns and Lock-In: Will Early Lunar Propellant Standards Foreclose</dc:title>
  <dc:creator>Julian Feld (1B-LUN-181)</dc:creator>
  <cp:keywords/>
  <dcterms:created xsi:type="dcterms:W3CDTF">2026-07-03T21:11:48Z</dcterms:created>
  <dcterms:modified xsi:type="dcterms:W3CDTF">2026-07-03T21:11:48Z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