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fa61717dd72760fb7eb25d6b1d7fbade5d36e70"/>
    <w:p>
      <w:pPr>
        <w:pStyle w:val="Heading1"/>
      </w:pPr>
      <w:r>
        <w:t xml:space="preserve">Schedule Realism in Lunar Programs: Do ISRU and Nuclear Milestones Slip Faster Than Conventional Space Projects?</w:t>
      </w:r>
    </w:p>
    <w:bookmarkStart w:id="61" w:name="introduction"/>
    <w:p>
      <w:pPr>
        <w:pStyle w:val="Heading2"/>
      </w:pPr>
      <w:r>
        <w:t xml:space="preserve">1. Introduction</w:t>
      </w:r>
    </w:p>
    <w:p>
      <w:pPr>
        <w:pStyle w:val="FirstParagraph"/>
      </w:pPr>
      <w:r>
        <w:t xml:space="preserve">The return to the lunar surface rests on a class of capabilities that the human spaceflight enterprise has never operated at scale. In-situ resource utilization (ISRU) promises propellant and consumables drawn from regolith and polar volatiles, and fission surface power promises kilowatts of electricity through a fourteen-day lunar night that defeats photovoltaics. Both are presented in agency roadmaps as enabling milestones for a sustained presence. Both are also, by any honest accounting, immature. The central question for program managers and appropriators is whether these frontier milestones carry a distinctive schedule penalty, or whether they slip for the same reasons that any low-maturity space project slips.</w:t>
      </w:r>
    </w:p>
    <w:p>
      <w:pPr>
        <w:pStyle w:val="BodyText"/>
      </w:pPr>
      <w:r>
        <w:t xml:space="preserve">This paper treats that question as an empirical one. It assembles a cross-section of thirty NASA development projects, records the cumulative schedule slip each accrued against its committed baseline, and asks whether projects whose critical milestone is an ISRU or nuclear capability slip more than conventional science and crewed-transport projects once technology maturity, cost, and crew involvement are held constant. The motivating concern is schedule realism: a portfolio that books frontier capabilities at optimistic baseline dates will repeatedly disappoint, and the diagnosis matters for where corrective attention belongs.</w:t>
      </w:r>
    </w:p>
    <w:bookmarkEnd w:id="61"/>
    <w:bookmarkStart w:id="62" w:name="theory-and-hypotheses"/>
    <w:p>
      <w:pPr>
        <w:pStyle w:val="Heading2"/>
      </w:pPr>
      <w:r>
        <w:t xml:space="preserve">2. Theory and Hypotheses</w:t>
      </w:r>
    </w:p>
    <w:p>
      <w:pPr>
        <w:pStyle w:val="FirstParagraph"/>
      </w:pPr>
      <w:r>
        <w:t xml:space="preserve">Two literatures frame the analysis. The first concerns the maturation of lunar surface technologies. Delphi elicitation among ISRU specialists places confident operational deployment of surface resource extraction well into the 2040s, reflecting deep uncertainty about scaling laboratory demonstrations to flight systems</w:t>
      </w:r>
      <w:r>
        <w:t xml:space="preserve"> </w:t>
      </w:r>
      <w:hyperlink w:anchor="ref-1">
        <m:oMathPara>
          <m:oMathParaPr>
            <m:jc m:val="center"/>
          </m:oMathParaPr>
          <m:oMath>
            <m:r>
              <m:t>1</m:t>
            </m:r>
          </m:oMath>
        </m:oMathPara>
      </w:hyperlink>
      <w:r>
        <w:t xml:space="preserve">. Integrated system studies of ISRU architecture show that resource production sits inside a logistics web whose readiness depends on many co-maturing elements rather than a single technology</w:t>
      </w:r>
      <w:r>
        <w:t xml:space="preserve"> </w:t>
      </w:r>
      <w:hyperlink w:anchor="ref-2">
        <m:oMathPara>
          <m:oMathParaPr>
            <m:jc m:val="center"/>
          </m:oMathParaPr>
          <m:oMath>
            <m:r>
              <m:t>2</m:t>
            </m:r>
          </m:oMath>
        </m:oMathPara>
      </w:hyperlink>
      <w:r>
        <w:t xml:space="preserve">, and systems-level models of the cis-lunar economy reinforce that frontier capabilities advance only as fast as their slowest enabling subsystem</w:t>
      </w:r>
      <w:r>
        <w:t xml:space="preserve"> </w:t>
      </w:r>
      <w:hyperlink w:anchor="ref-3">
        <m:oMathPara>
          <m:oMathParaPr>
            <m:jc m:val="center"/>
          </m:oMathParaPr>
          <m:oMath>
            <m:r>
              <m:t>3</m:t>
            </m:r>
          </m:oMath>
        </m:oMathPara>
      </w:hyperlink>
      <w:r>
        <w:t xml:space="preserve">. Nuclear surface power follows a parallel trajectory: radioisotope and fission concepts for lunar mobility and base power remain at the prototype-to-flight transition where the largest schedule risk concentrates</w:t>
      </w:r>
      <w:r>
        <w:t xml:space="preserve"> </w:t>
      </w:r>
      <w:hyperlink w:anchor="ref-4">
        <m:oMathPara>
          <m:oMathParaPr>
            <m:jc m:val="center"/>
          </m:oMathParaPr>
          <m:oMath>
            <m:r>
              <m:t>4</m:t>
            </m:r>
          </m:oMath>
        </m:oMathPara>
      </w:hyperlink>
      <w:r>
        <w:t xml:space="preserve">. Architecture-level treatments of flexible lunar exploration similarly stress that enabling-technology readiness, not mission design, dominates programmatic timelines</w:t>
      </w:r>
      <w:r>
        <w:t xml:space="preserve"> </w:t>
      </w:r>
      <w:hyperlink w:anchor="ref-5">
        <m:oMathPara>
          <m:oMathParaPr>
            <m:jc m:val="center"/>
          </m:oMathParaPr>
          <m:oMath>
            <m:r>
              <m:t>5</m:t>
            </m:r>
          </m:oMath>
        </m:oMathPara>
      </w:hyperlink>
      <w:r>
        <w:t xml:space="preserve">.</w:t>
      </w:r>
    </w:p>
    <w:p>
      <w:pPr>
        <w:pStyle w:val="FirstParagraph"/>
      </w:pPr>
      <w:r>
        <w:t xml:space="preserve">The second literature concerns why space projects slip in general. Mission-management studies emphasize that risk concentrates where technology is least mature at the moment a baseline is committed, independent of the technology’s domain [6, 7]. This yields a competing explanation for any apparent ISRU or nuclear penalty: frontier projects may slip not because they are frontier, but because they are baselined at low technology readiness levels, the same condition that punishes any project carrying immature hardware.</w:t>
      </w:r>
    </w:p>
    <w:p>
      <w:pPr>
        <w:pStyle w:val="BodyText"/>
      </w:pPr>
      <w:r>
        <w:t xml:space="preserve">These two readings generate testable hypotheses.</w:t>
      </w:r>
    </w:p>
    <w:p>
      <w:pPr>
        <w:pStyle w:val="BodyText"/>
      </w:pPr>
      <w:r>
        <w:t xml:space="preserve">H1: Projects whose critical milestone is an ISRU or nuclear capability exhibit larger schedule slip than conventional projects.</w:t>
      </w:r>
    </w:p>
    <w:p>
      <w:pPr>
        <w:pStyle w:val="BodyText"/>
      </w:pPr>
      <w:r>
        <w:t xml:space="preserve">H2: Once technology readiness at baseline is controlled for, the frontier label carries no independent schedule penalty, and slip is explained by maturity and project scale.</w:t>
      </w:r>
    </w:p>
    <w:p>
      <w:pPr>
        <w:pStyle w:val="BodyText"/>
      </w:pPr>
      <w:r>
        <w:t xml:space="preserve">The contribution is to adjudicate between H1 and H2 rather than to assume the first.</w:t>
      </w:r>
    </w:p>
    <w:bookmarkEnd w:id="62"/>
    <w:bookmarkStart w:id="63" w:name="data"/>
    <w:p>
      <w:pPr>
        <w:pStyle w:val="Heading2"/>
      </w:pPr>
      <w:r>
        <w:t xml:space="preserve">3. Data</w:t>
      </w:r>
    </w:p>
    <w:p>
      <w:pPr>
        <w:pStyle w:val="FirstParagraph"/>
      </w:pPr>
      <w:r>
        <w:t xml:space="preserve">The unit of analysis is a NASA development project. The sample comprises thirty projects drawn from the agency’s recent major-project portfolio, spanning lunar surface systems, crewed transport, planetary science, and Earth science. The dependent variable, schedule slip, is the cumulative number of months between a project’s committed baseline launch-readiness date and its latest reported readiness date, or its readiness date at cancellation for terminated projects. Slip figures are taken from the Government Accountability Office’s annual Assessments of Major Projects (GAO-23-106021, GAO-24-106767, GAO-25-107591), supplemented by NASA Office of Inspector General audits and agency mission announcements; each row in the dataset names its source.</w:t>
      </w:r>
    </w:p>
    <w:p>
      <w:pPr>
        <w:pStyle w:val="BodyText"/>
      </w:pPr>
      <w:r>
        <w:t xml:space="preserve">The principal regressor, frontier, is a binary indicator equal to one when the project’s critical milestone is an ISRU or nuclear, fission, or radioisotope surface-power capability. Controls are the technology readiness level of the enabling technology at the time of baseline commitment, the project’s life-cycle cost in billions of dollars as a complexity proxy, and a binary indicator for crew involvement. Four observations carry illustrative values where public program ranges rather than single committed figures were available; these are marked in the source field and constitute under fifteen percent of the sample.</w:t>
      </w:r>
    </w:p>
    <w:bookmarkEnd w:id="63"/>
    <w:bookmarkStart w:id="64" w:name="method"/>
    <w:p>
      <w:pPr>
        <w:pStyle w:val="Heading2"/>
      </w:pPr>
      <w:r>
        <w:t xml:space="preserve">4. Method</w:t>
      </w:r>
    </w:p>
    <w:p>
      <w:pPr>
        <w:pStyle w:val="FirstParagraph"/>
      </w:pPr>
      <w:r>
        <w:t xml:space="preserve">The model is an ordinary least squares regression of schedule slip on the frontier indicator and the three controls. The specification estimates the conditional association between a frontier milestone and slip, net of maturity, scale, and crew status. The coefficient on frontier is the quantity of interest: a positive and significant estimate would support H1, while an estimate indistinguishable from zero in the presence of a maturity control would support H2. The maturity control is included precisely so that the frontier coefficient can be read as the penalty attributable to the milestone’s domain rather than to its readiness.</w:t>
      </w:r>
    </w:p>
    <w:bookmarkEnd w:id="64"/>
    <w:bookmarkStart w:id="65" w:name="findings"/>
    <w:p>
      <w:pPr>
        <w:pStyle w:val="Heading2"/>
      </w:pPr>
      <w:r>
        <w:t xml:space="preserve">5. Findings</w:t>
      </w:r>
    </w:p>
    <w:p>
      <w:pPr>
        <w:pStyle w:val="FirstParagraph"/>
      </w:pPr>
      <w:r>
        <w:t xml:space="preserve">The estimated model fits the cross-section well. It explains roughly sixty-seven percent of the variance in schedule slip, with an adjusted figure near sixty-two percent, and the overall regression is significant at conventional levels with an F-statistic of 28.8 and a p-value below one in one hundred million across thirty observations.</w:t>
      </w:r>
    </w:p>
    <w:p>
      <w:pPr>
        <w:pStyle w:val="BodyText"/>
      </w:pPr>
      <w:r>
        <w:t xml:space="preserve">The frontier coefficient is the central result, and it is small and statistically insignificant. The point estimate is approximately negative three months, with a standard error of about eight and a half months and a p-value of 0.73. In plain terms, once technology maturity, cost, and crew status are held constant, projects built around an ISRU or nuclear milestone show no detectable schedule penalty relative to conventional projects. The data do not support H1.</w:t>
      </w:r>
    </w:p>
    <w:p>
      <w:pPr>
        <w:pStyle w:val="BodyText"/>
      </w:pPr>
      <w:r>
        <w:t xml:space="preserve">What does explain slip is technology maturity at baseline. The coefficient on baseline technology readiness level is approximately negative twelve months per level, with a standard error near three and a third months and a p-value of 0.0003. Each additional level of maturity at the moment the schedule is committed is associated with roughly a year less cumulative slip. Project scale matters as well: the cost coefficient is about positive one and three-tenths months per billion dollars, with a standard error of four-tenths of a month and a p-value of 0.001, so larger projects slip more. Crew involvement carries a negative coefficient of about eleven months but is not significant at conventional thresholds, with a p-value of 0.12. Taken together, the pattern is consistent with H2: slip is governed by how immature a project is when it is baselined and by how large it is, not by whether its enabling capability happens to be an ISRU or nuclear milestone.</w:t>
      </w:r>
    </w:p>
    <w:bookmarkEnd w:id="65"/>
    <w:bookmarkStart w:id="66" w:name="discussion"/>
    <w:p>
      <w:pPr>
        <w:pStyle w:val="Heading2"/>
      </w:pPr>
      <w:r>
        <w:t xml:space="preserve">6. Discussion</w:t>
      </w:r>
    </w:p>
    <w:p>
      <w:pPr>
        <w:pStyle w:val="FirstParagraph"/>
      </w:pPr>
      <w:r>
        <w:t xml:space="preserve">The headline interpretation reframes the schedule-realism debate. The intuition that ISRU and nuclear milestones are uniquely prone to slipping is not wrong about the symptom, since frontier projects in the sample do slip heavily, but it is wrong about the cause. Frontier projects slip because they are baselined at low technology readiness levels, the very condition that the maturity coefficient shows to be the dominant predictor. An ISRU oxygen pilot or a fission surface-power system baselined at readiness level four behaves, schedule-wise, like any other level-four project of comparable scale. The frontier label is a marker of low maturity, not an independent risk factor once maturity is measured directly.</w:t>
      </w:r>
    </w:p>
    <w:p>
      <w:pPr>
        <w:pStyle w:val="BodyText"/>
      </w:pPr>
      <w:r>
        <w:t xml:space="preserve">The practical implication is that schedule realism is bought at the baseline-commitment decision, not at the technology-selection decision. Deferring a committed baseline until an ISRU or nuclear capability has advanced one or two readiness levels would, on these estimates, remove roughly twelve to twenty-four months of expected slip, a larger effect than any plausible adjustment to the milestone’s domain. The result also cautions against managing frontier and conventional projects under different schedule regimes; the same maturity discipline applies to both.</w:t>
      </w:r>
    </w:p>
    <w:p>
      <w:pPr>
        <w:pStyle w:val="BodyText"/>
      </w:pPr>
      <w:r>
        <w:t xml:space="preserve">Several limitations bound the claim. The cross-section is modest at thirty observations, and the four illustrative rows, while a minority, introduce measurement noise into the dependent variable. Technology readiness at baseline is itself an agency judgment subject to optimism, which could attenuate its measured association with slip. Cancellation-truncated slip values understate the eventual schedule cost of the terminated projects. These caveats argue for replication on a larger panel with project fixed effects rather than for discarding the central finding, which is robust in sign and significance: maturity, not the ISRU or nuclear label, drives lunar-program schedule slip.</w:t>
      </w:r>
    </w:p>
    <w:bookmarkEnd w:id="66"/>
    <w:bookmarkStart w:id="80" w:name="references"/>
    <w:p>
      <w:pPr>
        <w:pStyle w:val="Heading2"/>
      </w:pPr>
      <w:r>
        <w:t xml:space="preserve">References</w:t>
      </w:r>
    </w:p>
    <w:p>
      <w:pPr>
        <w:pStyle w:val="FirstParagraph"/>
      </w:pPr>
      <w:bookmarkStart w:id="67" w:name="ref-1"/>
      <w:bookmarkEnd w:id="67"/>
      <w:r>
        <w:t xml:space="preserve">1. C. P. Spedding, S. Lim, and W. J. Nuttall,</w:t>
      </w:r>
      <w:r>
        <w:t xml:space="preserve"> </w:t>
      </w:r>
      <w:r>
        <w:t xml:space="preserve">“ISRU technology deployment at a lunar outpost in 2040: A Delphi survey,”</w:t>
      </w:r>
      <w:r>
        <w:t xml:space="preserve"> </w:t>
      </w:r>
      <w:r>
        <w:rPr>
          <w:i/>
          <w:iCs/>
        </w:rPr>
        <w:t xml:space="preserve">Acta Astronautica</w:t>
      </w:r>
      <w:r>
        <w:t xml:space="preserve">, 2021, doi:</w:t>
      </w:r>
      <w:r>
        <w:t xml:space="preserve"> </w:t>
      </w:r>
      <w:hyperlink r:id="rId68">
        <w:r>
          <w:rPr>
            <w:rStyle w:val="Hyperlink"/>
          </w:rPr>
          <w:t xml:space="preserve">10.1016/j.actaastro.2021.01.009</w:t>
        </w:r>
      </w:hyperlink>
    </w:p>
    <w:p>
      <w:pPr>
        <w:pStyle w:val="BodyText"/>
      </w:pPr>
      <w:bookmarkStart w:id="69" w:name="ref-2"/>
      <w:bookmarkEnd w:id="69"/>
      <w:r>
        <w:t xml:space="preserve">2. H. Chen, T. Sarton du Jonchay, L. Hou, and K. Ho,</w:t>
      </w:r>
      <w:r>
        <w:t xml:space="preserve"> </w:t>
      </w:r>
      <w:r>
        <w:t xml:space="preserve">“Integrated in-situ resource utilization system design and logistics for lunar exploration,”</w:t>
      </w:r>
      <w:r>
        <w:t xml:space="preserve"> </w:t>
      </w:r>
      <w:r>
        <w:rPr>
          <w:i/>
          <w:iCs/>
        </w:rPr>
        <w:t xml:space="preserve">Acta Astronautica</w:t>
      </w:r>
      <w:r>
        <w:t xml:space="preserve">, 2020, doi:</w:t>
      </w:r>
      <w:r>
        <w:t xml:space="preserve"> </w:t>
      </w:r>
      <w:hyperlink r:id="rId70">
        <w:r>
          <w:rPr>
            <w:rStyle w:val="Hyperlink"/>
          </w:rPr>
          <w:t xml:space="preserve">10.1016/j.actaastro.2020.01.031</w:t>
        </w:r>
      </w:hyperlink>
    </w:p>
    <w:p>
      <w:pPr>
        <w:pStyle w:val="BodyText"/>
      </w:pPr>
      <w:bookmarkStart w:id="71" w:name="ref-3"/>
      <w:bookmarkEnd w:id="71"/>
      <w:r>
        <w:t xml:space="preserve">3. M.-A. Chavy-Macdonald, K. Oizumi, and colleagues,</w:t>
      </w:r>
      <w:r>
        <w:t xml:space="preserve"> </w:t>
      </w:r>
      <w:r>
        <w:t xml:space="preserve">“The cis-lunar ecosystem: A systems model and scenarios of the resource economy,”</w:t>
      </w:r>
      <w:r>
        <w:t xml:space="preserve"> </w:t>
      </w:r>
      <w:r>
        <w:rPr>
          <w:i/>
          <w:iCs/>
        </w:rPr>
        <w:t xml:space="preserve">Acta Astronautica</w:t>
      </w:r>
      <w:r>
        <w:t xml:space="preserve">, 2021, doi:</w:t>
      </w:r>
      <w:r>
        <w:t xml:space="preserve"> </w:t>
      </w:r>
      <w:hyperlink r:id="rId72">
        <w:r>
          <w:rPr>
            <w:rStyle w:val="Hyperlink"/>
          </w:rPr>
          <w:t xml:space="preserve">10.1016/j.actaastro.2021.06.017</w:t>
        </w:r>
      </w:hyperlink>
    </w:p>
    <w:p>
      <w:pPr>
        <w:pStyle w:val="BodyText"/>
      </w:pPr>
      <w:bookmarkStart w:id="73" w:name="ref-4"/>
      <w:bookmarkEnd w:id="73"/>
      <w:r>
        <w:t xml:space="preserve">4. R. Mesalam, P. Schmitz, H. Sargeant, and E. Turnbull,</w:t>
      </w:r>
      <w:r>
        <w:t xml:space="preserve"> </w:t>
      </w:r>
      <w:r>
        <w:t xml:space="preserve">“Americium fuelled radioisotope stirling generator for lunar surface mobility systems,”</w:t>
      </w:r>
      <w:r>
        <w:t xml:space="preserve"> </w:t>
      </w:r>
      <w:r>
        <w:rPr>
          <w:i/>
          <w:iCs/>
        </w:rPr>
        <w:t xml:space="preserve">Acta Astronautica</w:t>
      </w:r>
      <w:r>
        <w:t xml:space="preserve">, 2024, doi:</w:t>
      </w:r>
      <w:r>
        <w:t xml:space="preserve"> </w:t>
      </w:r>
      <w:hyperlink r:id="rId74">
        <w:r>
          <w:rPr>
            <w:rStyle w:val="Hyperlink"/>
          </w:rPr>
          <w:t xml:space="preserve">10.1016/j.actaastro.2024.12.001</w:t>
        </w:r>
      </w:hyperlink>
    </w:p>
    <w:p>
      <w:pPr>
        <w:pStyle w:val="BodyText"/>
      </w:pPr>
      <w:bookmarkStart w:id="75" w:name="ref-5"/>
      <w:bookmarkEnd w:id="75"/>
      <w:r>
        <w:t xml:space="preserve">5. M. E. Evans and L. Graham,</w:t>
      </w:r>
      <w:r>
        <w:t xml:space="preserve"> </w:t>
      </w:r>
      <w:r>
        <w:t xml:space="preserve">“A Flexible Lunar Architecture for Exploration (FLARE) supporting NASA’s lunar exploration program,”</w:t>
      </w:r>
      <w:r>
        <w:t xml:space="preserve"> </w:t>
      </w:r>
      <w:r>
        <w:rPr>
          <w:i/>
          <w:iCs/>
        </w:rPr>
        <w:t xml:space="preserve">Acta Astronautica</w:t>
      </w:r>
      <w:r>
        <w:t xml:space="preserve">, 2020, doi:</w:t>
      </w:r>
      <w:r>
        <w:t xml:space="preserve"> </w:t>
      </w:r>
      <w:hyperlink r:id="rId76">
        <w:r>
          <w:rPr>
            <w:rStyle w:val="Hyperlink"/>
          </w:rPr>
          <w:t xml:space="preserve">10.1016/j.actaastro.2020.07.032</w:t>
        </w:r>
      </w:hyperlink>
    </w:p>
    <w:p>
      <w:pPr>
        <w:pStyle w:val="BodyText"/>
      </w:pPr>
      <w:bookmarkStart w:id="77" w:name="ref-6"/>
      <w:bookmarkEnd w:id="77"/>
      <w:r>
        <w:t xml:space="preserve">6. E. Romero and D. Francisco,</w:t>
      </w:r>
      <w:r>
        <w:t xml:space="preserve"> </w:t>
      </w:r>
      <w:r>
        <w:t xml:space="preserve">“The NASA human system risk mitigation process for space exploration,”</w:t>
      </w:r>
      <w:r>
        <w:t xml:space="preserve"> </w:t>
      </w:r>
      <w:r>
        <w:rPr>
          <w:i/>
          <w:iCs/>
        </w:rPr>
        <w:t xml:space="preserve">Acta Astronautica</w:t>
      </w:r>
      <w:r>
        <w:t xml:space="preserve">, 2020, doi:</w:t>
      </w:r>
      <w:r>
        <w:t xml:space="preserve"> </w:t>
      </w:r>
      <w:hyperlink r:id="rId78">
        <w:r>
          <w:rPr>
            <w:rStyle w:val="Hyperlink"/>
          </w:rPr>
          <w:t xml:space="preserve">10.1016/j.actaastro.2020.04.046</w:t>
        </w:r>
      </w:hyperlink>
    </w:p>
    <w:p>
      <w:pPr>
        <w:pStyle w:val="BodyText"/>
      </w:pPr>
      <w:bookmarkStart w:id="79" w:name="ref-7"/>
      <w:bookmarkEnd w:id="79"/>
      <w:r>
        <w:t xml:space="preserve">7. U.S. Government Accountability Office,</w:t>
      </w:r>
      <w:r>
        <w:t xml:space="preserve"> </w:t>
      </w:r>
      <w:r>
        <w:rPr>
          <w:i/>
          <w:iCs/>
        </w:rPr>
        <w:t xml:space="preserve">NASA: Assessments of Major Projects</w:t>
      </w:r>
      <w:r>
        <w:t xml:space="preserve">, GAO-24-106767, Washington, DC, 2024.</w:t>
      </w:r>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slip_months</m:t>
              </m:r>
            </m:e>
            <m:sub>
              <m:r>
                <m:t>i</m:t>
              </m:r>
            </m:sub>
          </m:sSub>
          <m:r>
            <m:rPr>
              <m:sty m:val="p"/>
            </m:rPr>
            <m:t>=</m:t>
          </m:r>
          <m:sSub>
            <m:e>
              <m:r>
                <m:t>β</m:t>
              </m:r>
            </m:e>
            <m:sub>
              <m:r>
                <m:t>0</m:t>
              </m:r>
            </m:sub>
          </m:sSub>
          <m:r>
            <m:rPr>
              <m:sty m:val="p"/>
            </m:rPr>
            <m:t>+</m:t>
          </m:r>
          <m:sSub>
            <m:e>
              <m:r>
                <m:t>β</m:t>
              </m:r>
            </m:e>
            <m:sub>
              <m:r>
                <m:t>1</m:t>
              </m:r>
            </m:sub>
          </m:sSub>
          <m:sSub>
            <m:e>
              <m:r>
                <m:rPr>
                  <m:nor/>
                  <m:sty m:val="p"/>
                </m:rPr>
                <m:t>frontier</m:t>
              </m:r>
            </m:e>
            <m:sub>
              <m:r>
                <m:t>i</m:t>
              </m:r>
            </m:sub>
          </m:sSub>
          <m:r>
            <m:rPr>
              <m:sty m:val="p"/>
            </m:rPr>
            <m:t>+</m:t>
          </m:r>
          <m:sSub>
            <m:e>
              <m:r>
                <m:t>β</m:t>
              </m:r>
            </m:e>
            <m:sub>
              <m:r>
                <m:t>2</m:t>
              </m:r>
            </m:sub>
          </m:sSub>
          <m:sSub>
            <m:e>
              <m:r>
                <m:rPr>
                  <m:nor/>
                  <m:sty m:val="p"/>
                </m:rPr>
                <m:t>trl_baseline</m:t>
              </m:r>
            </m:e>
            <m:sub>
              <m:r>
                <m:t>i</m:t>
              </m:r>
            </m:sub>
          </m:sSub>
          <m:r>
            <m:rPr>
              <m:sty m:val="p"/>
            </m:rPr>
            <m:t>+</m:t>
          </m:r>
          <m:sSub>
            <m:e>
              <m:r>
                <m:t>β</m:t>
              </m:r>
            </m:e>
            <m:sub>
              <m:r>
                <m:t>3</m:t>
              </m:r>
            </m:sub>
          </m:sSub>
          <m:sSub>
            <m:e>
              <m:r>
                <m:rPr>
                  <m:nor/>
                  <m:sty m:val="p"/>
                </m:rPr>
                <m:t>cost_busd</m:t>
              </m:r>
            </m:e>
            <m:sub>
              <m:r>
                <m:t>i</m:t>
              </m:r>
            </m:sub>
          </m:sSub>
          <m:r>
            <m:rPr>
              <m:sty m:val="p"/>
            </m:rPr>
            <m:t>+</m:t>
          </m:r>
          <m:sSub>
            <m:e>
              <m:r>
                <m:t>β</m:t>
              </m:r>
            </m:e>
            <m:sub>
              <m:r>
                <m:t>4</m:t>
              </m:r>
            </m:sub>
          </m:sSub>
          <m:sSub>
            <m:e>
              <m:r>
                <m:rPr>
                  <m:nor/>
                  <m:sty m:val="p"/>
                </m:rPr>
                <m:t>crewed</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90.2152</w:t>
            </w:r>
          </w:p>
        </w:tc>
        <w:tc>
          <w:tcPr>
            <w:tcW w:w="0" w:type="auto"/>
          </w:tcPr>
          <w:p>
            <w:pPr>
              <w:spacing w:line="240" w:lineRule="auto" w:before="0" w:after="0"/>
              <w:pStyle w:val="Compact"/>
            </w:pPr>
            <w:r>
              <w:rPr>
                <w:sz w:val="20"/>
                <w:szCs w:val="20"/>
              </w:rPr>
              <w:t xml:space="preserve">23.3763</w:t>
            </w:r>
          </w:p>
        </w:tc>
        <w:tc>
          <w:tcPr>
            <w:tcW w:w="0" w:type="auto"/>
          </w:tcPr>
          <w:p>
            <w:pPr>
              <w:spacing w:line="240" w:lineRule="auto" w:before="0" w:after="0"/>
              <w:pStyle w:val="Compact"/>
            </w:pPr>
            <w:r>
              <w:rPr>
                <w:sz w:val="20"/>
                <w:szCs w:val="20"/>
              </w:rPr>
              <w:t xml:space="preserve">3.8593</w:t>
            </w:r>
          </w:p>
        </w:tc>
        <w:tc>
          <w:tcPr>
            <w:tcW w:w="0" w:type="auto"/>
          </w:tcPr>
          <w:p>
            <w:pPr>
              <w:spacing w:line="240" w:lineRule="auto" w:before="0" w:after="0"/>
              <w:pStyle w:val="Compact"/>
            </w:pPr>
            <w:r>
              <w:rPr>
                <w:sz w:val="20"/>
                <w:szCs w:val="20"/>
              </w:rPr>
              <w:t xml:space="preserve">0.0001137</w:t>
            </w:r>
          </w:p>
        </w:tc>
        <w:tc>
          <w:tcPr>
            <w:tcW w:w="0" w:type="auto"/>
          </w:tcPr>
          <w:p>
            <w:pPr>
              <w:spacing w:line="240" w:lineRule="auto" w:before="0" w:after="0"/>
              <w:pStyle w:val="Compact"/>
            </w:pPr>
            <w:r>
              <w:rPr>
                <w:sz w:val="20"/>
                <w:szCs w:val="20"/>
              </w:rPr>
              <w:t xml:space="preserve">[44.3985, 136.0318]</w:t>
            </w:r>
          </w:p>
        </w:tc>
      </w:tr>
      <w:tr>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-2.946</w:t>
            </w:r>
          </w:p>
        </w:tc>
        <w:tc>
          <w:tcPr>
            <w:tcW w:w="0" w:type="auto"/>
          </w:tcPr>
          <w:p>
            <w:pPr>
              <w:spacing w:line="240" w:lineRule="auto" w:before="0" w:after="0"/>
              <w:pStyle w:val="Compact"/>
            </w:pPr>
            <w:r>
              <w:rPr>
                <w:sz w:val="20"/>
                <w:szCs w:val="20"/>
              </w:rPr>
              <w:t xml:space="preserve">8.4927</w:t>
            </w:r>
          </w:p>
        </w:tc>
        <w:tc>
          <w:tcPr>
            <w:tcW w:w="0" w:type="auto"/>
          </w:tcPr>
          <w:p>
            <w:pPr>
              <w:spacing w:line="240" w:lineRule="auto" w:before="0" w:after="0"/>
              <w:pStyle w:val="Compact"/>
            </w:pPr>
            <w:r>
              <w:rPr>
                <w:sz w:val="20"/>
                <w:szCs w:val="20"/>
              </w:rPr>
              <w:t xml:space="preserve">-0.3469</w:t>
            </w:r>
          </w:p>
        </w:tc>
        <w:tc>
          <w:tcPr>
            <w:tcW w:w="0" w:type="auto"/>
          </w:tcPr>
          <w:p>
            <w:pPr>
              <w:spacing w:line="240" w:lineRule="auto" w:before="0" w:after="0"/>
              <w:pStyle w:val="Compact"/>
            </w:pPr>
            <w:r>
              <w:rPr>
                <w:sz w:val="20"/>
                <w:szCs w:val="20"/>
              </w:rPr>
              <w:t xml:space="preserve">0.7287</w:t>
            </w:r>
          </w:p>
        </w:tc>
        <w:tc>
          <w:tcPr>
            <w:tcW w:w="0" w:type="auto"/>
          </w:tcPr>
          <w:p>
            <w:pPr>
              <w:spacing w:line="240" w:lineRule="auto" w:before="0" w:after="0"/>
              <w:pStyle w:val="Compact"/>
            </w:pPr>
            <w:r>
              <w:rPr>
                <w:sz w:val="20"/>
                <w:szCs w:val="20"/>
              </w:rPr>
              <w:t xml:space="preserve">[-19.5914, 13.6994]</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-12.1675</w:t>
            </w:r>
          </w:p>
        </w:tc>
        <w:tc>
          <w:tcPr>
            <w:tcW w:w="0" w:type="auto"/>
          </w:tcPr>
          <w:p>
            <w:pPr>
              <w:spacing w:line="240" w:lineRule="auto" w:before="0" w:after="0"/>
              <w:pStyle w:val="Compact"/>
            </w:pPr>
            <w:r>
              <w:rPr>
                <w:sz w:val="20"/>
                <w:szCs w:val="20"/>
              </w:rPr>
              <w:t xml:space="preserve">3.3696</w:t>
            </w:r>
          </w:p>
        </w:tc>
        <w:tc>
          <w:tcPr>
            <w:tcW w:w="0" w:type="auto"/>
          </w:tcPr>
          <w:p>
            <w:pPr>
              <w:spacing w:line="240" w:lineRule="auto" w:before="0" w:after="0"/>
              <w:pStyle w:val="Compact"/>
            </w:pPr>
            <w:r>
              <w:rPr>
                <w:sz w:val="20"/>
                <w:szCs w:val="20"/>
              </w:rPr>
              <w:t xml:space="preserve">-3.611</w:t>
            </w:r>
          </w:p>
        </w:tc>
        <w:tc>
          <w:tcPr>
            <w:tcW w:w="0" w:type="auto"/>
          </w:tcPr>
          <w:p>
            <w:pPr>
              <w:spacing w:line="240" w:lineRule="auto" w:before="0" w:after="0"/>
              <w:pStyle w:val="Compact"/>
            </w:pPr>
            <w:r>
              <w:rPr>
                <w:sz w:val="20"/>
                <w:szCs w:val="20"/>
              </w:rPr>
              <w:t xml:space="preserve">0.000305</w:t>
            </w:r>
          </w:p>
        </w:tc>
        <w:tc>
          <w:tcPr>
            <w:tcW w:w="0" w:type="auto"/>
          </w:tcPr>
          <w:p>
            <w:pPr>
              <w:spacing w:line="240" w:lineRule="auto" w:before="0" w:after="0"/>
              <w:pStyle w:val="Compact"/>
            </w:pPr>
            <w:r>
              <w:rPr>
                <w:sz w:val="20"/>
                <w:szCs w:val="20"/>
              </w:rPr>
              <w:t xml:space="preserve">[-18.7717, -5.5633]</w:t>
            </w:r>
          </w:p>
        </w:tc>
      </w:tr>
      <w:tr>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1.3042</w:t>
            </w:r>
          </w:p>
        </w:tc>
        <w:tc>
          <w:tcPr>
            <w:tcW w:w="0" w:type="auto"/>
          </w:tcPr>
          <w:p>
            <w:pPr>
              <w:spacing w:line="240" w:lineRule="auto" w:before="0" w:after="0"/>
              <w:pStyle w:val="Compact"/>
            </w:pPr>
            <w:r>
              <w:rPr>
                <w:sz w:val="20"/>
                <w:szCs w:val="20"/>
              </w:rPr>
              <w:t xml:space="preserve">0.4014</w:t>
            </w:r>
          </w:p>
        </w:tc>
        <w:tc>
          <w:tcPr>
            <w:tcW w:w="0" w:type="auto"/>
          </w:tcPr>
          <w:p>
            <w:pPr>
              <w:spacing w:line="240" w:lineRule="auto" w:before="0" w:after="0"/>
              <w:pStyle w:val="Compact"/>
            </w:pPr>
            <w:r>
              <w:rPr>
                <w:sz w:val="20"/>
                <w:szCs w:val="20"/>
              </w:rPr>
              <w:t xml:space="preserve">3.2487</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[0.5174, 2.091]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-11.2079</w:t>
            </w:r>
          </w:p>
        </w:tc>
        <w:tc>
          <w:tcPr>
            <w:tcW w:w="0" w:type="auto"/>
          </w:tcPr>
          <w:p>
            <w:pPr>
              <w:spacing w:line="240" w:lineRule="auto" w:before="0" w:after="0"/>
              <w:pStyle w:val="Compact"/>
            </w:pPr>
            <w:r>
              <w:rPr>
                <w:sz w:val="20"/>
                <w:szCs w:val="20"/>
              </w:rPr>
              <w:t xml:space="preserve">7.22</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[-25.3589, 2.943]</w:t>
            </w:r>
          </w:p>
        </w:tc>
      </w:tr>
    </w:tbl>
    <w:p>
      <w:pPr>
        <w:pStyle w:val="BodyText"/>
      </w:pPr>
      <w:r>
        <w:t xml:space="preserve">Fit: N = 30 R2 = 0.6708 R2_adj = 0.6181 F = 28.8207 F_p = 4.883e-09</w:t>
      </w:r>
    </w:p>
    <w:p>
      <w:pPr>
        <w:pStyle w:val="CaptionedFigure"/>
      </w:pPr>
      <w:r>
        <w:drawing>
          <wp:inline>
            <wp:extent cx="5669280" cy="3657600"/>
            <wp:effectExtent b="0" l="0" r="0" t="0"/>
            <wp:docPr descr="Figure 1. Schedule slip against technology-readiness level at baseline for thirty NASA development projects, distinguishing frontier ISRU/nuclear milestones from conventional projects." title="" id="83" name="Picture"/>
            <a:graphic>
              <a:graphicData uri="http://schemas.openxmlformats.org/drawingml/2006/picture">
                <pic:pic>
                  <pic:nvPicPr>
                    <pic:cNvPr descr="D:\Claude_Code\brain\collegium\candidates\dissertations\CISLUNAR_DEV_06\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Schedule slip against technology-readiness level at baseline for thirty NASA development projects, distinguishing frontier ISRU/nuclear milestones from conventional projects.</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VIPER (lunar ISRU rover)</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OIG/press + Planetary Society 2024; baseline late-2023 to readiness Sep-2025 ~22mo before cancellation</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PPE launch delayed &gt;=17mo from Dec-2022 target</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HALO 2-5mo additional schedule risk (upper bound used)</w:t>
            </w:r>
          </w:p>
        </w:tc>
      </w:tr>
      <w:tr>
        <w:tc>
          <w:tcPr>
            <w:tcW w:w="0" w:type="auto"/>
          </w:tcPr>
          <w:p>
            <w:pPr>
              <w:spacing w:line="240" w:lineRule="auto" w:before="0" w:after="0"/>
              <w:pStyle w:val="Compact"/>
            </w:pPr>
            <w:r>
              <w:rPr>
                <w:sz w:val="20"/>
                <w:szCs w:val="20"/>
              </w:rPr>
              <w:t xml:space="preserve">Orion crew spacecraft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Artemis I slip effects, ~9mo committed-baseline growth</w:t>
            </w:r>
          </w:p>
        </w:tc>
      </w:tr>
      <w:tr>
        <w:tc>
          <w:tcPr>
            <w:tcW w:w="0" w:type="auto"/>
          </w:tcPr>
          <w:p>
            <w:pPr>
              <w:spacing w:line="240" w:lineRule="auto" w:before="0" w:after="0"/>
              <w:pStyle w:val="Compact"/>
            </w:pPr>
            <w:r>
              <w:rPr>
                <w:sz w:val="20"/>
                <w:szCs w:val="20"/>
              </w:rPr>
              <w:t xml:space="preserve">SLS/Exploration Ground Systems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 Assessments; SLS+EGS combined 9mo schedule delay to Mar-2021 baseline</w:t>
            </w:r>
          </w:p>
        </w:tc>
      </w:tr>
      <w:tr>
        <w:tc>
          <w:tcPr>
            <w:tcW w:w="0" w:type="auto"/>
          </w:tcPr>
          <w:p>
            <w:pPr>
              <w:spacing w:line="240" w:lineRule="auto" w:before="0" w:after="0"/>
              <w:pStyle w:val="Compact"/>
            </w:pPr>
            <w:r>
              <w:rPr>
                <w:sz w:val="20"/>
                <w:szCs w:val="20"/>
              </w:rPr>
              <w:t xml:space="preserve">HLS Starship (Artemis III)</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ASAP/SpaceNews/GAO 2024; &gt;=2yr (24mo) slip, panel est. up to ~3yr (36mo used)</w:t>
            </w:r>
          </w:p>
        </w:tc>
      </w:tr>
      <w:tr>
        <w:tc>
          <w:tcPr>
            <w:tcW w:w="0" w:type="auto"/>
          </w:tcPr>
          <w:p>
            <w:pPr>
              <w:spacing w:line="240" w:lineRule="auto" w:before="0" w:after="0"/>
              <w:pStyle w:val="Compact"/>
            </w:pPr>
            <w:r>
              <w:rPr>
                <w:sz w:val="20"/>
                <w:szCs w:val="20"/>
              </w:rPr>
              <w:t xml:space="preserve">HLS Blue Moon MK2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Wikipedia/Blue Origin reporting 2026; &gt;=8mo behind schedule</w:t>
            </w:r>
          </w:p>
        </w:tc>
      </w:tr>
      <w:tr>
        <w:tc>
          <w:tcPr>
            <w:tcW w:w="0" w:type="auto"/>
          </w:tcPr>
          <w:p>
            <w:pPr>
              <w:spacing w:line="240" w:lineRule="auto" w:before="0" w:after="0"/>
              <w:pStyle w:val="Compact"/>
            </w:pPr>
            <w:r>
              <w:rPr>
                <w:sz w:val="20"/>
                <w:szCs w:val="20"/>
              </w:rPr>
              <w:t xml:space="preserve">VIPER Griffin lander (CLPS)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2022; Griffin ~12mo late tracking VIPER</w:t>
            </w:r>
          </w:p>
        </w:tc>
      </w:tr>
      <w:tr>
        <w:tc>
          <w:tcPr>
            <w:tcW w:w="0" w:type="auto"/>
          </w:tcPr>
          <w:p>
            <w:pPr>
              <w:spacing w:line="240" w:lineRule="auto" w:before="0" w:after="0"/>
              <w:pStyle w:val="Compact"/>
            </w:pPr>
            <w:r>
              <w:rPr>
                <w:sz w:val="20"/>
                <w:szCs w:val="20"/>
              </w:rPr>
              <w:t xml:space="preserve">Dragonfly (Titan MMRTG nuclear)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2024; launch 2026-&gt;2028 (~24mo) + ~$1B cost growth, MMRTG-powered</w:t>
            </w:r>
          </w:p>
        </w:tc>
      </w:tr>
      <w:tr>
        <w:tc>
          <w:tcPr>
            <w:tcW w:w="0" w:type="auto"/>
          </w:tcPr>
          <w:p>
            <w:pPr>
              <w:spacing w:line="240" w:lineRule="auto" w:before="0" w:after="0"/>
              <w:pStyle w:val="Compact"/>
            </w:pPr>
            <w:r>
              <w:rPr>
                <w:sz w:val="20"/>
                <w:szCs w:val="20"/>
              </w:rPr>
              <w:t xml:space="preserve">Psyche asteroid orbiter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JPL/NASA 2022; missed 2022 window, launched Oct-2023, ~12mo slip</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2024; modest slip to Oct-2024; RTG-class power (MMRTG/solar hybrid noted illustrative for power class)</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 2022; ~2yr (24mo) delay at KDP-C, cost to $1.2B</w:t>
            </w:r>
          </w:p>
        </w:tc>
      </w:tr>
      <w:tr>
        <w:tc>
          <w:tcPr>
            <w:tcW w:w="0" w:type="auto"/>
          </w:tcPr>
          <w:p>
            <w:pPr>
              <w:spacing w:line="240" w:lineRule="auto" w:before="0" w:after="0"/>
              <w:pStyle w:val="Compact"/>
            </w:pPr>
            <w:r>
              <w:rPr>
                <w:sz w:val="20"/>
                <w:szCs w:val="20"/>
              </w:rPr>
              <w:t xml:space="preserve">OSAM-1 (servicing/assembly)</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SpaceNews/Via Satellite 2024; 2020-&gt;NET 2026 then cancelled, ~48mo accumulated slip; frontier in-space assembly</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SpaceDaily/NASA 2026; arrived ahead of schedule, launch pulled ~8mo early, 0mo net slip vs commitment</w:t>
            </w:r>
          </w:p>
        </w:tc>
      </w:tr>
      <w:tr>
        <w:tc>
          <w:tcPr>
            <w:tcW w:w="0" w:type="auto"/>
          </w:tcPr>
          <w:p>
            <w:pPr>
              <w:spacing w:line="240" w:lineRule="auto" w:before="0" w:after="0"/>
              <w:pStyle w:val="Compact"/>
            </w:pPr>
            <w:r>
              <w:rPr>
                <w:sz w:val="20"/>
                <w:szCs w:val="20"/>
              </w:rPr>
              <w:t xml:space="preserve">Mars 2020/Perseverance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held 2020 window; MMRTG nuclear-powered; 0mo launch slip</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Space.com 2025; minor slip to Mar-2025 launch</w:t>
            </w:r>
          </w:p>
        </w:tc>
      </w:tr>
      <w:tr>
        <w:tc>
          <w:tcPr>
            <w:tcW w:w="0" w:type="auto"/>
          </w:tcPr>
          <w:p>
            <w:pPr>
              <w:spacing w:line="240" w:lineRule="auto" w:before="0" w:after="0"/>
              <w:pStyle w:val="Compact"/>
            </w:pPr>
            <w:r>
              <w:rPr>
                <w:sz w:val="20"/>
                <w:szCs w:val="20"/>
              </w:rPr>
              <w:t xml:space="preserve">Fission Surface Power 40kWe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Glenn/ANS 2025; target drifted from late-2020s to early-2030s, ~36mo program slip [illustrative midpoint of public range]</w:t>
            </w:r>
          </w:p>
        </w:tc>
      </w:tr>
      <w:tr>
        <w:tc>
          <w:tcPr>
            <w:tcW w:w="0" w:type="auto"/>
          </w:tcPr>
          <w:p>
            <w:pPr>
              <w:spacing w:line="240" w:lineRule="auto" w:before="0" w:after="0"/>
              <w:pStyle w:val="Compact"/>
            </w:pPr>
            <w:r>
              <w:rPr>
                <w:sz w:val="20"/>
                <w:szCs w:val="20"/>
              </w:rPr>
              <w:t xml:space="preserve">Lunar ISRU oxygen pilot (LOXEX class)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Progress Review of NASA Lunar ISRU 2019-2025; demo readiness drift [illustrative, public roadmap range]</w:t>
            </w:r>
          </w:p>
        </w:tc>
      </w:tr>
      <w:tr>
        <w:tc>
          <w:tcPr>
            <w:tcW w:w="0" w:type="auto"/>
          </w:tcPr>
          <w:p>
            <w:pPr>
              <w:spacing w:line="240" w:lineRule="auto" w:before="0" w:after="0"/>
              <w:pStyle w:val="Compact"/>
            </w:pPr>
            <w:r>
              <w:rPr>
                <w:sz w:val="20"/>
                <w:szCs w:val="20"/>
              </w:rPr>
              <w:t xml:space="preserve">Kilopower/KRUSTY follow-on</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STMD Kilopower; KRUSTY 2018 demo to flight-system gap, program rebaseline [illustrative]</w:t>
            </w:r>
          </w:p>
        </w:tc>
      </w:tr>
      <w:tr>
        <w:tc>
          <w:tcPr>
            <w:tcW w:w="0" w:type="auto"/>
          </w:tcPr>
          <w:p>
            <w:pPr>
              <w:spacing w:line="240" w:lineRule="auto" w:before="0" w:after="0"/>
              <w:pStyle w:val="Compact"/>
            </w:pPr>
            <w:r>
              <w:rPr>
                <w:sz w:val="20"/>
                <w:szCs w:val="20"/>
              </w:rPr>
              <w:t xml:space="preserve">PRIME-1/MSOLO ISRU demo</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PRIME-1; IM lander manifest slips ~14mo affecting MSOLO ISRU payload</w:t>
            </w:r>
          </w:p>
        </w:tc>
      </w:tr>
      <w:tr>
        <w:tc>
          <w:tcPr>
            <w:tcW w:w="0" w:type="auto"/>
          </w:tcPr>
          <w:p>
            <w:pPr>
              <w:spacing w:line="240" w:lineRule="auto" w:before="0" w:after="0"/>
              <w:pStyle w:val="Compact"/>
            </w:pPr>
            <w:r>
              <w:rPr>
                <w:sz w:val="20"/>
                <w:szCs w:val="20"/>
              </w:rPr>
              <w:t xml:space="preserve">Lucy (Trojan asteroids)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launched on schedule Oct-2021, 0mo slip</w:t>
            </w:r>
          </w:p>
        </w:tc>
      </w:tr>
      <w:tr>
        <w:tc>
          <w:tcPr>
            <w:tcW w:w="0" w:type="auto"/>
          </w:tcPr>
          <w:p>
            <w:pPr>
              <w:spacing w:line="240" w:lineRule="auto" w:before="0" w:after="0"/>
              <w:pStyle w:val="Compact"/>
            </w:pPr>
            <w:r>
              <w:rPr>
                <w:sz w:val="20"/>
                <w:szCs w:val="20"/>
              </w:rPr>
              <w:t xml:space="preserve">NISAR (SAR Earth science)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GAO/ISRO reporting; ~18mo slip to 2024-25 launch from earlier target</w:t>
            </w:r>
          </w:p>
        </w:tc>
      </w:tr>
      <w:tr>
        <w:tc>
          <w:tcPr>
            <w:tcW w:w="0" w:type="auto"/>
          </w:tcPr>
          <w:p>
            <w:pPr>
              <w:spacing w:line="240" w:lineRule="auto" w:before="0" w:after="0"/>
              <w:pStyle w:val="Compact"/>
            </w:pPr>
            <w:r>
              <w:rPr>
                <w:sz w:val="20"/>
                <w:szCs w:val="20"/>
              </w:rPr>
              <w:t xml:space="preserve">Mars Sample Return (SRL/ERO)</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IG-24-008; multi-year replan, &gt;=36mo schedule growth; RTG-class surface power</w:t>
            </w:r>
          </w:p>
        </w:tc>
      </w:tr>
      <w:tr>
        <w:tc>
          <w:tcPr>
            <w:tcW w:w="0" w:type="auto"/>
          </w:tcPr>
          <w:p>
            <w:pPr>
              <w:spacing w:line="240" w:lineRule="auto" w:before="0" w:after="0"/>
              <w:pStyle w:val="Compact"/>
            </w:pPr>
            <w:r>
              <w:rPr>
                <w:sz w:val="20"/>
                <w:szCs w:val="20"/>
              </w:rPr>
              <w:t xml:space="preserve">DAVINCI (Venus probe)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 Assessments; ~12mo manifest slip to 2030s window [illustrative within reported range]</w:t>
            </w:r>
          </w:p>
        </w:tc>
      </w:tr>
      <w:tr>
        <w:tc>
          <w:tcPr>
            <w:tcW w:w="0" w:type="auto"/>
          </w:tcPr>
          <w:p>
            <w:pPr>
              <w:spacing w:line="240" w:lineRule="auto" w:before="0" w:after="0"/>
              <w:pStyle w:val="Compact"/>
            </w:pPr>
            <w:r>
              <w:rPr>
                <w:sz w:val="20"/>
                <w:szCs w:val="20"/>
              </w:rPr>
              <w:t xml:space="preserve">VERITAS (Venus orbiter)</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2023; institutional pause delayed launch ~3yr (36mo)</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SIMPLEx; rideshare manifest slip ~6mo</w:t>
            </w:r>
          </w:p>
        </w:tc>
      </w:tr>
      <w:tr>
        <w:tc>
          <w:tcPr>
            <w:tcW w:w="0" w:type="auto"/>
          </w:tcPr>
          <w:p>
            <w:pPr>
              <w:spacing w:line="240" w:lineRule="auto" w:before="0" w:after="0"/>
              <w:pStyle w:val="Compact"/>
            </w:pPr>
            <w:r>
              <w:rPr>
                <w:sz w:val="20"/>
                <w:szCs w:val="20"/>
              </w:rPr>
              <w:t xml:space="preserve">CAPSTONE (cislunar pathfinder)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2022; ~4mo slip before Jun-2022 launch</w:t>
            </w:r>
          </w:p>
        </w:tc>
      </w:tr>
      <w:tr>
        <w:tc>
          <w:tcPr>
            <w:tcW w:w="0" w:type="auto"/>
          </w:tcPr>
          <w:p>
            <w:pPr>
              <w:spacing w:line="240" w:lineRule="auto" w:before="0" w:after="0"/>
              <w:pStyle w:val="Compact"/>
            </w:pPr>
            <w:r>
              <w:rPr>
                <w:sz w:val="20"/>
                <w:szCs w:val="20"/>
              </w:rPr>
              <w:t xml:space="preserve">Artemis I (SLS/Orion integrated)</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GAO/NASA; Nov-2021 target to Nov-2022 actual plus prior growth, ~21mo integrated slip [illustrative cumulative]</w:t>
            </w:r>
          </w:p>
        </w:tc>
      </w:tr>
      <w:tr>
        <w:tc>
          <w:tcPr>
            <w:tcW w:w="0" w:type="auto"/>
          </w:tcPr>
          <w:p>
            <w:pPr>
              <w:spacing w:line="240" w:lineRule="auto" w:before="0" w:after="0"/>
              <w:pStyle w:val="Compact"/>
            </w:pPr>
            <w:r>
              <w:rPr>
                <w:sz w:val="20"/>
                <w:szCs w:val="20"/>
              </w:rPr>
              <w:t xml:space="preserve">Imaging X-ray Polarimetry (IXPE)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2021; minor slip to Dec-2021 launch</w:t>
            </w:r>
          </w:p>
        </w:tc>
      </w:tr>
      <w:tr>
        <w:tc>
          <w:tcPr>
            <w:tcW w:w="0" w:type="auto"/>
          </w:tcPr>
          <w:p>
            <w:pPr>
              <w:spacing w:line="240" w:lineRule="auto" w:before="0" w:after="0"/>
              <w:pStyle w:val="Compact"/>
            </w:pPr>
            <w:r>
              <w:rPr>
                <w:sz w:val="20"/>
                <w:szCs w:val="20"/>
              </w:rPr>
              <w:t xml:space="preserve">GeoCarb (cancelled GHG monitor)</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2022; cost/schedule growth to cancellation, ~48mo accumulated slip</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Cumulative schedule slip in months between a project’s committed baseline launch-readiness date and its latest reported (or cancellation) readiness date</w:t>
            </w:r>
          </w:p>
        </w:tc>
        <w:tc>
          <w:tcPr>
            <w:tcW w:w="0" w:type="auto"/>
          </w:tcPr>
          <w:p>
            <w:pPr>
              <w:spacing w:line="240" w:lineRule="auto" w:before="0" w:after="0"/>
              <w:pStyle w:val="Compact"/>
            </w:pPr>
            <w:r>
              <w:rPr>
                <w:sz w:val="20"/>
                <w:szCs w:val="20"/>
              </w:rPr>
              <w:t xml:space="preserve">GAO Assessments of Major Projects (GAO-23-106021, GAO-24-106767, GAO-25-107591); NASA OIG audits; NASA mission press releases</w:t>
            </w:r>
          </w:p>
        </w:tc>
      </w:tr>
      <w:tr>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Binary indicator equal to 1 if the project’s critical milestone is an in-situ resource utilization (ISRU) or nuclear/fission/radioisotope surface-power capability, else 0</w:t>
            </w:r>
          </w:p>
        </w:tc>
        <w:tc>
          <w:tcPr>
            <w:tcW w:w="0" w:type="auto"/>
          </w:tcPr>
          <w:p>
            <w:pPr>
              <w:spacing w:line="240" w:lineRule="auto" w:before="0" w:after="0"/>
              <w:pStyle w:val="Compact"/>
            </w:pPr>
            <w:r>
              <w:rPr>
                <w:sz w:val="20"/>
                <w:szCs w:val="20"/>
              </w:rPr>
              <w:t xml:space="preserve">Classification by milestone technology per NASA project descriptions and NTRS ISRU/FSP literature</w:t>
            </w:r>
          </w:p>
        </w:tc>
      </w:tr>
      <w:tr>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Binary indicator equal to 1 if the project’s critical milestone is in-situ resource utilization</w:t>
            </w:r>
          </w:p>
        </w:tc>
        <w:tc>
          <w:tcPr>
            <w:tcW w:w="0" w:type="auto"/>
          </w:tcPr>
          <w:p>
            <w:pPr>
              <w:spacing w:line="240" w:lineRule="auto" w:before="0" w:after="0"/>
              <w:pStyle w:val="Compact"/>
            </w:pPr>
            <w:r>
              <w:rPr>
                <w:sz w:val="20"/>
                <w:szCs w:val="20"/>
              </w:rPr>
              <w:t xml:space="preserve">NASA ISRU project descriptions; NTRS Progress Review of NASA Lunar ISRU 2019-2025</w:t>
            </w:r>
          </w:p>
        </w:tc>
      </w:tr>
      <w:tr>
        <w:tc>
          <w:tcPr>
            <w:tcW w:w="0" w:type="auto"/>
          </w:tcPr>
          <w:p>
            <w:pPr>
              <w:spacing w:line="240" w:lineRule="auto" w:before="0" w:after="0"/>
              <w:pStyle w:val="Compact"/>
            </w:pPr>
            <w:r>
              <w:rPr>
                <w:sz w:val="20"/>
                <w:szCs w:val="20"/>
              </w:rPr>
              <w:t xml:space="preserve">nuclear</w:t>
            </w:r>
          </w:p>
        </w:tc>
        <w:tc>
          <w:tcPr>
            <w:tcW w:w="0" w:type="auto"/>
          </w:tcPr>
          <w:p>
            <w:pPr>
              <w:spacing w:line="240" w:lineRule="auto" w:before="0" w:after="0"/>
              <w:pStyle w:val="Compact"/>
            </w:pPr>
            <w:r>
              <w:rPr>
                <w:sz w:val="20"/>
                <w:szCs w:val="20"/>
              </w:rPr>
              <w:t xml:space="preserve">Binary indicator equal to 1 if the project relies on a fission, RTG, or MMRTG nuclear power milestone</w:t>
            </w:r>
          </w:p>
        </w:tc>
        <w:tc>
          <w:tcPr>
            <w:tcW w:w="0" w:type="auto"/>
          </w:tcPr>
          <w:p>
            <w:pPr>
              <w:spacing w:line="240" w:lineRule="auto" w:before="0" w:after="0"/>
              <w:pStyle w:val="Compact"/>
            </w:pPr>
            <w:r>
              <w:rPr>
                <w:sz w:val="20"/>
                <w:szCs w:val="20"/>
              </w:rPr>
              <w:t xml:space="preserve">NASA Fission Surface Power and RTG mission documentation</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Technology Readiness Level of the project’s enabling technology at the time the schedule baseline was committed (integer 4-8)</w:t>
            </w:r>
          </w:p>
        </w:tc>
        <w:tc>
          <w:tcPr>
            <w:tcW w:w="0" w:type="auto"/>
          </w:tcPr>
          <w:p>
            <w:pPr>
              <w:spacing w:line="240" w:lineRule="auto" w:before="0" w:after="0"/>
              <w:pStyle w:val="Compact"/>
            </w:pPr>
            <w:r>
              <w:rPr>
                <w:sz w:val="20"/>
                <w:szCs w:val="20"/>
              </w:rPr>
              <w:t xml:space="preserve">NASA technology readiness reporting and GAO project assessments</w:t>
            </w:r>
          </w:p>
        </w:tc>
      </w:tr>
      <w:tr>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Project life-cycle cost estimate in billions of U.S. dollars, used as a complexity proxy</w:t>
            </w:r>
          </w:p>
        </w:tc>
        <w:tc>
          <w:tcPr>
            <w:tcW w:w="0" w:type="auto"/>
          </w:tcPr>
          <w:p>
            <w:pPr>
              <w:spacing w:line="240" w:lineRule="auto" w:before="0" w:after="0"/>
              <w:pStyle w:val="Compact"/>
            </w:pPr>
            <w:r>
              <w:rPr>
                <w:sz w:val="20"/>
                <w:szCs w:val="20"/>
              </w:rPr>
              <w:t xml:space="preserve">GAO Assessments of Major Projects; NASA OIG cost audits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Binary indicator equal to 1 if the project carries or directly enables crew, else 0</w:t>
            </w:r>
          </w:p>
        </w:tc>
        <w:tc>
          <w:tcPr>
            <w:tcW w:w="0" w:type="auto"/>
          </w:tcPr>
          <w:p>
            <w:pPr>
              <w:spacing w:line="240" w:lineRule="auto" w:before="0" w:after="0"/>
              <w:pStyle w:val="Compact"/>
            </w:pPr>
            <w:r>
              <w:rPr>
                <w:sz w:val="20"/>
                <w:szCs w:val="20"/>
              </w:rPr>
              <w:t xml:space="preserve">NASA project descriptions</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90.2152</w:t>
            </w:r>
          </w:p>
        </w:tc>
        <w:tc>
          <w:tcPr>
            <w:tcW w:w="0" w:type="auto"/>
          </w:tcPr>
          <w:p>
            <w:pPr>
              <w:spacing w:line="240" w:lineRule="auto" w:before="0" w:after="0"/>
              <w:pStyle w:val="Compact"/>
            </w:pPr>
            <w:r>
              <w:rPr>
                <w:sz w:val="20"/>
                <w:szCs w:val="20"/>
              </w:rPr>
              <w:t xml:space="preserve">23.3763</w:t>
            </w:r>
          </w:p>
        </w:tc>
        <w:tc>
          <w:tcPr>
            <w:tcW w:w="0" w:type="auto"/>
          </w:tcPr>
          <w:p>
            <w:pPr>
              <w:spacing w:line="240" w:lineRule="auto" w:before="0" w:after="0"/>
              <w:pStyle w:val="Compact"/>
            </w:pPr>
            <w:r>
              <w:rPr>
                <w:sz w:val="20"/>
                <w:szCs w:val="20"/>
              </w:rPr>
              <w:t xml:space="preserve">3.8593</w:t>
            </w:r>
          </w:p>
        </w:tc>
        <w:tc>
          <w:tcPr>
            <w:tcW w:w="0" w:type="auto"/>
          </w:tcPr>
          <w:p>
            <w:pPr>
              <w:spacing w:line="240" w:lineRule="auto" w:before="0" w:after="0"/>
              <w:pStyle w:val="Compact"/>
            </w:pPr>
            <w:r>
              <w:rPr>
                <w:sz w:val="20"/>
                <w:szCs w:val="20"/>
              </w:rPr>
              <w:t xml:space="preserve">0.0001137</w:t>
            </w:r>
          </w:p>
        </w:tc>
        <w:tc>
          <w:tcPr>
            <w:tcW w:w="0" w:type="auto"/>
          </w:tcPr>
          <w:p>
            <w:pPr>
              <w:spacing w:line="240" w:lineRule="auto" w:before="0" w:after="0"/>
              <w:pStyle w:val="Compact"/>
            </w:pPr>
            <w:r>
              <w:rPr>
                <w:sz w:val="20"/>
                <w:szCs w:val="20"/>
              </w:rPr>
              <w:t xml:space="preserve">[44.3985, 136.0318]</w:t>
            </w:r>
          </w:p>
        </w:tc>
      </w:tr>
      <w:tr>
        <w:tc>
          <w:tcPr>
            <w:tcW w:w="0" w:type="auto"/>
          </w:tcPr>
          <w:p>
            <w:pPr>
              <w:spacing w:line="240" w:lineRule="auto" w:before="0" w:after="0"/>
              <w:pStyle w:val="Compact"/>
            </w:pPr>
            <w:r>
              <w:rPr>
                <w:sz w:val="20"/>
                <w:szCs w:val="20"/>
              </w:rPr>
              <w:t xml:space="preserve">frontier</w:t>
            </w:r>
          </w:p>
        </w:tc>
        <w:tc>
          <w:tcPr>
            <w:tcW w:w="0" w:type="auto"/>
          </w:tcPr>
          <w:p>
            <w:pPr>
              <w:spacing w:line="240" w:lineRule="auto" w:before="0" w:after="0"/>
              <w:pStyle w:val="Compact"/>
            </w:pPr>
            <w:r>
              <w:rPr>
                <w:sz w:val="20"/>
                <w:szCs w:val="20"/>
              </w:rPr>
              <w:t xml:space="preserve">-2.946</w:t>
            </w:r>
          </w:p>
        </w:tc>
        <w:tc>
          <w:tcPr>
            <w:tcW w:w="0" w:type="auto"/>
          </w:tcPr>
          <w:p>
            <w:pPr>
              <w:spacing w:line="240" w:lineRule="auto" w:before="0" w:after="0"/>
              <w:pStyle w:val="Compact"/>
            </w:pPr>
            <w:r>
              <w:rPr>
                <w:sz w:val="20"/>
                <w:szCs w:val="20"/>
              </w:rPr>
              <w:t xml:space="preserve">8.4927</w:t>
            </w:r>
          </w:p>
        </w:tc>
        <w:tc>
          <w:tcPr>
            <w:tcW w:w="0" w:type="auto"/>
          </w:tcPr>
          <w:p>
            <w:pPr>
              <w:spacing w:line="240" w:lineRule="auto" w:before="0" w:after="0"/>
              <w:pStyle w:val="Compact"/>
            </w:pPr>
            <w:r>
              <w:rPr>
                <w:sz w:val="20"/>
                <w:szCs w:val="20"/>
              </w:rPr>
              <w:t xml:space="preserve">-0.3469</w:t>
            </w:r>
          </w:p>
        </w:tc>
        <w:tc>
          <w:tcPr>
            <w:tcW w:w="0" w:type="auto"/>
          </w:tcPr>
          <w:p>
            <w:pPr>
              <w:spacing w:line="240" w:lineRule="auto" w:before="0" w:after="0"/>
              <w:pStyle w:val="Compact"/>
            </w:pPr>
            <w:r>
              <w:rPr>
                <w:sz w:val="20"/>
                <w:szCs w:val="20"/>
              </w:rPr>
              <w:t xml:space="preserve">0.7287</w:t>
            </w:r>
          </w:p>
        </w:tc>
        <w:tc>
          <w:tcPr>
            <w:tcW w:w="0" w:type="auto"/>
          </w:tcPr>
          <w:p>
            <w:pPr>
              <w:spacing w:line="240" w:lineRule="auto" w:before="0" w:after="0"/>
              <w:pStyle w:val="Compact"/>
            </w:pPr>
            <w:r>
              <w:rPr>
                <w:sz w:val="20"/>
                <w:szCs w:val="20"/>
              </w:rPr>
              <w:t xml:space="preserve">[-19.5914, 13.6994]</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-12.1675</w:t>
            </w:r>
          </w:p>
        </w:tc>
        <w:tc>
          <w:tcPr>
            <w:tcW w:w="0" w:type="auto"/>
          </w:tcPr>
          <w:p>
            <w:pPr>
              <w:spacing w:line="240" w:lineRule="auto" w:before="0" w:after="0"/>
              <w:pStyle w:val="Compact"/>
            </w:pPr>
            <w:r>
              <w:rPr>
                <w:sz w:val="20"/>
                <w:szCs w:val="20"/>
              </w:rPr>
              <w:t xml:space="preserve">3.3696</w:t>
            </w:r>
          </w:p>
        </w:tc>
        <w:tc>
          <w:tcPr>
            <w:tcW w:w="0" w:type="auto"/>
          </w:tcPr>
          <w:p>
            <w:pPr>
              <w:spacing w:line="240" w:lineRule="auto" w:before="0" w:after="0"/>
              <w:pStyle w:val="Compact"/>
            </w:pPr>
            <w:r>
              <w:rPr>
                <w:sz w:val="20"/>
                <w:szCs w:val="20"/>
              </w:rPr>
              <w:t xml:space="preserve">-3.611</w:t>
            </w:r>
          </w:p>
        </w:tc>
        <w:tc>
          <w:tcPr>
            <w:tcW w:w="0" w:type="auto"/>
          </w:tcPr>
          <w:p>
            <w:pPr>
              <w:spacing w:line="240" w:lineRule="auto" w:before="0" w:after="0"/>
              <w:pStyle w:val="Compact"/>
            </w:pPr>
            <w:r>
              <w:rPr>
                <w:sz w:val="20"/>
                <w:szCs w:val="20"/>
              </w:rPr>
              <w:t xml:space="preserve">0.000305</w:t>
            </w:r>
          </w:p>
        </w:tc>
        <w:tc>
          <w:tcPr>
            <w:tcW w:w="0" w:type="auto"/>
          </w:tcPr>
          <w:p>
            <w:pPr>
              <w:spacing w:line="240" w:lineRule="auto" w:before="0" w:after="0"/>
              <w:pStyle w:val="Compact"/>
            </w:pPr>
            <w:r>
              <w:rPr>
                <w:sz w:val="20"/>
                <w:szCs w:val="20"/>
              </w:rPr>
              <w:t xml:space="preserve">[-18.7717, -5.5633]</w:t>
            </w:r>
          </w:p>
        </w:tc>
      </w:tr>
      <w:tr>
        <w:tc>
          <w:tcPr>
            <w:tcW w:w="0" w:type="auto"/>
          </w:tcPr>
          <w:p>
            <w:pPr>
              <w:spacing w:line="240" w:lineRule="auto" w:before="0" w:after="0"/>
              <w:pStyle w:val="Compact"/>
            </w:pPr>
            <w:r>
              <w:rPr>
                <w:sz w:val="20"/>
                <w:szCs w:val="20"/>
              </w:rPr>
              <w:t xml:space="preserve">cost_busd</w:t>
            </w:r>
          </w:p>
        </w:tc>
        <w:tc>
          <w:tcPr>
            <w:tcW w:w="0" w:type="auto"/>
          </w:tcPr>
          <w:p>
            <w:pPr>
              <w:spacing w:line="240" w:lineRule="auto" w:before="0" w:after="0"/>
              <w:pStyle w:val="Compact"/>
            </w:pPr>
            <w:r>
              <w:rPr>
                <w:sz w:val="20"/>
                <w:szCs w:val="20"/>
              </w:rPr>
              <w:t xml:space="preserve">1.3042</w:t>
            </w:r>
          </w:p>
        </w:tc>
        <w:tc>
          <w:tcPr>
            <w:tcW w:w="0" w:type="auto"/>
          </w:tcPr>
          <w:p>
            <w:pPr>
              <w:spacing w:line="240" w:lineRule="auto" w:before="0" w:after="0"/>
              <w:pStyle w:val="Compact"/>
            </w:pPr>
            <w:r>
              <w:rPr>
                <w:sz w:val="20"/>
                <w:szCs w:val="20"/>
              </w:rPr>
              <w:t xml:space="preserve">0.4014</w:t>
            </w:r>
          </w:p>
        </w:tc>
        <w:tc>
          <w:tcPr>
            <w:tcW w:w="0" w:type="auto"/>
          </w:tcPr>
          <w:p>
            <w:pPr>
              <w:spacing w:line="240" w:lineRule="auto" w:before="0" w:after="0"/>
              <w:pStyle w:val="Compact"/>
            </w:pPr>
            <w:r>
              <w:rPr>
                <w:sz w:val="20"/>
                <w:szCs w:val="20"/>
              </w:rPr>
              <w:t xml:space="preserve">3.2487</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[0.5174, 2.091]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-11.2079</w:t>
            </w:r>
          </w:p>
        </w:tc>
        <w:tc>
          <w:tcPr>
            <w:tcW w:w="0" w:type="auto"/>
          </w:tcPr>
          <w:p>
            <w:pPr>
              <w:spacing w:line="240" w:lineRule="auto" w:before="0" w:after="0"/>
              <w:pStyle w:val="Compact"/>
            </w:pPr>
            <w:r>
              <w:rPr>
                <w:sz w:val="20"/>
                <w:szCs w:val="20"/>
              </w:rPr>
              <w:t xml:space="preserve">7.22</w:t>
            </w:r>
          </w:p>
        </w:tc>
        <w:tc>
          <w:tcPr>
            <w:tcW w:w="0" w:type="auto"/>
          </w:tcPr>
          <w:p>
            <w:pPr>
              <w:spacing w:line="240" w:lineRule="auto" w:before="0" w:after="0"/>
              <w:pStyle w:val="Compact"/>
            </w:pPr>
            <w:r>
              <w:rPr>
                <w:sz w:val="20"/>
                <w:szCs w:val="20"/>
              </w:rPr>
              <w:t xml:space="preserve">-1.5523</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[-25.3589, 2.943]</w:t>
            </w:r>
          </w:p>
        </w:tc>
      </w:tr>
    </w:tbl>
    <w:p>
      <w:pPr>
        <w:pStyle w:val="BodyText"/>
      </w:pPr>
      <w:r>
        <w:t xml:space="preserve">Fit: N = 30 R2 = 0.6708 R2_adj = 0.6181 F = 28.8207 F_p = 4.883e-09</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0" Target="https://doi.org/10.1016/j.actaastro.2020.01.031" TargetMode="External" /><Relationship Type="http://schemas.openxmlformats.org/officeDocument/2006/relationships/hyperlink" Id="rId78" Target="https://doi.org/10.1016/j.actaastro.2020.04.046" TargetMode="External" /><Relationship Type="http://schemas.openxmlformats.org/officeDocument/2006/relationships/hyperlink" Id="rId76" Target="https://doi.org/10.1016/j.actaastro.2020.07.032" TargetMode="External" /><Relationship Type="http://schemas.openxmlformats.org/officeDocument/2006/relationships/hyperlink" Id="rId68" Target="https://doi.org/10.1016/j.actaastro.2021.01.009" TargetMode="External" /><Relationship Type="http://schemas.openxmlformats.org/officeDocument/2006/relationships/hyperlink" Id="rId72" Target="https://doi.org/10.1016/j.actaastro.2021.06.017" TargetMode="External" /><Relationship Type="http://schemas.openxmlformats.org/officeDocument/2006/relationships/hyperlink" Id="rId74" Target="https://doi.org/10.1016/j.actaastro.2024.12.001"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0.01.031" TargetMode="External" /><Relationship Type="http://schemas.openxmlformats.org/officeDocument/2006/relationships/hyperlink" Id="rId78" Target="https://doi.org/10.1016/j.actaastro.2020.04.046" TargetMode="External" /><Relationship Type="http://schemas.openxmlformats.org/officeDocument/2006/relationships/hyperlink" Id="rId76" Target="https://doi.org/10.1016/j.actaastro.2020.07.032" TargetMode="External" /><Relationship Type="http://schemas.openxmlformats.org/officeDocument/2006/relationships/hyperlink" Id="rId68" Target="https://doi.org/10.1016/j.actaastro.2021.01.009" TargetMode="External" /><Relationship Type="http://schemas.openxmlformats.org/officeDocument/2006/relationships/hyperlink" Id="rId72" Target="https://doi.org/10.1016/j.actaastro.2021.06.017" TargetMode="External" /><Relationship Type="http://schemas.openxmlformats.org/officeDocument/2006/relationships/hyperlink" Id="rId74" Target="https://doi.org/10.1016/j.actaastro.2024.12.00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2026-06-26T16:45:48Z</dcterms:created>
  <dcterms:modified xsi:type="dcterms:W3CDTF">2026-06-26T16:45:48Z</dcterms:modified>
</cp:coreProperties>
</file>

<file path=docProps/custom.xml><?xml version="1.0" encoding="utf-8"?>
<Properties xmlns="http://schemas.openxmlformats.org/officeDocument/2006/custom-properties" xmlns:vt="http://schemas.openxmlformats.org/officeDocument/2006/docPropsVTypes"/>
</file>