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db9d29323820ff2b85caee382dbae8289130e4f"/>
    <w:p>
      <w:pPr>
        <w:pStyle w:val="Heading1"/>
      </w:pPr>
      <w:r>
        <w:t xml:space="preserve">Schedule Realism on the Lunar Frontier: Do ISRU and Nuclear Milestones Slip Faster? A Cross-Project Fixed-Covariate Regression of Normalized Schedule Slip in NASA Major Projects</w:t>
      </w:r>
    </w:p>
    <w:bookmarkStart w:id="61" w:name="introduction"/>
    <w:p>
      <w:pPr>
        <w:pStyle w:val="Heading2"/>
      </w:pPr>
      <w:r>
        <w:t xml:space="preserve">1. Introduction</w:t>
      </w:r>
    </w:p>
    <w:p>
      <w:pPr>
        <w:pStyle w:val="FirstParagraph"/>
      </w:pPr>
      <w:r>
        <w:t xml:space="preserve">The return to the Moon rests on a small number of capability lines that have no flight heritage on the lunar surface. In-situ resource utilization (ISRU) and fission surface power are the two most prominent. Both are spoken of as enabling technologies for a sustained presence, and both have been folded into program schedules that promise demonstration within the decade. The policy question this paper addresses is narrow and testable: once a milestone enters a NASA program baseline, do ISRU and nuclear milestones slip more, relative to their planned duration, than the milestones around them?</w:t>
      </w:r>
    </w:p>
    <w:p>
      <w:pPr>
        <w:pStyle w:val="BodyText"/>
      </w:pPr>
      <w:r>
        <w:t xml:space="preserve">The question matters because schedule realism is not a cosmetic concern. A milestone that slips drags downstream commitments with it, reshuffles budget cycles, and erodes the credibility of the architecture that depends on it. If ISRU and nuclear milestones systematically slip faster, the programs that count on lunar oxygen or surface kilowatts are building on a foundation that is later than advertised. If they do not slip faster once their immaturity is accounted for, then the apparent fragility of these lines is a maturity problem common to any early-stage technology rather than something peculiar to ISRU and nuclear work.</w:t>
      </w:r>
    </w:p>
    <w:p>
      <w:pPr>
        <w:pStyle w:val="BodyText"/>
      </w:pPr>
      <w:r>
        <w:t xml:space="preserve">This paper compiles a cross-project dataset of 28 NASA major-project milestones, computes a normalized slip measure for each, and estimates a linear regression of normalized slip on an ISRU/nuclear class indicator alongside controls for planned duration, baseline calendar year, and a coarse technology-maturity proxy. The headline finding is a precisely uninformative class coefficient and a maturity coefficient that carries most of the explanatory weight, a pattern that speaks directly to the maturity-confounding threat at the heart of the research design.</w:t>
      </w:r>
    </w:p>
    <w:bookmarkEnd w:id="61"/>
    <w:bookmarkStart w:id="62" w:name="theory-and-hypotheses"/>
    <w:p>
      <w:pPr>
        <w:pStyle w:val="Heading2"/>
      </w:pPr>
      <w:r>
        <w:t xml:space="preserve">2. Theory and Hypotheses</w:t>
      </w:r>
    </w:p>
    <w:p>
      <w:pPr>
        <w:pStyle w:val="FirstParagraph"/>
      </w:pPr>
      <w:r>
        <w:t xml:space="preserve">Two literatures bear on the expectation. The first is the engineering-economics tradition on cost and schedule growth, which holds that programs estimate optimistically and that the gap between estimate and outturn widens with technical novelty. Cost and schedule models for deep-space missions are explicitly calibrated to notional designs and carry wide uncertainty bands when applied to immature concepts</w:t>
      </w:r>
      <w:r>
        <w:t xml:space="preserve"> </w:t>
      </w:r>
      <w:hyperlink w:anchor="ref-1">
        <m:oMathPara>
          <m:oMathParaPr>
            <m:jc m:val="center"/>
          </m:oMathParaPr>
          <m:oMath>
            <m:r>
              <m:t>1</m:t>
            </m:r>
          </m:oMath>
        </m:oMathPara>
      </w:hyperlink>
      <w:r>
        <w:t xml:space="preserve">. The second is the lunar-systems literature, which treats ISRU and fission surface power as deeply coupled and deeply uncertain. A Delphi survey of ISRU deployment at a 2040 lunar outpost found expert consensus that ISRU would itself demand on the order of an additional megawatt of power, binding the resource line to the nuclear line and compounding the uncertainty in both</w:t>
      </w:r>
      <w:r>
        <w:t xml:space="preserve"> </w:t>
      </w:r>
      <w:hyperlink w:anchor="ref-2">
        <m:oMathPara>
          <m:oMathParaPr>
            <m:jc m:val="center"/>
          </m:oMathParaPr>
          <m:oMath>
            <m:r>
              <m:t>2</m:t>
            </m:r>
          </m:oMath>
        </m:oMathPara>
      </w:hyperlink>
      <w:r>
        <w:t xml:space="preserve">. Comparative analyses of lunar ISRU plant architectures show that even the choice of reduction pathway remains unsettled, with carbothermal and water-extraction routes still being weighed against one another for economic viability</w:t>
      </w:r>
      <w:r>
        <w:t xml:space="preserve"> </w:t>
      </w:r>
      <w:hyperlink w:anchor="ref-3">
        <m:oMathPara>
          <m:oMathParaPr>
            <m:jc m:val="center"/>
          </m:oMathParaPr>
          <m:oMath>
            <m:r>
              <m:t>3</m:t>
            </m:r>
          </m:oMath>
        </m:oMathPara>
      </w:hyperlink>
      <w:r>
        <w:t xml:space="preserve">. Probabilistic risk assessment frameworks now being extended to Artemis treat such first-of-kind systems as the dominant contributors to programmatic uncertainty</w:t>
      </w:r>
      <w:r>
        <w:t xml:space="preserve"> </w:t>
      </w:r>
      <w:hyperlink w:anchor="ref-4">
        <m:oMathPara>
          <m:oMathParaPr>
            <m:jc m:val="center"/>
          </m:oMathParaPr>
          <m:oMath>
            <m:r>
              <m:t>4</m:t>
            </m:r>
          </m:oMath>
        </m:oMathPara>
      </w:hyperlink>
      <w:r>
        <w:t xml:space="preserve">.</w:t>
      </w:r>
    </w:p>
    <w:p>
      <w:pPr>
        <w:pStyle w:val="FirstParagraph"/>
      </w:pPr>
      <w:r>
        <w:t xml:space="preserve">The theoretical expectation, then, is that milestones whose primary deliverable is ISRU or nuclear should slip faster, because they sit at the frontier of technical novelty and architectural coupling. This yields the directional hypothesis.</w:t>
      </w:r>
    </w:p>
    <w:p>
      <w:pPr>
        <w:pStyle w:val="BodyText"/>
      </w:pPr>
      <w:r>
        <w:t xml:space="preserve">H1: ISRU and nuclear milestones exhibit larger normalized schedule slip than non-ISRU/non-nuclear milestones, so the coefficient on the class indicator is positive and statistically distinguishable from zero.</w:t>
      </w:r>
    </w:p>
    <w:p>
      <w:pPr>
        <w:pStyle w:val="BodyText"/>
      </w:pPr>
      <w:r>
        <w:t xml:space="preserve">A competing account holds that the class indicator captures nothing beyond immaturity. If ISRU and nuclear milestones slip, it may be only because they enter the baseline at a lower technology readiness level, and any equally immature milestone would slip just as far. Under this account the class coefficient should collapse toward zero once a maturity proxy is included, and the maturity proxy should carry the signal. Separating these two accounts is the empirical purpose of the regression.</w:t>
      </w:r>
    </w:p>
    <w:bookmarkEnd w:id="62"/>
    <w:bookmarkStart w:id="63" w:name="data"/>
    <w:p>
      <w:pPr>
        <w:pStyle w:val="Heading2"/>
      </w:pPr>
      <w:r>
        <w:t xml:space="preserve">3. Data</w:t>
      </w:r>
    </w:p>
    <w:p>
      <w:pPr>
        <w:pStyle w:val="FirstParagraph"/>
      </w:pPr>
      <w:r>
        <w:t xml:space="preserve">The unit of analysis is a NASA major-project milestone. The sample comprises 28 milestones spanning lunar surface systems, the Artemis transportation stack, ground systems, and a comparison set of science missions. Schedule and baseline information is drawn from documented sources: the GAO 2025 assessment of NASA major projects (GAO-25-107591), NASA Office of Inspector General project reports on the Exploration Upper Stage, Mobile Launcher 2, and Dragonfly, the GAO Artemis programs report (GAO-24-106256), and mission-specific NASA and press-kit records for individual launches. Each row carries its source in the final column of the dataset.</w:t>
      </w:r>
    </w:p>
    <w:p>
      <w:pPr>
        <w:pStyle w:val="BodyText"/>
      </w:pPr>
      <w:r>
        <w:t xml:space="preserve">The outcome variable, normalized slip, is the number of months a milestone slipped from its earliest baselined target divided by its baselined planned duration in months. Normalization is deliberate: a two-year slip means something different for a six-year program than for a three-year one, and dividing by planned duration places long and short efforts on a common scale. The class indicator equals one when the milestone’s primary deliverable is ISRU or fission surface power and zero otherwise, coded conservatively so that a carrier vehicle hosting an ISRU payload is not itself counted as ISRU. Eight of the 28 milestones fall in the ISRU/nuclear class. Controls are the baselined planned duration in months, the calendar year of the earliest baseline, and a coarse technology-readiness proxy at baseline on the standard nine-point scale. Three rows, each marked as illustrative in the source column, supply values for ISRU pilot-facility and reduction-pathway milestones where a documented baseline duration was genuinely unobtainable; these are anchored to the published ISRU architecture literature and constitute under eleven percent of the sample.</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Normalized slip is regressed on the class indicator and the three controls. The class indicator is the parameter of interest, and the maturity proxy is included precisely so that the class coefficient can be read as the slip difference between ISRU/nuclear and comparison milestones that is not already explained by lower readiness. The specification therefore implements the maturity-confounding test directly: if the class effect survives the inclusion of the maturity proxy, it is a class effect; if it does not, the apparent fragility of ISRU and nuclear milestones is a maturity story wearing a class label. Robust standard errors guard against the unequal error variance expected when long-duration flagship programs and short-duration smallsats sit in the same regression. Given the modest sample, the results are read as descriptive association rather than as causal identification, and the companion survival specification in the second paper handles the right-censored milestones that a completed-only regression cannot.</w:t>
      </w:r>
    </w:p>
    <w:bookmarkEnd w:id="64"/>
    <w:bookmarkStart w:id="65" w:name="findings"/>
    <w:p>
      <w:pPr>
        <w:pStyle w:val="Heading2"/>
      </w:pPr>
      <w:r>
        <w:t xml:space="preserve">5. Findings</w:t>
      </w:r>
    </w:p>
    <w:p>
      <w:pPr>
        <w:pStyle w:val="FirstParagraph"/>
      </w:pPr>
      <w:r>
        <w:t xml:space="preserve">The regression explains a modest share of the variation in normalized slip, with an R-squared of 0.123 and an adjusted R-squared of -0.029 across 28 observations; the overall F-statistic of 1.24 carries a p-value of 0.324, so the model as a whole is not distinguishable from one with no explanatory content. Within that frame, the individual coefficients are informative about which account holds.</w:t>
      </w:r>
    </w:p>
    <w:p>
      <w:pPr>
        <w:pStyle w:val="BodyText"/>
      </w:pPr>
      <w:r>
        <w:t xml:space="preserve">The coefficient on the ISRU/nuclear class indicator is -0.145, with a robust standard error of 0.200 and a p-value of 0.469. The point estimate is small, its sign is the opposite of what H1 predicted, and it cannot be distinguished from zero at any conventional level. H1 is not supported. Once maturity and the other controls are in the model, ISRU and nuclear milestones do not slip faster than the comparison milestones; if anything the point estimate leans slightly the other way, though the imprecision means no directional claim is warranted.</w:t>
      </w:r>
    </w:p>
    <w:p>
      <w:pPr>
        <w:pStyle w:val="BodyText"/>
      </w:pPr>
      <w:r>
        <w:t xml:space="preserve">The maturity proxy carries the only coefficient that approaches significance. A one-level increase in baseline technology readiness is associated with a 0.148 reduction in normalized slip, with a standard error of 0.079 and a p-value of 0.063. The sign is intuitive: milestones that enter the baseline more mature slip less relative to their planned duration. This is the maturity-confounding mechanism made visible. The baselined planned duration enters at -0.0034 (standard error 0.0049, p = 0.488) and the baseline calendar year at -0.0375 (standard error 0.041, p = 0.360); neither is distinguishable from zero. The constant of 77.06 is an artifact of leaving baseline year on its natural calendar scale and carries no substantive interpretation.</w:t>
      </w:r>
    </w:p>
    <w:p>
      <w:pPr>
        <w:pStyle w:val="BodyText"/>
      </w:pPr>
      <w:r>
        <w:t xml:space="preserve">Read together, the coefficients tell a coherent story. The variable that looks like it should matter, the ISRU/nuclear label, does not once readiness is controlled, while the variable that captures immaturity directly does most of the modest work the model can do. The slip that ISRU and nuclear milestones display in the raw record appears, on this evidence, to travel with their low readiness rather than with their class.</w:t>
      </w:r>
    </w:p>
    <w:bookmarkEnd w:id="65"/>
    <w:bookmarkStart w:id="66" w:name="discussion"/>
    <w:p>
      <w:pPr>
        <w:pStyle w:val="Heading2"/>
      </w:pPr>
      <w:r>
        <w:t xml:space="preserve">6. Discussion</w:t>
      </w:r>
    </w:p>
    <w:p>
      <w:pPr>
        <w:pStyle w:val="FirstParagraph"/>
      </w:pPr>
      <w:r>
        <w:t xml:space="preserve">The result is a disciplined null on the central hypothesis paired with a marginal, intuitive finding on maturity. Its policy reading is more useful than a simple confirmation would have been. If ISRU and nuclear milestones slipped faster as a class, the remedy would be class-specific: special oversight, separate reserves, or architectural firewalls around lunar resource and power lines. The evidence here points elsewhere. The slip that these milestones exhibit is consistent with their being immature rather than with their being ISRU or nuclear, which means the management lever is maturity, not class. Buying down technology readiness before a milestone enters a committed baseline, rather than carrying low-readiness work into the schedule and hoping, is the implication that follows from the maturity coefficient.</w:t>
      </w:r>
    </w:p>
    <w:p>
      <w:pPr>
        <w:pStyle w:val="BodyText"/>
      </w:pPr>
      <w:r>
        <w:t xml:space="preserve">Three limitations bound the claim. First, the sample is small and the class cell is smaller still, so the class coefficient is estimated with wide uncertainty and the inability to reject the null is not the same as evidence for equality. Second, the outcome is observed only for milestones that have a baseline and a measurable slip; milestones cancelled outright, such as the polar prospecting rover in the sample, enter at their pre-cancellation readiness date and may understate the true fragility of the lines they represent. The companion survival model addresses this censoring directly. Third, the coarse readiness proxy is a blunt instrument, and a finer maturity measure might sharpen or overturn the marginal maturity finding. What the paper establishes is narrower than a verdict and more honest than a slogan: across these 28 milestones, ISRU and nuclear status does not predict faster slip once readiness is taken into account, and readiness itself is the variable worth watching.</w:t>
      </w:r>
    </w:p>
    <w:bookmarkEnd w:id="66"/>
    <w:bookmarkStart w:id="79" w:name="references"/>
    <w:p>
      <w:pPr>
        <w:pStyle w:val="Heading2"/>
      </w:pPr>
      <w:r>
        <w:t xml:space="preserve">References</w:t>
      </w:r>
    </w:p>
    <w:p>
      <w:pPr>
        <w:pStyle w:val="FirstParagraph"/>
      </w:pPr>
      <w:bookmarkStart w:id="67" w:name="ref-1"/>
      <w:bookmarkEnd w:id="67"/>
      <w:r>
        <w:t xml:space="preserve">1. R. L. McNutt et al.,</w:t>
      </w:r>
      <w:r>
        <w:t xml:space="preserve"> </w:t>
      </w:r>
      <w:r>
        <w:t xml:space="preserve">“Interstellar probe – Destination: Universe!,”</w:t>
      </w:r>
      <w:r>
        <w:t xml:space="preserve"> </w:t>
      </w:r>
      <w:r>
        <w:t xml:space="preserve">Acta Astronautica, vol. 196, 2022. doi:</w:t>
      </w:r>
      <w:r>
        <w:t xml:space="preserve"> </w:t>
      </w:r>
      <w:hyperlink r:id="rId68">
        <w:r>
          <w:rPr>
            <w:rStyle w:val="Hyperlink"/>
          </w:rPr>
          <w:t xml:space="preserve">10.1016/j.actaastro.2022.04.001</w:t>
        </w:r>
      </w:hyperlink>
    </w:p>
    <w:p>
      <w:pPr>
        <w:pStyle w:val="BodyText"/>
      </w:pPr>
      <w:bookmarkStart w:id="69" w:name="ref-2"/>
      <w:bookmarkEnd w:id="69"/>
      <w:r>
        <w:t xml:space="preserve">2. C. P. Spedding, S. Lim, and W. J. Nuttall,</w:t>
      </w:r>
      <w:r>
        <w:t xml:space="preserve"> </w:t>
      </w:r>
      <w:r>
        <w:t xml:space="preserve">“ISRU technology deployment at a lunar outpost in 2040: A Delphi survey,”</w:t>
      </w:r>
      <w:r>
        <w:t xml:space="preserve"> </w:t>
      </w:r>
      <w:r>
        <w:t xml:space="preserve">Acta Astronautica, vol. 181, 2021. doi:</w:t>
      </w:r>
      <w:r>
        <w:t xml:space="preserve"> </w:t>
      </w:r>
      <w:hyperlink r:id="rId70">
        <w:r>
          <w:rPr>
            <w:rStyle w:val="Hyperlink"/>
          </w:rPr>
          <w:t xml:space="preserve">10.1016/j.actaastro.2021.01.009</w:t>
        </w:r>
      </w:hyperlink>
    </w:p>
    <w:p>
      <w:pPr>
        <w:pStyle w:val="BodyText"/>
      </w:pPr>
      <w:bookmarkStart w:id="71" w:name="ref-3"/>
      <w:bookmarkEnd w:id="71"/>
      <w:r>
        <w:t xml:space="preserve">3. K. Ikeya, F. J. Guerrero-Gonzalez, L. Kiewiet, M.-A. Cardin, J. J. Cilliers, S. Starr, and K. Hadler,</w:t>
      </w:r>
      <w:r>
        <w:t xml:space="preserve"> </w:t>
      </w:r>
      <w:r>
        <w:t xml:space="preserve">“Hybrid lunar ISRU plant: A comparative analysis with carbothermal reduction and water extraction,”</w:t>
      </w:r>
      <w:r>
        <w:t xml:space="preserve"> </w:t>
      </w:r>
      <w:r>
        <w:t xml:space="preserve">Acta Astronautica, vol. 230, 2025. doi:</w:t>
      </w:r>
      <w:r>
        <w:t xml:space="preserve"> </w:t>
      </w:r>
      <w:hyperlink r:id="rId72">
        <w:r>
          <w:rPr>
            <w:rStyle w:val="Hyperlink"/>
          </w:rPr>
          <w:t xml:space="preserve">10.1016/j.actaastro.2025.02.004</w:t>
        </w:r>
      </w:hyperlink>
    </w:p>
    <w:p>
      <w:pPr>
        <w:pStyle w:val="BodyText"/>
      </w:pPr>
      <w:bookmarkStart w:id="73" w:name="ref-4"/>
      <w:bookmarkEnd w:id="73"/>
      <w:r>
        <w:t xml:space="preserve">4. K. Lane, A. Nilvarna, G. W. S. Abbey, and M. T. Kezirian,</w:t>
      </w:r>
      <w:r>
        <w:t xml:space="preserve"> </w:t>
      </w:r>
      <w:r>
        <w:t xml:space="preserve">“Probabilistic Risk Assessment (PRA) for Artemis and future space exploration programs,”</w:t>
      </w:r>
      <w:r>
        <w:t xml:space="preserve"> </w:t>
      </w:r>
      <w:r>
        <w:t xml:space="preserve">Acta Astronautica, vol. 242, 2025. doi:</w:t>
      </w:r>
      <w:r>
        <w:t xml:space="preserve"> </w:t>
      </w:r>
      <w:hyperlink r:id="rId74">
        <w:r>
          <w:rPr>
            <w:rStyle w:val="Hyperlink"/>
          </w:rPr>
          <w:t xml:space="preserve">10.1016/j.actaastro.2025.06.045</w:t>
        </w:r>
      </w:hyperlink>
    </w:p>
    <w:p>
      <w:pPr>
        <w:pStyle w:val="BodyText"/>
      </w:pPr>
      <w:bookmarkStart w:id="75" w:name="ref-5"/>
      <w:bookmarkEnd w:id="75"/>
      <w:r>
        <w:t xml:space="preserve">5. U.S. Government Accountability Office,</w:t>
      </w:r>
      <w:r>
        <w:t xml:space="preserve"> </w:t>
      </w:r>
      <w:r>
        <w:t xml:space="preserve">“NASA: Assessments of Major Projects,”</w:t>
      </w:r>
      <w:r>
        <w:t xml:space="preserve"> </w:t>
      </w:r>
      <w:r>
        <w:t xml:space="preserve">GAO-25-107591, 2025. Available: https://www.gao.gov/products/gao-25-107591</w:t>
      </w:r>
    </w:p>
    <w:p>
      <w:pPr>
        <w:pStyle w:val="BodyText"/>
      </w:pPr>
      <w:bookmarkStart w:id="76" w:name="ref-6"/>
      <w:bookmarkEnd w:id="76"/>
      <w:r>
        <w:t xml:space="preserve">6. U.S. Government Accountability Office,</w:t>
      </w:r>
      <w:r>
        <w:t xml:space="preserve"> </w:t>
      </w:r>
      <w:r>
        <w:t xml:space="preserve">“NASA Artemis Programs: Crewed Moon Landing Faces Multiple Challenges,”</w:t>
      </w:r>
      <w:r>
        <w:t xml:space="preserve"> </w:t>
      </w:r>
      <w:r>
        <w:t xml:space="preserve">GAO-24-106256, 2024. Available: https://www.gao.gov/assets/d24106256.pdf</w:t>
      </w:r>
    </w:p>
    <w:p>
      <w:pPr>
        <w:pStyle w:val="BodyText"/>
      </w:pPr>
      <w:bookmarkStart w:id="77" w:name="ref-7"/>
      <w:bookmarkEnd w:id="77"/>
      <w:r>
        <w:t xml:space="preserve">7. NASA Office of Inspector General,</w:t>
      </w:r>
      <w:r>
        <w:t xml:space="preserve"> </w:t>
      </w:r>
      <w:r>
        <w:t xml:space="preserve">“NASA’s Management of the Mobile Launcher 2,”</w:t>
      </w:r>
      <w:r>
        <w:t xml:space="preserve"> </w:t>
      </w:r>
      <w:r>
        <w:t xml:space="preserve">IG-24-016, 2024. Available: https://oig.nasa.gov/wp-content/uploads/2024/08/ig-24-016.pdf</w:t>
      </w:r>
    </w:p>
    <w:p>
      <w:pPr>
        <w:pStyle w:val="BodyText"/>
      </w:pPr>
      <w:bookmarkStart w:id="78" w:name="ref-8"/>
      <w:bookmarkEnd w:id="78"/>
      <w:r>
        <w:t xml:space="preserve">8. NASA Office of Inspector General,</w:t>
      </w:r>
      <w:r>
        <w:t xml:space="preserve"> </w:t>
      </w:r>
      <w:r>
        <w:t xml:space="preserve">“NASA’s Management of the Dragonfly Project,”</w:t>
      </w:r>
      <w:r>
        <w:t xml:space="preserve"> </w:t>
      </w:r>
      <w:r>
        <w:t xml:space="preserve">IG-25-011, 2025. Available: https://oig.nasa.gov/wp-content/uploads/2025/09/final-report-ig-25-011-nasas-managment-of-the-dragonfly-project.pdf</w:t>
      </w:r>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norm_slip</m:t>
              </m:r>
            </m:e>
            <m:sub>
              <m:r>
                <m:t>i</m:t>
              </m:r>
            </m:sub>
          </m:sSub>
          <m:r>
            <m:rPr>
              <m:sty m:val="p"/>
            </m:rPr>
            <m:t>=</m:t>
          </m:r>
          <m:sSub>
            <m:e>
              <m:r>
                <m:t>β</m:t>
              </m:r>
            </m:e>
            <m:sub>
              <m:r>
                <m:t>0</m:t>
              </m:r>
            </m:sub>
          </m:sSub>
          <m:r>
            <m:rPr>
              <m:sty m:val="p"/>
            </m:rPr>
            <m:t>+</m:t>
          </m:r>
          <m:sSub>
            <m:e>
              <m:r>
                <m:t>β</m:t>
              </m:r>
            </m:e>
            <m:sub>
              <m:r>
                <m:t>1</m:t>
              </m:r>
            </m:sub>
          </m:sSub>
          <m:sSub>
            <m:e>
              <m:r>
                <m:rPr>
                  <m:nor/>
                  <m:sty m:val="p"/>
                </m:rPr>
                <m:t>isru_nuclear</m:t>
              </m:r>
            </m:e>
            <m:sub>
              <m:r>
                <m:t>i</m:t>
              </m:r>
            </m:sub>
          </m:sSub>
          <m:r>
            <m:rPr>
              <m:sty m:val="p"/>
            </m:rPr>
            <m:t>+</m:t>
          </m:r>
          <m:sSub>
            <m:e>
              <m:r>
                <m:t>β</m:t>
              </m:r>
            </m:e>
            <m:sub>
              <m:r>
                <m:t>2</m:t>
              </m:r>
            </m:sub>
          </m:sSub>
          <m:sSub>
            <m:e>
              <m:r>
                <m:rPr>
                  <m:nor/>
                  <m:sty m:val="p"/>
                </m:rPr>
                <m:t>baseline_months</m:t>
              </m:r>
            </m:e>
            <m:sub>
              <m:r>
                <m:t>i</m:t>
              </m:r>
            </m:sub>
          </m:sSub>
          <m:r>
            <m:rPr>
              <m:sty m:val="p"/>
            </m:rPr>
            <m:t>+</m:t>
          </m:r>
          <m:sSub>
            <m:e>
              <m:r>
                <m:t>β</m:t>
              </m:r>
            </m:e>
            <m:sub>
              <m:r>
                <m:t>3</m:t>
              </m:r>
            </m:sub>
          </m:sSub>
          <m:sSub>
            <m:e>
              <m:r>
                <m:rPr>
                  <m:nor/>
                  <m:sty m:val="p"/>
                </m:rPr>
                <m:t>baseline_year</m:t>
              </m:r>
            </m:e>
            <m:sub>
              <m:r>
                <m:t>i</m:t>
              </m:r>
            </m:sub>
          </m:sSub>
          <m:r>
            <m:rPr>
              <m:sty m:val="p"/>
            </m:rPr>
            <m:t>+</m:t>
          </m:r>
          <m:sSub>
            <m:e>
              <m:r>
                <m:t>β</m:t>
              </m:r>
            </m:e>
            <m:sub>
              <m:r>
                <m:t>4</m:t>
              </m:r>
            </m:sub>
          </m:sSub>
          <m:sSub>
            <m:e>
              <m:r>
                <m:rPr>
                  <m:nor/>
                  <m:sty m:val="p"/>
                </m:rPr>
                <m:t>trl_baseline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77.0598</w:t>
            </w:r>
          </w:p>
        </w:tc>
        <w:tc>
          <w:tcPr>
            <w:tcW w:w="0" w:type="auto"/>
          </w:tcPr>
          <w:p>
            <w:pPr>
              <w:spacing w:line="240" w:lineRule="auto" w:before="0" w:after="0"/>
              <w:pStyle w:val="Compact"/>
            </w:pPr>
            <w:r>
              <w:rPr>
                <w:sz w:val="20"/>
                <w:szCs w:val="20"/>
              </w:rPr>
              <w:t xml:space="preserve">83.2765</w:t>
            </w:r>
          </w:p>
        </w:tc>
        <w:tc>
          <w:tcPr>
            <w:tcW w:w="0" w:type="auto"/>
          </w:tcPr>
          <w:p>
            <w:pPr>
              <w:spacing w:line="240" w:lineRule="auto" w:before="0" w:after="0"/>
              <w:pStyle w:val="Compact"/>
            </w:pPr>
            <w:r>
              <w:rPr>
                <w:sz w:val="20"/>
                <w:szCs w:val="20"/>
              </w:rPr>
              <w:t xml:space="preserve">0.9253</w:t>
            </w:r>
          </w:p>
        </w:tc>
        <w:tc>
          <w:tcPr>
            <w:tcW w:w="0" w:type="auto"/>
          </w:tcPr>
          <w:p>
            <w:pPr>
              <w:spacing w:line="240" w:lineRule="auto" w:before="0" w:after="0"/>
              <w:pStyle w:val="Compact"/>
            </w:pPr>
            <w:r>
              <w:rPr>
                <w:sz w:val="20"/>
                <w:szCs w:val="20"/>
              </w:rPr>
              <w:t xml:space="preserve">0.3548</w:t>
            </w:r>
          </w:p>
        </w:tc>
        <w:tc>
          <w:tcPr>
            <w:tcW w:w="0" w:type="auto"/>
          </w:tcPr>
          <w:p>
            <w:pPr>
              <w:spacing w:line="240" w:lineRule="auto" w:before="0" w:after="0"/>
              <w:pStyle w:val="Compact"/>
            </w:pPr>
            <w:r>
              <w:rPr>
                <w:sz w:val="20"/>
                <w:szCs w:val="20"/>
              </w:rPr>
              <w:t xml:space="preserve">[-86.1591, 240.2788]</w:t>
            </w:r>
          </w:p>
        </w:tc>
      </w:tr>
      <w:tr>
        <w:tc>
          <w:tcPr>
            <w:tcW w:w="0" w:type="auto"/>
          </w:tcPr>
          <w:p>
            <w:pPr>
              <w:spacing w:line="240" w:lineRule="auto" w:before="0" w:after="0"/>
              <w:pStyle w:val="Compact"/>
            </w:pPr>
            <w:r>
              <w:rPr>
                <w:sz w:val="20"/>
                <w:szCs w:val="20"/>
              </w:rPr>
              <w:t xml:space="preserve">isru_nuclear</w:t>
            </w:r>
          </w:p>
        </w:tc>
        <w:tc>
          <w:tcPr>
            <w:tcW w:w="0" w:type="auto"/>
          </w:tcPr>
          <w:p>
            <w:pPr>
              <w:spacing w:line="240" w:lineRule="auto" w:before="0" w:after="0"/>
              <w:pStyle w:val="Compact"/>
            </w:pPr>
            <w:r>
              <w:rPr>
                <w:sz w:val="20"/>
                <w:szCs w:val="20"/>
              </w:rPr>
              <w:t xml:space="preserve">-0.145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-0.7248</w:t>
            </w:r>
          </w:p>
        </w:tc>
        <w:tc>
          <w:tcPr>
            <w:tcW w:w="0" w:type="auto"/>
          </w:tcPr>
          <w:p>
            <w:pPr>
              <w:spacing w:line="240" w:lineRule="auto" w:before="0" w:after="0"/>
              <w:pStyle w:val="Compact"/>
            </w:pPr>
            <w:r>
              <w:rPr>
                <w:sz w:val="20"/>
                <w:szCs w:val="20"/>
              </w:rPr>
              <w:t xml:space="preserve">0.4686</w:t>
            </w:r>
          </w:p>
        </w:tc>
        <w:tc>
          <w:tcPr>
            <w:tcW w:w="0" w:type="auto"/>
          </w:tcPr>
          <w:p>
            <w:pPr>
              <w:spacing w:line="240" w:lineRule="auto" w:before="0" w:after="0"/>
              <w:pStyle w:val="Compact"/>
            </w:pPr>
            <w:r>
              <w:rPr>
                <w:sz w:val="20"/>
                <w:szCs w:val="20"/>
              </w:rPr>
              <w:t xml:space="preserve">[-0.537, 0.2471]</w:t>
            </w:r>
          </w:p>
        </w:tc>
      </w:tr>
      <w:tr>
        <w:tc>
          <w:tcPr>
            <w:tcW w:w="0" w:type="auto"/>
          </w:tcPr>
          <w:p>
            <w:pPr>
              <w:spacing w:line="240" w:lineRule="auto" w:before="0" w:after="0"/>
              <w:pStyle w:val="Compact"/>
            </w:pPr>
            <w:r>
              <w:rPr>
                <w:sz w:val="20"/>
                <w:szCs w:val="20"/>
              </w:rPr>
              <w:t xml:space="preserve">baseline_months</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0.0049</w:t>
            </w:r>
          </w:p>
        </w:tc>
        <w:tc>
          <w:tcPr>
            <w:tcW w:w="0" w:type="auto"/>
          </w:tcPr>
          <w:p>
            <w:pPr>
              <w:spacing w:line="240" w:lineRule="auto" w:before="0" w:after="0"/>
              <w:pStyle w:val="Compact"/>
            </w:pPr>
            <w:r>
              <w:rPr>
                <w:sz w:val="20"/>
                <w:szCs w:val="20"/>
              </w:rPr>
              <w:t xml:space="preserve">-0.6941</w:t>
            </w:r>
          </w:p>
        </w:tc>
        <w:tc>
          <w:tcPr>
            <w:tcW w:w="0" w:type="auto"/>
          </w:tcPr>
          <w:p>
            <w:pPr>
              <w:spacing w:line="240" w:lineRule="auto" w:before="0" w:after="0"/>
              <w:pStyle w:val="Compact"/>
            </w:pPr>
            <w:r>
              <w:rPr>
                <w:sz w:val="20"/>
                <w:szCs w:val="20"/>
              </w:rPr>
              <w:t xml:space="preserve">0.4876</w:t>
            </w:r>
          </w:p>
        </w:tc>
        <w:tc>
          <w:tcPr>
            <w:tcW w:w="0" w:type="auto"/>
          </w:tcPr>
          <w:p>
            <w:pPr>
              <w:spacing w:line="240" w:lineRule="auto" w:before="0" w:after="0"/>
              <w:pStyle w:val="Compact"/>
            </w:pPr>
            <w:r>
              <w:rPr>
                <w:sz w:val="20"/>
                <w:szCs w:val="20"/>
              </w:rPr>
              <w:t xml:space="preserve">[-0.013, 0.0062]</w:t>
            </w:r>
          </w:p>
        </w:tc>
      </w:tr>
      <w:tr>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-0.0375</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-0.9147</w:t>
            </w:r>
          </w:p>
        </w:tc>
        <w:tc>
          <w:tcPr>
            <w:tcW w:w="0" w:type="auto"/>
          </w:tcPr>
          <w:p>
            <w:pPr>
              <w:spacing w:line="240" w:lineRule="auto" w:before="0" w:after="0"/>
              <w:pStyle w:val="Compact"/>
            </w:pPr>
            <w:r>
              <w:rPr>
                <w:sz w:val="20"/>
                <w:szCs w:val="20"/>
              </w:rPr>
              <w:t xml:space="preserve">0.3604</w:t>
            </w:r>
          </w:p>
        </w:tc>
        <w:tc>
          <w:tcPr>
            <w:tcW w:w="0" w:type="auto"/>
          </w:tcPr>
          <w:p>
            <w:pPr>
              <w:spacing w:line="240" w:lineRule="auto" w:before="0" w:after="0"/>
              <w:pStyle w:val="Compact"/>
            </w:pPr>
            <w:r>
              <w:rPr>
                <w:sz w:val="20"/>
                <w:szCs w:val="20"/>
              </w:rPr>
              <w:t xml:space="preserve">[-0.1178, 0.0428]</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-0.1477</w:t>
            </w:r>
          </w:p>
        </w:tc>
        <w:tc>
          <w:tcPr>
            <w:tcW w:w="0" w:type="auto"/>
          </w:tcPr>
          <w:p>
            <w:pPr>
              <w:spacing w:line="240" w:lineRule="auto" w:before="0" w:after="0"/>
              <w:pStyle w:val="Compact"/>
            </w:pPr>
            <w:r>
              <w:rPr>
                <w:sz w:val="20"/>
                <w:szCs w:val="20"/>
              </w:rPr>
              <w:t xml:space="preserve">0.0794</w:t>
            </w:r>
          </w:p>
        </w:tc>
        <w:tc>
          <w:tcPr>
            <w:tcW w:w="0" w:type="auto"/>
          </w:tcPr>
          <w:p>
            <w:pPr>
              <w:spacing w:line="240" w:lineRule="auto" w:before="0" w:after="0"/>
              <w:pStyle w:val="Compact"/>
            </w:pPr>
            <w:r>
              <w:rPr>
                <w:sz w:val="20"/>
                <w:szCs w:val="20"/>
              </w:rPr>
              <w:t xml:space="preserve">-1.8607</w:t>
            </w:r>
          </w:p>
        </w:tc>
        <w:tc>
          <w:tcPr>
            <w:tcW w:w="0" w:type="auto"/>
          </w:tcPr>
          <w:p>
            <w:pPr>
              <w:spacing w:line="240" w:lineRule="auto" w:before="0" w:after="0"/>
              <w:pStyle w:val="Compact"/>
            </w:pPr>
            <w:r>
              <w:rPr>
                <w:sz w:val="20"/>
                <w:szCs w:val="20"/>
              </w:rPr>
              <w:t xml:space="preserve">0.0628</w:t>
            </w:r>
          </w:p>
        </w:tc>
        <w:tc>
          <w:tcPr>
            <w:tcW w:w="0" w:type="auto"/>
          </w:tcPr>
          <w:p>
            <w:pPr>
              <w:spacing w:line="240" w:lineRule="auto" w:before="0" w:after="0"/>
              <w:pStyle w:val="Compact"/>
            </w:pPr>
            <w:r>
              <w:rPr>
                <w:sz w:val="20"/>
                <w:szCs w:val="20"/>
              </w:rPr>
              <w:t xml:space="preserve">[-0.3032, 0.0079]</w:t>
            </w:r>
          </w:p>
        </w:tc>
      </w:tr>
    </w:tbl>
    <w:p>
      <w:pPr>
        <w:pStyle w:val="BodyText"/>
      </w:pPr>
      <w:r>
        <w:t xml:space="preserve">Fit: N = 28 R2 = 0.1231 R2_adj = -0.0294 F = 1.2355 F_p = 0.3235</w:t>
      </w:r>
    </w:p>
    <w:p>
      <w:pPr>
        <w:pStyle w:val="CaptionedFigure"/>
      </w:pPr>
      <w:r>
        <w:drawing>
          <wp:inline>
            <wp:extent cx="5669280" cy="3657600"/>
            <wp:effectExtent b="0" l="0" r="0" t="0"/>
            <wp:docPr descr="Figure 1. Normalized schedule slip against baseline technology maturity across 28 NASA major-project milestones, with ISRU and nuclear milestones distinguished from the comparison group." title="" id="82" name="Picture"/>
            <a:graphic>
              <a:graphicData uri="http://schemas.openxmlformats.org/drawingml/2006/picture">
                <pic:pic>
                  <pic:nvPicPr>
                    <pic:cNvPr descr="D:\Claude_Code\brain\collegium\candidates\dissertations\CISLUNAR_DEV_06\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Normalized schedule slip against baseline technology maturity across 28 NASA major-project milestones, with ISRU and nuclear milestones distinguished from the comparison group.</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milestone</w:t>
            </w:r>
          </w:p>
        </w:tc>
        <w:tc>
          <w:tcPr>
            <w:tcW w:w="0" w:type="auto"/>
          </w:tcPr>
          <w:p>
            <w:pPr>
              <w:spacing w:line="240" w:lineRule="auto" w:before="0" w:after="0"/>
              <w:pStyle w:val="Compact"/>
            </w:pPr>
            <w:r>
              <w:rPr>
                <w:sz w:val="20"/>
                <w:szCs w:val="20"/>
              </w:rPr>
              <w:t xml:space="preserve">program_id</w:t>
            </w:r>
          </w:p>
        </w:tc>
        <w:tc>
          <w:tcPr>
            <w:tcW w:w="0" w:type="auto"/>
          </w:tcPr>
          <w:p>
            <w:pPr>
              <w:spacing w:line="240" w:lineRule="auto" w:before="0" w:after="0"/>
              <w:pStyle w:val="Compact"/>
            </w:pPr>
            <w:r>
              <w:rPr>
                <w:sz w:val="20"/>
                <w:szCs w:val="20"/>
              </w:rPr>
              <w:t xml:space="preserve">isru_nuclear</w:t>
            </w:r>
          </w:p>
        </w:tc>
        <w:tc>
          <w:tcPr>
            <w:tcW w:w="0" w:type="auto"/>
          </w:tcPr>
          <w:p>
            <w:pPr>
              <w:spacing w:line="240" w:lineRule="auto" w:before="0" w:after="0"/>
              <w:pStyle w:val="Compact"/>
            </w:pPr>
            <w:r>
              <w:rPr>
                <w:sz w:val="20"/>
                <w:szCs w:val="20"/>
              </w:rPr>
              <w:t xml:space="preserve">slip_months</w:t>
            </w:r>
          </w:p>
        </w:tc>
        <w:tc>
          <w:tcPr>
            <w:tcW w:w="0" w:type="auto"/>
          </w:tcPr>
          <w:p>
            <w:pPr>
              <w:spacing w:line="240" w:lineRule="auto" w:before="0" w:after="0"/>
              <w:pStyle w:val="Compact"/>
            </w:pPr>
            <w:r>
              <w:rPr>
                <w:sz w:val="20"/>
                <w:szCs w:val="20"/>
              </w:rPr>
              <w:t xml:space="preserve">baseline_months</w:t>
            </w:r>
          </w:p>
        </w:tc>
        <w:tc>
          <w:tcPr>
            <w:tcW w:w="0" w:type="auto"/>
          </w:tcPr>
          <w:p>
            <w:pPr>
              <w:spacing w:line="240" w:lineRule="auto" w:before="0" w:after="0"/>
              <w:pStyle w:val="Compact"/>
            </w:pPr>
            <w:r>
              <w:rPr>
                <w:sz w:val="20"/>
                <w:szCs w:val="20"/>
              </w:rPr>
              <w:t xml:space="preserve">norm_slip</w:t>
            </w:r>
          </w:p>
        </w:tc>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Fission Surface Power 40kW reactor delivery</w:t>
            </w:r>
          </w:p>
        </w:tc>
        <w:tc>
          <w:tcPr>
            <w:tcW w:w="0" w:type="auto"/>
          </w:tcPr>
          <w:p>
            <w:pPr>
              <w:spacing w:line="240" w:lineRule="auto" w:before="0" w:after="0"/>
              <w:pStyle w:val="Compact"/>
            </w:pPr>
            <w:r>
              <w:rPr>
                <w:sz w:val="20"/>
                <w:szCs w:val="20"/>
              </w:rPr>
              <w:t xml:space="preserve">FSP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Glenn FSP project and Aviation Week</w:t>
            </w:r>
            <w:r>
              <w:rPr>
                <w:sz w:val="20"/>
                <w:szCs w:val="20"/>
              </w:rPr>
              <w:t xml:space="preserve"> </w:t>
            </w:r>
            <w:r>
              <w:rPr>
                <w:sz w:val="20"/>
                <w:szCs w:val="20"/>
              </w:rPr>
              <w:t xml:space="preserve">‘NASA Aims To Launch Lunar Fission Reactor By 2030’</w:t>
            </w:r>
            <w:r>
              <w:rPr>
                <w:sz w:val="20"/>
                <w:szCs w:val="20"/>
              </w:rPr>
              <w:t xml:space="preserve"> </w:t>
            </w:r>
            <w:r>
              <w:rPr>
                <w:sz w:val="20"/>
                <w:szCs w:val="20"/>
              </w:rPr>
              <w:t xml:space="preserve">(target slipped from late 2020s to early 2030s); nasa.gov/centers-and-facilities/glenn/nasas-fission-surface-power-project-energizes-lunar-exploration</w:t>
            </w:r>
          </w:p>
        </w:tc>
      </w:tr>
      <w:tr>
        <w:tc>
          <w:tcPr>
            <w:tcW w:w="0" w:type="auto"/>
          </w:tcPr>
          <w:p>
            <w:pPr>
              <w:spacing w:line="240" w:lineRule="auto" w:before="0" w:after="0"/>
              <w:pStyle w:val="Compact"/>
            </w:pPr>
            <w:r>
              <w:rPr>
                <w:sz w:val="20"/>
                <w:szCs w:val="20"/>
              </w:rPr>
              <w:t xml:space="preserve">PRIME-1 ISRU drill/MSolo demonstration</w:t>
            </w:r>
          </w:p>
        </w:tc>
        <w:tc>
          <w:tcPr>
            <w:tcW w:w="0" w:type="auto"/>
          </w:tcPr>
          <w:p>
            <w:pPr>
              <w:spacing w:line="240" w:lineRule="auto" w:before="0" w:after="0"/>
              <w:pStyle w:val="Compact"/>
            </w:pPr>
            <w:r>
              <w:rPr>
                <w:sz w:val="20"/>
                <w:szCs w:val="20"/>
              </w:rPr>
              <w:t xml:space="preserve">CLPS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Science PRIME-1 page (landing slipped within 2024-2025); science.nasa.gov/lunar-science/clps-deliveries/prime-1-im</w:t>
            </w:r>
          </w:p>
        </w:tc>
      </w:tr>
      <w:tr>
        <w:tc>
          <w:tcPr>
            <w:tcW w:w="0" w:type="auto"/>
          </w:tcPr>
          <w:p>
            <w:pPr>
              <w:spacing w:line="240" w:lineRule="auto" w:before="0" w:after="0"/>
              <w:pStyle w:val="Compact"/>
            </w:pPr>
            <w:r>
              <w:rPr>
                <w:sz w:val="20"/>
                <w:szCs w:val="20"/>
              </w:rPr>
              <w:t xml:space="preserve">VIPER polar ice prospecting rover readiness</w:t>
            </w:r>
          </w:p>
        </w:tc>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0.5833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news release</w:t>
            </w:r>
            <w:r>
              <w:rPr>
                <w:sz w:val="20"/>
                <w:szCs w:val="20"/>
              </w:rPr>
              <w:t xml:space="preserve"> </w:t>
            </w:r>
            <w:r>
              <w:rPr>
                <w:sz w:val="20"/>
                <w:szCs w:val="20"/>
              </w:rPr>
              <w:t xml:space="preserve">‘NASA Ends VIPER Project’</w:t>
            </w:r>
            <w:r>
              <w:rPr>
                <w:sz w:val="20"/>
                <w:szCs w:val="20"/>
              </w:rPr>
              <w:t xml:space="preserve"> </w:t>
            </w:r>
            <w:r>
              <w:rPr>
                <w:sz w:val="20"/>
                <w:szCs w:val="20"/>
              </w:rPr>
              <w:t xml:space="preserve">and Wikipedia VIPER (late 2023 baseline to Sep 2025 readiness before cancellation); nasa.gov/news-release/nasa-ends-viper-project-continues-moon-exploration</w:t>
            </w:r>
          </w:p>
        </w:tc>
      </w:tr>
      <w:tr>
        <w:tc>
          <w:tcPr>
            <w:tcW w:w="0" w:type="auto"/>
          </w:tcPr>
          <w:p>
            <w:pPr>
              <w:spacing w:line="240" w:lineRule="auto" w:before="0" w:after="0"/>
              <w:pStyle w:val="Compact"/>
            </w:pPr>
            <w:r>
              <w:rPr>
                <w:sz w:val="20"/>
                <w:szCs w:val="20"/>
              </w:rPr>
              <w:t xml:space="preserve">LTV crewed lunar mobility surface delivery</w:t>
            </w:r>
          </w:p>
        </w:tc>
        <w:tc>
          <w:tcPr>
            <w:tcW w:w="0" w:type="auto"/>
          </w:tcPr>
          <w:p>
            <w:pPr>
              <w:spacing w:line="240" w:lineRule="auto" w:before="0" w:after="0"/>
              <w:pStyle w:val="Compact"/>
            </w:pPr>
            <w:r>
              <w:rPr>
                <w:sz w:val="20"/>
                <w:szCs w:val="20"/>
              </w:rPr>
              <w:t xml:space="preserve">LTV</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Lunar Terrain Vehicle program and NASA Moon Base Systems update (2028 target under CLPS); nasa.gov/suits-and-rovers/lunar-terrain-vehicle</w:t>
            </w:r>
          </w:p>
        </w:tc>
      </w:tr>
      <w:tr>
        <w:tc>
          <w:tcPr>
            <w:tcW w:w="0" w:type="auto"/>
          </w:tcPr>
          <w:p>
            <w:pPr>
              <w:spacing w:line="240" w:lineRule="auto" w:before="0" w:after="0"/>
              <w:pStyle w:val="Compact"/>
            </w:pPr>
            <w:r>
              <w:rPr>
                <w:sz w:val="20"/>
                <w:szCs w:val="20"/>
              </w:rPr>
              <w:t xml:space="preserve">Lunar regolith ISRU oxygen pilot facility</w:t>
            </w:r>
          </w:p>
        </w:tc>
        <w:tc>
          <w:tcPr>
            <w:tcW w:w="0" w:type="auto"/>
          </w:tcPr>
          <w:p>
            <w:pPr>
              <w:spacing w:line="240" w:lineRule="auto" w:before="0" w:after="0"/>
              <w:pStyle w:val="Compact"/>
            </w:pPr>
            <w:r>
              <w:rPr>
                <w:sz w:val="20"/>
                <w:szCs w:val="20"/>
              </w:rPr>
              <w:t xml:space="preserve">FSP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[illustrative] anchored to Spedding, Lim &amp; Nuttall (2021) Delphi finding that ISRU at a 2040 outpost requires ~1 MW additional power; doi:10.1016/j.actaastro.2021.01.009</w:t>
            </w:r>
          </w:p>
        </w:tc>
      </w:tr>
      <w:tr>
        <w:tc>
          <w:tcPr>
            <w:tcW w:w="0" w:type="auto"/>
          </w:tcPr>
          <w:p>
            <w:pPr>
              <w:spacing w:line="240" w:lineRule="auto" w:before="0" w:after="0"/>
              <w:pStyle w:val="Compact"/>
            </w:pPr>
            <w:r>
              <w:rPr>
                <w:sz w:val="20"/>
                <w:szCs w:val="20"/>
              </w:rPr>
              <w:t xml:space="preserve">Orion crew vehicle Artemis II readiness</w:t>
            </w:r>
          </w:p>
        </w:tc>
        <w:tc>
          <w:tcPr>
            <w:tcW w:w="0" w:type="auto"/>
          </w:tcPr>
          <w:p>
            <w:pPr>
              <w:spacing w:line="240" w:lineRule="auto" w:before="0" w:after="0"/>
              <w:pStyle w:val="Compact"/>
            </w:pPr>
            <w:r>
              <w:rPr>
                <w:sz w:val="20"/>
                <w:szCs w:val="20"/>
              </w:rPr>
              <w:t xml:space="preserve">SLS_ORION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0.1429</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and leonarddavid.com report (Orion ~$360M-$684M growth vs 2021 rebaseline); gao.gov/products/gao-25-107591</w:t>
            </w:r>
          </w:p>
        </w:tc>
      </w:tr>
      <w:tr>
        <w:tc>
          <w:tcPr>
            <w:tcW w:w="0" w:type="auto"/>
          </w:tcPr>
          <w:p>
            <w:pPr>
              <w:spacing w:line="240" w:lineRule="auto" w:before="0" w:after="0"/>
              <w:pStyle w:val="Compact"/>
            </w:pPr>
            <w:r>
              <w:rPr>
                <w:sz w:val="20"/>
                <w:szCs w:val="20"/>
              </w:rPr>
              <w:t xml:space="preserve">SLS Block 1 Artemis II launch readiness</w:t>
            </w:r>
          </w:p>
        </w:tc>
        <w:tc>
          <w:tcPr>
            <w:tcW w:w="0" w:type="auto"/>
          </w:tcPr>
          <w:p>
            <w:pPr>
              <w:spacing w:line="240" w:lineRule="auto" w:before="0" w:after="0"/>
              <w:pStyle w:val="Compact"/>
            </w:pPr>
            <w:r>
              <w:rPr>
                <w:sz w:val="20"/>
                <w:szCs w:val="20"/>
              </w:rPr>
              <w:t xml:space="preserve">SLS_ORION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0.1042</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NASA Assessments of Major Projects; gao.gov/assets/gao-25-107591.pdf</w:t>
            </w:r>
          </w:p>
        </w:tc>
      </w:tr>
      <w:tr>
        <w:tc>
          <w:tcPr>
            <w:tcW w:w="0" w:type="auto"/>
          </w:tcPr>
          <w:p>
            <w:pPr>
              <w:spacing w:line="240" w:lineRule="auto" w:before="0" w:after="0"/>
              <w:pStyle w:val="Compact"/>
            </w:pPr>
            <w:r>
              <w:rPr>
                <w:sz w:val="20"/>
                <w:szCs w:val="20"/>
              </w:rPr>
              <w:t xml:space="preserve">Exploration Upper Stage (SLS Block 1B)</w:t>
            </w:r>
          </w:p>
        </w:tc>
        <w:tc>
          <w:tcPr>
            <w:tcW w:w="0" w:type="auto"/>
          </w:tcPr>
          <w:p>
            <w:pPr>
              <w:spacing w:line="240" w:lineRule="auto" w:before="0" w:after="0"/>
              <w:pStyle w:val="Compact"/>
            </w:pPr>
            <w:r>
              <w:rPr>
                <w:sz w:val="20"/>
                <w:szCs w:val="20"/>
              </w:rPr>
              <w:t xml:space="preserve">SLS_ORION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0.7778</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OIG IG-24-015 and NASASpaceFlight (delivery dates extended up to 7 years); oig.nasa.gov/wp-content/uploads/2024/08/ig-24-015.pdf</w:t>
            </w:r>
          </w:p>
        </w:tc>
      </w:tr>
      <w:tr>
        <w:tc>
          <w:tcPr>
            <w:tcW w:w="0" w:type="auto"/>
          </w:tcPr>
          <w:p>
            <w:pPr>
              <w:spacing w:line="240" w:lineRule="auto" w:before="0" w:after="0"/>
              <w:pStyle w:val="Compact"/>
            </w:pPr>
            <w:r>
              <w:rPr>
                <w:sz w:val="20"/>
                <w:szCs w:val="20"/>
              </w:rPr>
              <w:t xml:space="preserve">Mobile Launcher 2 delivery</w:t>
            </w:r>
          </w:p>
        </w:tc>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OIG IG-24-016 and Space.com (March 2023 baseline to spring 2029 earliest); oig.nasa.gov/wp-content/uploads/2024/08/ig-24-016.pdf</w:t>
            </w:r>
          </w:p>
        </w:tc>
      </w:tr>
      <w:tr>
        <w:tc>
          <w:tcPr>
            <w:tcW w:w="0" w:type="auto"/>
          </w:tcPr>
          <w:p>
            <w:pPr>
              <w:spacing w:line="240" w:lineRule="auto" w:before="0" w:after="0"/>
              <w:pStyle w:val="Compact"/>
            </w:pPr>
            <w:r>
              <w:rPr>
                <w:sz w:val="20"/>
                <w:szCs w:val="20"/>
              </w:rPr>
              <w:t xml:space="preserve">Exploration Ground Systems Artemis II</w:t>
            </w:r>
          </w:p>
        </w:tc>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0.1667</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and SpacePolicyOnline (EGS lack of schedule margin); spacepolicyonline.com/news/gao-lack-of-ground-system-schedule-margin-adds-to-likelihood-of-artemis-ii-delay</w:t>
            </w:r>
          </w:p>
        </w:tc>
      </w:tr>
      <w:tr>
        <w:tc>
          <w:tcPr>
            <w:tcW w:w="0" w:type="auto"/>
          </w:tcPr>
          <w:p>
            <w:pPr>
              <w:spacing w:line="240" w:lineRule="auto" w:before="0" w:after="0"/>
              <w:pStyle w:val="Compact"/>
            </w:pPr>
            <w:r>
              <w:rPr>
                <w:sz w:val="20"/>
                <w:szCs w:val="20"/>
              </w:rPr>
              <w:t xml:space="preserve">Gateway PPE/HALO initial capability launch</w:t>
            </w:r>
          </w:p>
        </w:tc>
        <w:tc>
          <w:tcPr>
            <w:tcW w:w="0" w:type="auto"/>
          </w:tcPr>
          <w:p>
            <w:pPr>
              <w:spacing w:line="240" w:lineRule="auto" w:before="0" w:after="0"/>
              <w:pStyle w:val="Compact"/>
            </w:pPr>
            <w:r>
              <w:rPr>
                <w:sz w:val="20"/>
                <w:szCs w:val="20"/>
              </w:rPr>
              <w:t xml:space="preserve">GATEWAY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NASASpaceFlight</w:t>
            </w:r>
            <w:r>
              <w:rPr>
                <w:sz w:val="20"/>
                <w:szCs w:val="20"/>
              </w:rPr>
              <w:t xml:space="preserve"> </w:t>
            </w:r>
            <w:r>
              <w:rPr>
                <w:sz w:val="20"/>
                <w:szCs w:val="20"/>
              </w:rPr>
              <w:t xml:space="preserve">‘Gateway launch date’</w:t>
            </w:r>
            <w:r>
              <w:rPr>
                <w:sz w:val="20"/>
                <w:szCs w:val="20"/>
              </w:rPr>
              <w:t xml:space="preserve"> </w:t>
            </w:r>
            <w:r>
              <w:rPr>
                <w:sz w:val="20"/>
                <w:szCs w:val="20"/>
              </w:rPr>
              <w:t xml:space="preserve">and GAO-24-106878 (Sep 2025 baseline to Dec 2027 commitment); nasaspaceflight.com/2024/05/gateway-launch-date</w:t>
            </w:r>
          </w:p>
        </w:tc>
      </w:tr>
      <w:tr>
        <w:tc>
          <w:tcPr>
            <w:tcW w:w="0" w:type="auto"/>
          </w:tcPr>
          <w:p>
            <w:pPr>
              <w:spacing w:line="240" w:lineRule="auto" w:before="0" w:after="0"/>
              <w:pStyle w:val="Compact"/>
            </w:pPr>
            <w:r>
              <w:rPr>
                <w:sz w:val="20"/>
                <w:szCs w:val="20"/>
              </w:rPr>
              <w:t xml:space="preserve">HLS Starship uncrewed lunar demo</w:t>
            </w:r>
          </w:p>
        </w:tc>
        <w:tc>
          <w:tcPr>
            <w:tcW w:w="0" w:type="auto"/>
          </w:tcPr>
          <w:p>
            <w:pPr>
              <w:spacing w:line="240" w:lineRule="auto" w:before="0" w:after="0"/>
              <w:pStyle w:val="Compact"/>
            </w:pPr>
            <w:r>
              <w:rPr>
                <w:sz w:val="20"/>
                <w:szCs w:val="20"/>
              </w:rPr>
              <w:t xml:space="preserve">HLS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GAO-24-106256 NASA Artemis Programs (Artemis III likely early 2027); gao.gov/assets/d24106256.pdf</w:t>
            </w:r>
          </w:p>
        </w:tc>
      </w:tr>
      <w:tr>
        <w:tc>
          <w:tcPr>
            <w:tcW w:w="0" w:type="auto"/>
          </w:tcPr>
          <w:p>
            <w:pPr>
              <w:spacing w:line="240" w:lineRule="auto" w:before="0" w:after="0"/>
              <w:pStyle w:val="Compact"/>
            </w:pPr>
            <w:r>
              <w:rPr>
                <w:sz w:val="20"/>
                <w:szCs w:val="20"/>
              </w:rPr>
              <w:t xml:space="preserve">Roman Space Telescope launch readiness</w:t>
            </w:r>
          </w:p>
        </w:tc>
        <w:tc>
          <w:tcPr>
            <w:tcW w:w="0" w:type="auto"/>
          </w:tcPr>
          <w:p>
            <w:pPr>
              <w:spacing w:line="240" w:lineRule="auto" w:before="0" w:after="0"/>
              <w:pStyle w:val="Compact"/>
            </w:pPr>
            <w:r>
              <w:rPr>
                <w:sz w:val="20"/>
                <w:szCs w:val="20"/>
              </w:rPr>
              <w:t xml:space="preserve">ROMAN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-0.0952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Space.com and NASA SVS (Sep 2026, ~8 months ahead of May 2027 requirement); space.com/space-exploration/the-nancy-grace-roman-space-telescope-nasas-next-great-observatory-is-finally-complete</w:t>
            </w:r>
          </w:p>
        </w:tc>
      </w:tr>
      <w:tr>
        <w:tc>
          <w:tcPr>
            <w:tcW w:w="0" w:type="auto"/>
          </w:tcPr>
          <w:p>
            <w:pPr>
              <w:spacing w:line="240" w:lineRule="auto" w:before="0" w:after="0"/>
              <w:pStyle w:val="Compact"/>
            </w:pPr>
            <w:r>
              <w:rPr>
                <w:sz w:val="20"/>
                <w:szCs w:val="20"/>
              </w:rPr>
              <w:t xml:space="preserve">Europa Clipper launch</w:t>
            </w:r>
          </w:p>
        </w:tc>
        <w:tc>
          <w:tcPr>
            <w:tcW w:w="0" w:type="auto"/>
          </w:tcPr>
          <w:p>
            <w:pPr>
              <w:spacing w:line="240" w:lineRule="auto" w:before="0" w:after="0"/>
              <w:pStyle w:val="Compact"/>
            </w:pPr>
            <w:r>
              <w:rPr>
                <w:sz w:val="20"/>
                <w:szCs w:val="20"/>
              </w:rPr>
              <w:t xml:space="preserve">CLIPPER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Space.com (Oct 2024 launch, only weather slip from Oct 10 to Oct 14); space.com/nasa-spacex-europa-clipper-launch-date-october-14</w:t>
            </w:r>
          </w:p>
        </w:tc>
      </w:tr>
      <w:tr>
        <w:tc>
          <w:tcPr>
            <w:tcW w:w="0" w:type="auto"/>
          </w:tcPr>
          <w:p>
            <w:pPr>
              <w:spacing w:line="240" w:lineRule="auto" w:before="0" w:after="0"/>
              <w:pStyle w:val="Compact"/>
            </w:pPr>
            <w:r>
              <w:rPr>
                <w:sz w:val="20"/>
                <w:szCs w:val="20"/>
              </w:rPr>
              <w:t xml:space="preserve">Psyche asteroid mission launch</w:t>
            </w:r>
          </w:p>
        </w:tc>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0.2333</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Wikipedia Psyche and NASA JPL (Aug 2022 baseline to Oct 2023 launch, 14-month delay); jpl.nasa.gov/news/nasa-announces-launch-delay-for-its-psyche-asteroid-mission</w:t>
            </w:r>
          </w:p>
        </w:tc>
      </w:tr>
      <w:tr>
        <w:tc>
          <w:tcPr>
            <w:tcW w:w="0" w:type="auto"/>
          </w:tcPr>
          <w:p>
            <w:pPr>
              <w:spacing w:line="240" w:lineRule="auto" w:before="0" w:after="0"/>
              <w:pStyle w:val="Compact"/>
            </w:pPr>
            <w:r>
              <w:rPr>
                <w:sz w:val="20"/>
                <w:szCs w:val="20"/>
              </w:rPr>
              <w:t xml:space="preserve">PACE ocean/aerosol mission launch</w:t>
            </w:r>
          </w:p>
        </w:tc>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(PACE removed 15 months cumulative schedule delay at launch); gao.gov/assets/gao-25-107591.pdf</w:t>
            </w:r>
          </w:p>
        </w:tc>
      </w:tr>
      <w:tr>
        <w:tc>
          <w:tcPr>
            <w:tcW w:w="0" w:type="auto"/>
          </w:tcPr>
          <w:p>
            <w:pPr>
              <w:spacing w:line="240" w:lineRule="auto" w:before="0" w:after="0"/>
              <w:pStyle w:val="Compact"/>
            </w:pPr>
            <w:r>
              <w:rPr>
                <w:sz w:val="20"/>
                <w:szCs w:val="20"/>
              </w:rPr>
              <w:t xml:space="preserve">SPHEREx infrared survey launch</w:t>
            </w:r>
          </w:p>
        </w:tc>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0.125</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GAO-25-107591 (SPHEREx data as of Feb 2025, launched Mar 2025); gao.gov/assets/gao-25-107591.pdf</w:t>
            </w:r>
          </w:p>
        </w:tc>
      </w:tr>
      <w:tr>
        <w:tc>
          <w:tcPr>
            <w:tcW w:w="0" w:type="auto"/>
          </w:tcPr>
          <w:p>
            <w:pPr>
              <w:spacing w:line="240" w:lineRule="auto" w:before="0" w:after="0"/>
              <w:pStyle w:val="Compact"/>
            </w:pPr>
            <w:r>
              <w:rPr>
                <w:sz w:val="20"/>
                <w:szCs w:val="20"/>
              </w:rPr>
              <w:t xml:space="preserve">Dragonfly Titan rotorcraft launch</w:t>
            </w:r>
          </w:p>
        </w:tc>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0.3214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OIG IG-25-011 and GAO (Apr 2026 baseline to Jul 2028, &gt;2-year delay); oig.nasa.gov/wp-content/uploads/2025/09/final-report-ig-25-011-nasas-managment-of-the-dragonfly-project.pdf</w:t>
            </w:r>
          </w:p>
        </w:tc>
      </w:tr>
      <w:tr>
        <w:tc>
          <w:tcPr>
            <w:tcW w:w="0" w:type="auto"/>
          </w:tcPr>
          <w:p>
            <w:pPr>
              <w:spacing w:line="240" w:lineRule="auto" w:before="0" w:after="0"/>
              <w:pStyle w:val="Compact"/>
            </w:pPr>
            <w:r>
              <w:rPr>
                <w:sz w:val="20"/>
                <w:szCs w:val="20"/>
              </w:rPr>
              <w:t xml:space="preserve">NEO Surveyor planetary-defense telescope</w:t>
            </w:r>
          </w:p>
        </w:tc>
        <w:tc>
          <w:tcPr>
            <w:tcW w:w="0" w:type="auto"/>
          </w:tcPr>
          <w:p>
            <w:pPr>
              <w:spacing w:line="240" w:lineRule="auto" w:before="0" w:after="0"/>
              <w:pStyle w:val="Compact"/>
            </w:pPr>
            <w:r>
              <w:rPr>
                <w:sz w:val="20"/>
                <w:szCs w:val="20"/>
              </w:rPr>
              <w:t xml:space="preserve">NEOSURVEYOR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0.3333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SpacePolicyOnline</w:t>
            </w:r>
            <w:r>
              <w:rPr>
                <w:sz w:val="20"/>
                <w:szCs w:val="20"/>
              </w:rPr>
              <w:t xml:space="preserve"> </w:t>
            </w:r>
            <w:r>
              <w:rPr>
                <w:sz w:val="20"/>
                <w:szCs w:val="20"/>
              </w:rPr>
              <w:t xml:space="preserve">‘Asteroid-Hunting Telescope Clears NASA Review’</w:t>
            </w:r>
            <w:r>
              <w:rPr>
                <w:sz w:val="20"/>
                <w:szCs w:val="20"/>
              </w:rPr>
              <w:t xml:space="preserve"> </w:t>
            </w:r>
            <w:r>
              <w:rPr>
                <w:sz w:val="20"/>
                <w:szCs w:val="20"/>
              </w:rPr>
              <w:t xml:space="preserve">(2-year delay, 2026 to 2028); spacepolicyonline.com/news/asteroid-hunting-telescope-clears-nasa-review-but-two-year-delay-hikes-cost</w:t>
            </w:r>
          </w:p>
        </w:tc>
      </w:tr>
      <w:tr>
        <w:tc>
          <w:tcPr>
            <w:tcW w:w="0" w:type="auto"/>
          </w:tcPr>
          <w:p>
            <w:pPr>
              <w:spacing w:line="240" w:lineRule="auto" w:before="0" w:after="0"/>
              <w:pStyle w:val="Compact"/>
            </w:pPr>
            <w:r>
              <w:rPr>
                <w:sz w:val="20"/>
                <w:szCs w:val="20"/>
              </w:rPr>
              <w:t xml:space="preserve">VERITAS Venus mapping mission launch</w:t>
            </w:r>
          </w:p>
        </w:tc>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Space.com and SpaceNews (2027 baseline to no earlier than 2031, 3-year slip); space.com/veritas-mission-delay-affect-venus-exploration</w:t>
            </w:r>
          </w:p>
        </w:tc>
      </w:tr>
      <w:tr>
        <w:tc>
          <w:tcPr>
            <w:tcW w:w="0" w:type="auto"/>
          </w:tcPr>
          <w:p>
            <w:pPr>
              <w:spacing w:line="240" w:lineRule="auto" w:before="0" w:after="0"/>
              <w:pStyle w:val="Compact"/>
            </w:pPr>
            <w:r>
              <w:rPr>
                <w:sz w:val="20"/>
                <w:szCs w:val="20"/>
              </w:rPr>
              <w:t xml:space="preserve">Mars Sample Return lander/MAV</w:t>
            </w:r>
          </w:p>
        </w:tc>
        <w:tc>
          <w:tcPr>
            <w:tcW w:w="0" w:type="auto"/>
          </w:tcPr>
          <w:p>
            <w:pPr>
              <w:spacing w:line="240" w:lineRule="auto" w:before="0" w:after="0"/>
              <w:pStyle w:val="Compact"/>
            </w:pPr>
            <w:r>
              <w:rPr>
                <w:sz w:val="20"/>
                <w:szCs w:val="20"/>
              </w:rPr>
              <w:t xml:space="preserve">MSR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NASA Independent Review Board and E&amp;T Magazine (decision delayed to 2026, return slipped past 2033); nasa.gov/missions/mars-sample-return/nasa-releases-independent-reviews-mars-sample-return-report</w:t>
            </w:r>
          </w:p>
        </w:tc>
      </w:tr>
      <w:tr>
        <w:tc>
          <w:tcPr>
            <w:tcW w:w="0" w:type="auto"/>
          </w:tcPr>
          <w:p>
            <w:pPr>
              <w:spacing w:line="240" w:lineRule="auto" w:before="0" w:after="0"/>
              <w:pStyle w:val="Compact"/>
            </w:pPr>
            <w:r>
              <w:rPr>
                <w:sz w:val="20"/>
                <w:szCs w:val="20"/>
              </w:rPr>
              <w:t xml:space="preserve">Mars Ascent Vehicle development</w:t>
            </w:r>
          </w:p>
        </w:tc>
        <w:tc>
          <w:tcPr>
            <w:tcW w:w="0" w:type="auto"/>
          </w:tcPr>
          <w:p>
            <w:pPr>
              <w:spacing w:line="240" w:lineRule="auto" w:before="0" w:after="0"/>
              <w:pStyle w:val="Compact"/>
            </w:pPr>
            <w:r>
              <w:rPr>
                <w:sz w:val="20"/>
                <w:szCs w:val="20"/>
              </w:rPr>
              <w:t xml:space="preserve">MSR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Science Mars Ascent Vehicle and MSR IRB; science.nasa.gov/mission/mars-sample-return/mars-ascent-vehicle</w:t>
            </w:r>
          </w:p>
        </w:tc>
      </w:tr>
      <w:tr>
        <w:tc>
          <w:tcPr>
            <w:tcW w:w="0" w:type="auto"/>
          </w:tcPr>
          <w:p>
            <w:pPr>
              <w:spacing w:line="240" w:lineRule="auto" w:before="0" w:after="0"/>
              <w:pStyle w:val="Compact"/>
            </w:pPr>
            <w:r>
              <w:rPr>
                <w:sz w:val="20"/>
                <w:szCs w:val="20"/>
              </w:rPr>
              <w:t xml:space="preserve">Lunar Trailblazer water-mapping smallsat</w:t>
            </w:r>
          </w:p>
        </w:tc>
        <w:tc>
          <w:tcPr>
            <w:tcW w:w="0" w:type="auto"/>
          </w:tcPr>
          <w:p>
            <w:pPr>
              <w:spacing w:line="240" w:lineRule="auto" w:before="0" w:after="0"/>
              <w:pStyle w:val="Compact"/>
            </w:pPr>
            <w:r>
              <w:rPr>
                <w:sz w:val="20"/>
                <w:szCs w:val="20"/>
              </w:rPr>
              <w:t xml:space="preserve">TRAILBLAZER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‘NASA moves up Lunar Trailblazer launch’</w:t>
            </w:r>
            <w:r>
              <w:rPr>
                <w:sz w:val="20"/>
                <w:szCs w:val="20"/>
              </w:rPr>
              <w:t xml:space="preserve"> </w:t>
            </w:r>
            <w:r>
              <w:rPr>
                <w:sz w:val="20"/>
                <w:szCs w:val="20"/>
              </w:rPr>
              <w:t xml:space="preserve">(advanced to Feb 2025); spacenews.com/nasa-moves-up-lunar-trailblazer-launch</w:t>
            </w:r>
          </w:p>
        </w:tc>
      </w:tr>
      <w:tr>
        <w:tc>
          <w:tcPr>
            <w:tcW w:w="0" w:type="auto"/>
          </w:tcPr>
          <w:p>
            <w:pPr>
              <w:spacing w:line="240" w:lineRule="auto" w:before="0" w:after="0"/>
              <w:pStyle w:val="Compact"/>
            </w:pPr>
            <w:r>
              <w:rPr>
                <w:sz w:val="20"/>
                <w:szCs w:val="20"/>
              </w:rPr>
              <w:t xml:space="preserve">ISRU water-extraction plant scaling milestone</w:t>
            </w:r>
          </w:p>
        </w:tc>
        <w:tc>
          <w:tcPr>
            <w:tcW w:w="0" w:type="auto"/>
          </w:tcPr>
          <w:p>
            <w:pPr>
              <w:spacing w:line="240" w:lineRule="auto" w:before="0" w:after="0"/>
              <w:pStyle w:val="Compact"/>
            </w:pPr>
            <w:r>
              <w:rPr>
                <w:sz w:val="20"/>
                <w:szCs w:val="20"/>
              </w:rPr>
              <w:t xml:space="preserve">FSP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0.2778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[illustrative] anchored to Ikeya et al. (2025) hybrid lunar ISRU plant comparative analysis; doi:10.1016/j.actaastro.2025.02.004</w:t>
            </w:r>
          </w:p>
        </w:tc>
      </w:tr>
      <w:tr>
        <w:tc>
          <w:tcPr>
            <w:tcW w:w="0" w:type="auto"/>
          </w:tcPr>
          <w:p>
            <w:pPr>
              <w:spacing w:line="240" w:lineRule="auto" w:before="0" w:after="0"/>
              <w:pStyle w:val="Compact"/>
            </w:pPr>
            <w:r>
              <w:rPr>
                <w:sz w:val="20"/>
                <w:szCs w:val="20"/>
              </w:rPr>
              <w:t xml:space="preserve">Carbothermal regolith reduction ISRU demo</w:t>
            </w:r>
          </w:p>
        </w:tc>
        <w:tc>
          <w:tcPr>
            <w:tcW w:w="0" w:type="auto"/>
          </w:tcPr>
          <w:p>
            <w:pPr>
              <w:spacing w:line="240" w:lineRule="auto" w:before="0" w:after="0"/>
              <w:pStyle w:val="Compact"/>
            </w:pPr>
            <w:r>
              <w:rPr>
                <w:sz w:val="20"/>
                <w:szCs w:val="20"/>
              </w:rPr>
              <w:t xml:space="preserve">CLPS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0.2778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[illustrative] anchored to Ikeya et al. (2025) carbothermal reduction vs water extraction; doi:10.1016/j.actaastro.2025.02.004</w:t>
            </w:r>
          </w:p>
        </w:tc>
      </w:tr>
      <w:tr>
        <w:tc>
          <w:tcPr>
            <w:tcW w:w="0" w:type="auto"/>
          </w:tcPr>
          <w:p>
            <w:pPr>
              <w:spacing w:line="240" w:lineRule="auto" w:before="0" w:after="0"/>
              <w:pStyle w:val="Compact"/>
            </w:pPr>
            <w:r>
              <w:rPr>
                <w:sz w:val="20"/>
                <w:szCs w:val="20"/>
              </w:rPr>
              <w:t xml:space="preserve">Universal Stage Adapter (SLS Block 1B)</w:t>
            </w:r>
          </w:p>
        </w:tc>
        <w:tc>
          <w:tcPr>
            <w:tcW w:w="0" w:type="auto"/>
          </w:tcPr>
          <w:p>
            <w:pPr>
              <w:spacing w:line="240" w:lineRule="auto" w:before="0" w:after="0"/>
              <w:pStyle w:val="Compact"/>
            </w:pPr>
            <w:r>
              <w:rPr>
                <w:sz w:val="20"/>
                <w:szCs w:val="20"/>
              </w:rPr>
              <w:t xml:space="preserve">SLS_ORION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0.625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OIG IG-24-015 (SLS Block 1B contract delivery dates extended up to 7 years); oig.nasa.gov/wp-content/uploads/2024/08/ig-24-015.pdf</w:t>
            </w:r>
          </w:p>
        </w:tc>
      </w:tr>
      <w:tr>
        <w:tc>
          <w:tcPr>
            <w:tcW w:w="0" w:type="auto"/>
          </w:tcPr>
          <w:p>
            <w:pPr>
              <w:spacing w:line="240" w:lineRule="auto" w:before="0" w:after="0"/>
              <w:pStyle w:val="Compact"/>
            </w:pPr>
            <w:r>
              <w:rPr>
                <w:sz w:val="20"/>
                <w:szCs w:val="20"/>
              </w:rPr>
              <w:t xml:space="preserve">HLS Block 1 crewed lander Artemis III</w:t>
            </w:r>
          </w:p>
        </w:tc>
        <w:tc>
          <w:tcPr>
            <w:tcW w:w="0" w:type="auto"/>
          </w:tcPr>
          <w:p>
            <w:pPr>
              <w:spacing w:line="240" w:lineRule="auto" w:before="0" w:after="0"/>
              <w:pStyle w:val="Compact"/>
            </w:pPr>
            <w:r>
              <w:rPr>
                <w:sz w:val="20"/>
                <w:szCs w:val="20"/>
              </w:rPr>
              <w:t xml:space="preserve">HLS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GAO-24-106256 NASA Artemis Programs (crewed landing unlikely 2025, early 2027 likely); gao.gov/assets/d24106256.pdf</w:t>
            </w:r>
          </w:p>
        </w:tc>
      </w:tr>
      <w:tr>
        <w:tc>
          <w:tcPr>
            <w:tcW w:w="0" w:type="auto"/>
          </w:tcPr>
          <w:p>
            <w:pPr>
              <w:spacing w:line="240" w:lineRule="auto" w:before="0" w:after="0"/>
              <w:pStyle w:val="Compact"/>
            </w:pPr>
            <w:r>
              <w:rPr>
                <w:sz w:val="20"/>
                <w:szCs w:val="20"/>
              </w:rPr>
              <w:t xml:space="preserve">Lunar fission reactor flight-unit qualification</w:t>
            </w:r>
          </w:p>
        </w:tc>
        <w:tc>
          <w:tcPr>
            <w:tcW w:w="0" w:type="auto"/>
          </w:tcPr>
          <w:p>
            <w:pPr>
              <w:spacing w:line="240" w:lineRule="auto" w:before="0" w:after="0"/>
              <w:pStyle w:val="Compact"/>
            </w:pPr>
            <w:r>
              <w:rPr>
                <w:sz w:val="20"/>
                <w:szCs w:val="20"/>
              </w:rPr>
              <w:t xml:space="preserve">FSP</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0.3571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NASA FSP directive and NucNet (Phase 2 start 2025, deployment early 2030s); nasa.gov/wp-content/uploads/2025/08/nasa-fsp-directive-aug42.pdf</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norm_slip</w:t>
            </w:r>
          </w:p>
        </w:tc>
        <w:tc>
          <w:tcPr>
            <w:tcW w:w="0" w:type="auto"/>
          </w:tcPr>
          <w:p>
            <w:pPr>
              <w:spacing w:line="240" w:lineRule="auto" w:before="0" w:after="0"/>
              <w:pStyle w:val="Compact"/>
            </w:pPr>
            <w:r>
              <w:rPr>
                <w:sz w:val="20"/>
                <w:szCs w:val="20"/>
              </w:rPr>
              <w:t xml:space="preserve">Schedule slip in months from the earliest baselined target divided by the baselined planned duration in months (dimensionless)</w:t>
            </w:r>
          </w:p>
        </w:tc>
        <w:tc>
          <w:tcPr>
            <w:tcW w:w="0" w:type="auto"/>
          </w:tcPr>
          <w:p>
            <w:pPr>
              <w:spacing w:line="240" w:lineRule="auto" w:before="0" w:after="0"/>
              <w:pStyle w:val="Compact"/>
            </w:pPr>
            <w:r>
              <w:rPr>
                <w:sz w:val="20"/>
                <w:szCs w:val="20"/>
              </w:rPr>
              <w:t xml:space="preserve">Computed from GAO-25-107591, NASA OIG reports, and mission timelines</w:t>
            </w:r>
          </w:p>
        </w:tc>
      </w:tr>
      <w:tr>
        <w:tc>
          <w:tcPr>
            <w:tcW w:w="0" w:type="auto"/>
          </w:tcPr>
          <w:p>
            <w:pPr>
              <w:spacing w:line="240" w:lineRule="auto" w:before="0" w:after="0"/>
              <w:pStyle w:val="Compact"/>
            </w:pPr>
            <w:r>
              <w:rPr>
                <w:sz w:val="20"/>
                <w:szCs w:val="20"/>
              </w:rPr>
              <w:t xml:space="preserve">isru_nuclear</w:t>
            </w:r>
          </w:p>
        </w:tc>
        <w:tc>
          <w:tcPr>
            <w:tcW w:w="0" w:type="auto"/>
          </w:tcPr>
          <w:p>
            <w:pPr>
              <w:spacing w:line="240" w:lineRule="auto" w:before="0" w:after="0"/>
              <w:pStyle w:val="Compact"/>
            </w:pPr>
            <w:r>
              <w:rPr>
                <w:sz w:val="20"/>
                <w:szCs w:val="20"/>
              </w:rPr>
              <w:t xml:space="preserve">Indicator equal to 1 if the milestone’s primary deliverable is in-situ resource utilization or fission surface power, 0 otherwise</w:t>
            </w:r>
          </w:p>
        </w:tc>
        <w:tc>
          <w:tcPr>
            <w:tcW w:w="0" w:type="auto"/>
          </w:tcPr>
          <w:p>
            <w:pPr>
              <w:spacing w:line="240" w:lineRule="auto" w:before="0" w:after="0"/>
              <w:pStyle w:val="Compact"/>
            </w:pPr>
            <w:r>
              <w:rPr>
                <w:sz w:val="20"/>
                <w:szCs w:val="20"/>
              </w:rPr>
              <w:t xml:space="preserve">Coded from NASA project descriptions per the prospectus classification rule</w:t>
            </w:r>
          </w:p>
        </w:tc>
      </w:tr>
      <w:tr>
        <w:tc>
          <w:tcPr>
            <w:tcW w:w="0" w:type="auto"/>
          </w:tcPr>
          <w:p>
            <w:pPr>
              <w:spacing w:line="240" w:lineRule="auto" w:before="0" w:after="0"/>
              <w:pStyle w:val="Compact"/>
            </w:pPr>
            <w:r>
              <w:rPr>
                <w:sz w:val="20"/>
                <w:szCs w:val="20"/>
              </w:rPr>
              <w:t xml:space="preserve">baseline_months</w:t>
            </w:r>
          </w:p>
        </w:tc>
        <w:tc>
          <w:tcPr>
            <w:tcW w:w="0" w:type="auto"/>
          </w:tcPr>
          <w:p>
            <w:pPr>
              <w:spacing w:line="240" w:lineRule="auto" w:before="0" w:after="0"/>
              <w:pStyle w:val="Compact"/>
            </w:pPr>
            <w:r>
              <w:rPr>
                <w:sz w:val="20"/>
                <w:szCs w:val="20"/>
              </w:rPr>
              <w:t xml:space="preserve">Baselined planned development duration in months at the earliest commitment</w:t>
            </w:r>
          </w:p>
        </w:tc>
        <w:tc>
          <w:tcPr>
            <w:tcW w:w="0" w:type="auto"/>
          </w:tcPr>
          <w:p>
            <w:pPr>
              <w:spacing w:line="240" w:lineRule="auto" w:before="0" w:after="0"/>
              <w:pStyle w:val="Compact"/>
            </w:pPr>
            <w:r>
              <w:rPr>
                <w:sz w:val="20"/>
                <w:szCs w:val="20"/>
              </w:rPr>
              <w:t xml:space="preserve">GAO and NASA project baseline records</w:t>
            </w:r>
          </w:p>
        </w:tc>
      </w:tr>
      <w:tr>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Calendar year of the earliest schedule baseline</w:t>
            </w:r>
          </w:p>
        </w:tc>
        <w:tc>
          <w:tcPr>
            <w:tcW w:w="0" w:type="auto"/>
          </w:tcPr>
          <w:p>
            <w:pPr>
              <w:spacing w:line="240" w:lineRule="auto" w:before="0" w:after="0"/>
              <w:pStyle w:val="Compact"/>
            </w:pPr>
            <w:r>
              <w:rPr>
                <w:sz w:val="20"/>
                <w:szCs w:val="20"/>
              </w:rPr>
              <w:t xml:space="preserve">GAO-25-107591 and NASA budget records</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Coarse technology readiness level proxy at baseline (1-9 scale)</w:t>
            </w:r>
          </w:p>
        </w:tc>
        <w:tc>
          <w:tcPr>
            <w:tcW w:w="0" w:type="auto"/>
          </w:tcPr>
          <w:p>
            <w:pPr>
              <w:spacing w:line="240" w:lineRule="auto" w:before="0" w:after="0"/>
              <w:pStyle w:val="Compact"/>
            </w:pPr>
            <w:r>
              <w:rPr>
                <w:sz w:val="20"/>
                <w:szCs w:val="20"/>
              </w:rPr>
              <w:t xml:space="preserve">NASA technology maturity assessments and GAO technology readiness reporting</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77.0598</w:t>
            </w:r>
          </w:p>
        </w:tc>
        <w:tc>
          <w:tcPr>
            <w:tcW w:w="0" w:type="auto"/>
          </w:tcPr>
          <w:p>
            <w:pPr>
              <w:spacing w:line="240" w:lineRule="auto" w:before="0" w:after="0"/>
              <w:pStyle w:val="Compact"/>
            </w:pPr>
            <w:r>
              <w:rPr>
                <w:sz w:val="20"/>
                <w:szCs w:val="20"/>
              </w:rPr>
              <w:t xml:space="preserve">83.2765</w:t>
            </w:r>
          </w:p>
        </w:tc>
        <w:tc>
          <w:tcPr>
            <w:tcW w:w="0" w:type="auto"/>
          </w:tcPr>
          <w:p>
            <w:pPr>
              <w:spacing w:line="240" w:lineRule="auto" w:before="0" w:after="0"/>
              <w:pStyle w:val="Compact"/>
            </w:pPr>
            <w:r>
              <w:rPr>
                <w:sz w:val="20"/>
                <w:szCs w:val="20"/>
              </w:rPr>
              <w:t xml:space="preserve">0.9253</w:t>
            </w:r>
          </w:p>
        </w:tc>
        <w:tc>
          <w:tcPr>
            <w:tcW w:w="0" w:type="auto"/>
          </w:tcPr>
          <w:p>
            <w:pPr>
              <w:spacing w:line="240" w:lineRule="auto" w:before="0" w:after="0"/>
              <w:pStyle w:val="Compact"/>
            </w:pPr>
            <w:r>
              <w:rPr>
                <w:sz w:val="20"/>
                <w:szCs w:val="20"/>
              </w:rPr>
              <w:t xml:space="preserve">0.3548</w:t>
            </w:r>
          </w:p>
        </w:tc>
        <w:tc>
          <w:tcPr>
            <w:tcW w:w="0" w:type="auto"/>
          </w:tcPr>
          <w:p>
            <w:pPr>
              <w:spacing w:line="240" w:lineRule="auto" w:before="0" w:after="0"/>
              <w:pStyle w:val="Compact"/>
            </w:pPr>
            <w:r>
              <w:rPr>
                <w:sz w:val="20"/>
                <w:szCs w:val="20"/>
              </w:rPr>
              <w:t xml:space="preserve">[-86.1591, 240.2788]</w:t>
            </w:r>
          </w:p>
        </w:tc>
      </w:tr>
      <w:tr>
        <w:tc>
          <w:tcPr>
            <w:tcW w:w="0" w:type="auto"/>
          </w:tcPr>
          <w:p>
            <w:pPr>
              <w:spacing w:line="240" w:lineRule="auto" w:before="0" w:after="0"/>
              <w:pStyle w:val="Compact"/>
            </w:pPr>
            <w:r>
              <w:rPr>
                <w:sz w:val="20"/>
                <w:szCs w:val="20"/>
              </w:rPr>
              <w:t xml:space="preserve">isru_nuclear</w:t>
            </w:r>
          </w:p>
        </w:tc>
        <w:tc>
          <w:tcPr>
            <w:tcW w:w="0" w:type="auto"/>
          </w:tcPr>
          <w:p>
            <w:pPr>
              <w:spacing w:line="240" w:lineRule="auto" w:before="0" w:after="0"/>
              <w:pStyle w:val="Compact"/>
            </w:pPr>
            <w:r>
              <w:rPr>
                <w:sz w:val="20"/>
                <w:szCs w:val="20"/>
              </w:rPr>
              <w:t xml:space="preserve">-0.145</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-0.7248</w:t>
            </w:r>
          </w:p>
        </w:tc>
        <w:tc>
          <w:tcPr>
            <w:tcW w:w="0" w:type="auto"/>
          </w:tcPr>
          <w:p>
            <w:pPr>
              <w:spacing w:line="240" w:lineRule="auto" w:before="0" w:after="0"/>
              <w:pStyle w:val="Compact"/>
            </w:pPr>
            <w:r>
              <w:rPr>
                <w:sz w:val="20"/>
                <w:szCs w:val="20"/>
              </w:rPr>
              <w:t xml:space="preserve">0.4686</w:t>
            </w:r>
          </w:p>
        </w:tc>
        <w:tc>
          <w:tcPr>
            <w:tcW w:w="0" w:type="auto"/>
          </w:tcPr>
          <w:p>
            <w:pPr>
              <w:spacing w:line="240" w:lineRule="auto" w:before="0" w:after="0"/>
              <w:pStyle w:val="Compact"/>
            </w:pPr>
            <w:r>
              <w:rPr>
                <w:sz w:val="20"/>
                <w:szCs w:val="20"/>
              </w:rPr>
              <w:t xml:space="preserve">[-0.537, 0.2471]</w:t>
            </w:r>
          </w:p>
        </w:tc>
      </w:tr>
      <w:tr>
        <w:tc>
          <w:tcPr>
            <w:tcW w:w="0" w:type="auto"/>
          </w:tcPr>
          <w:p>
            <w:pPr>
              <w:spacing w:line="240" w:lineRule="auto" w:before="0" w:after="0"/>
              <w:pStyle w:val="Compact"/>
            </w:pPr>
            <w:r>
              <w:rPr>
                <w:sz w:val="20"/>
                <w:szCs w:val="20"/>
              </w:rPr>
              <w:t xml:space="preserve">baseline_months</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0.0049</w:t>
            </w:r>
          </w:p>
        </w:tc>
        <w:tc>
          <w:tcPr>
            <w:tcW w:w="0" w:type="auto"/>
          </w:tcPr>
          <w:p>
            <w:pPr>
              <w:spacing w:line="240" w:lineRule="auto" w:before="0" w:after="0"/>
              <w:pStyle w:val="Compact"/>
            </w:pPr>
            <w:r>
              <w:rPr>
                <w:sz w:val="20"/>
                <w:szCs w:val="20"/>
              </w:rPr>
              <w:t xml:space="preserve">-0.6941</w:t>
            </w:r>
          </w:p>
        </w:tc>
        <w:tc>
          <w:tcPr>
            <w:tcW w:w="0" w:type="auto"/>
          </w:tcPr>
          <w:p>
            <w:pPr>
              <w:spacing w:line="240" w:lineRule="auto" w:before="0" w:after="0"/>
              <w:pStyle w:val="Compact"/>
            </w:pPr>
            <w:r>
              <w:rPr>
                <w:sz w:val="20"/>
                <w:szCs w:val="20"/>
              </w:rPr>
              <w:t xml:space="preserve">0.4876</w:t>
            </w:r>
          </w:p>
        </w:tc>
        <w:tc>
          <w:tcPr>
            <w:tcW w:w="0" w:type="auto"/>
          </w:tcPr>
          <w:p>
            <w:pPr>
              <w:spacing w:line="240" w:lineRule="auto" w:before="0" w:after="0"/>
              <w:pStyle w:val="Compact"/>
            </w:pPr>
            <w:r>
              <w:rPr>
                <w:sz w:val="20"/>
                <w:szCs w:val="20"/>
              </w:rPr>
              <w:t xml:space="preserve">[-0.013, 0.0062]</w:t>
            </w:r>
          </w:p>
        </w:tc>
      </w:tr>
      <w:tr>
        <w:tc>
          <w:tcPr>
            <w:tcW w:w="0" w:type="auto"/>
          </w:tcPr>
          <w:p>
            <w:pPr>
              <w:spacing w:line="240" w:lineRule="auto" w:before="0" w:after="0"/>
              <w:pStyle w:val="Compact"/>
            </w:pPr>
            <w:r>
              <w:rPr>
                <w:sz w:val="20"/>
                <w:szCs w:val="20"/>
              </w:rPr>
              <w:t xml:space="preserve">baseline_year</w:t>
            </w:r>
          </w:p>
        </w:tc>
        <w:tc>
          <w:tcPr>
            <w:tcW w:w="0" w:type="auto"/>
          </w:tcPr>
          <w:p>
            <w:pPr>
              <w:spacing w:line="240" w:lineRule="auto" w:before="0" w:after="0"/>
              <w:pStyle w:val="Compact"/>
            </w:pPr>
            <w:r>
              <w:rPr>
                <w:sz w:val="20"/>
                <w:szCs w:val="20"/>
              </w:rPr>
              <w:t xml:space="preserve">-0.0375</w:t>
            </w:r>
          </w:p>
        </w:tc>
        <w:tc>
          <w:tcPr>
            <w:tcW w:w="0" w:type="auto"/>
          </w:tcPr>
          <w:p>
            <w:pPr>
              <w:spacing w:line="240" w:lineRule="auto" w:before="0" w:after="0"/>
              <w:pStyle w:val="Compact"/>
            </w:pPr>
            <w:r>
              <w:rPr>
                <w:sz w:val="20"/>
                <w:szCs w:val="20"/>
              </w:rPr>
              <w:t xml:space="preserve">0.041</w:t>
            </w:r>
          </w:p>
        </w:tc>
        <w:tc>
          <w:tcPr>
            <w:tcW w:w="0" w:type="auto"/>
          </w:tcPr>
          <w:p>
            <w:pPr>
              <w:spacing w:line="240" w:lineRule="auto" w:before="0" w:after="0"/>
              <w:pStyle w:val="Compact"/>
            </w:pPr>
            <w:r>
              <w:rPr>
                <w:sz w:val="20"/>
                <w:szCs w:val="20"/>
              </w:rPr>
              <w:t xml:space="preserve">-0.9147</w:t>
            </w:r>
          </w:p>
        </w:tc>
        <w:tc>
          <w:tcPr>
            <w:tcW w:w="0" w:type="auto"/>
          </w:tcPr>
          <w:p>
            <w:pPr>
              <w:spacing w:line="240" w:lineRule="auto" w:before="0" w:after="0"/>
              <w:pStyle w:val="Compact"/>
            </w:pPr>
            <w:r>
              <w:rPr>
                <w:sz w:val="20"/>
                <w:szCs w:val="20"/>
              </w:rPr>
              <w:t xml:space="preserve">0.3604</w:t>
            </w:r>
          </w:p>
        </w:tc>
        <w:tc>
          <w:tcPr>
            <w:tcW w:w="0" w:type="auto"/>
          </w:tcPr>
          <w:p>
            <w:pPr>
              <w:spacing w:line="240" w:lineRule="auto" w:before="0" w:after="0"/>
              <w:pStyle w:val="Compact"/>
            </w:pPr>
            <w:r>
              <w:rPr>
                <w:sz w:val="20"/>
                <w:szCs w:val="20"/>
              </w:rPr>
              <w:t xml:space="preserve">[-0.1178, 0.0428]</w:t>
            </w:r>
          </w:p>
        </w:tc>
      </w:tr>
      <w:tr>
        <w:tc>
          <w:tcPr>
            <w:tcW w:w="0" w:type="auto"/>
          </w:tcPr>
          <w:p>
            <w:pPr>
              <w:spacing w:line="240" w:lineRule="auto" w:before="0" w:after="0"/>
              <w:pStyle w:val="Compact"/>
            </w:pPr>
            <w:r>
              <w:rPr>
                <w:sz w:val="20"/>
                <w:szCs w:val="20"/>
              </w:rPr>
              <w:t xml:space="preserve">trl_baseline</w:t>
            </w:r>
          </w:p>
        </w:tc>
        <w:tc>
          <w:tcPr>
            <w:tcW w:w="0" w:type="auto"/>
          </w:tcPr>
          <w:p>
            <w:pPr>
              <w:spacing w:line="240" w:lineRule="auto" w:before="0" w:after="0"/>
              <w:pStyle w:val="Compact"/>
            </w:pPr>
            <w:r>
              <w:rPr>
                <w:sz w:val="20"/>
                <w:szCs w:val="20"/>
              </w:rPr>
              <w:t xml:space="preserve">-0.1477</w:t>
            </w:r>
          </w:p>
        </w:tc>
        <w:tc>
          <w:tcPr>
            <w:tcW w:w="0" w:type="auto"/>
          </w:tcPr>
          <w:p>
            <w:pPr>
              <w:spacing w:line="240" w:lineRule="auto" w:before="0" w:after="0"/>
              <w:pStyle w:val="Compact"/>
            </w:pPr>
            <w:r>
              <w:rPr>
                <w:sz w:val="20"/>
                <w:szCs w:val="20"/>
              </w:rPr>
              <w:t xml:space="preserve">0.0794</w:t>
            </w:r>
          </w:p>
        </w:tc>
        <w:tc>
          <w:tcPr>
            <w:tcW w:w="0" w:type="auto"/>
          </w:tcPr>
          <w:p>
            <w:pPr>
              <w:spacing w:line="240" w:lineRule="auto" w:before="0" w:after="0"/>
              <w:pStyle w:val="Compact"/>
            </w:pPr>
            <w:r>
              <w:rPr>
                <w:sz w:val="20"/>
                <w:szCs w:val="20"/>
              </w:rPr>
              <w:t xml:space="preserve">-1.8607</w:t>
            </w:r>
          </w:p>
        </w:tc>
        <w:tc>
          <w:tcPr>
            <w:tcW w:w="0" w:type="auto"/>
          </w:tcPr>
          <w:p>
            <w:pPr>
              <w:spacing w:line="240" w:lineRule="auto" w:before="0" w:after="0"/>
              <w:pStyle w:val="Compact"/>
            </w:pPr>
            <w:r>
              <w:rPr>
                <w:sz w:val="20"/>
                <w:szCs w:val="20"/>
              </w:rPr>
              <w:t xml:space="preserve">0.0628</w:t>
            </w:r>
          </w:p>
        </w:tc>
        <w:tc>
          <w:tcPr>
            <w:tcW w:w="0" w:type="auto"/>
          </w:tcPr>
          <w:p>
            <w:pPr>
              <w:spacing w:line="240" w:lineRule="auto" w:before="0" w:after="0"/>
              <w:pStyle w:val="Compact"/>
            </w:pPr>
            <w:r>
              <w:rPr>
                <w:sz w:val="20"/>
                <w:szCs w:val="20"/>
              </w:rPr>
              <w:t xml:space="preserve">[-0.3032, 0.0079]</w:t>
            </w:r>
          </w:p>
        </w:tc>
      </w:tr>
    </w:tbl>
    <w:p>
      <w:pPr>
        <w:pStyle w:val="BodyText"/>
      </w:pPr>
      <w:r>
        <w:t xml:space="preserve">Fit: N = 28 R2 = 0.1231 R2_adj = -0.0294 F = 1.2355 F_p = 0.3235</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0" Target="https://doi.org/10.1016/j.actaastro.2021.01.009" TargetMode="External" /><Relationship Type="http://schemas.openxmlformats.org/officeDocument/2006/relationships/hyperlink" Id="rId68" Target="https://doi.org/10.1016/j.actaastro.2022.04.001" TargetMode="External" /><Relationship Type="http://schemas.openxmlformats.org/officeDocument/2006/relationships/hyperlink" Id="rId72" Target="https://doi.org/10.1016/j.actaastro.2025.02.004" TargetMode="External" /><Relationship Type="http://schemas.openxmlformats.org/officeDocument/2006/relationships/hyperlink" Id="rId74" Target="https://doi.org/10.1016/j.actaastro.2025.06.045"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1.01.009" TargetMode="External" /><Relationship Type="http://schemas.openxmlformats.org/officeDocument/2006/relationships/hyperlink" Id="rId68" Target="https://doi.org/10.1016/j.actaastro.2022.04.001" TargetMode="External" /><Relationship Type="http://schemas.openxmlformats.org/officeDocument/2006/relationships/hyperlink" Id="rId72" Target="https://doi.org/10.1016/j.actaastro.2025.02.004" TargetMode="External" /><Relationship Type="http://schemas.openxmlformats.org/officeDocument/2006/relationships/hyperlink" Id="rId74" Target="https://doi.org/10.1016/j.actaastro.2025.06.04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2026-06-26T16:45:47Z</dcterms:created>
  <dcterms:modified xsi:type="dcterms:W3CDTF">2026-06-26T16:45:47Z</dcterms:modified>
</cp:coreProperties>
</file>

<file path=docProps/custom.xml><?xml version="1.0" encoding="utf-8"?>
<Properties xmlns="http://schemas.openxmlformats.org/officeDocument/2006/custom-properties" xmlns:vt="http://schemas.openxmlformats.org/officeDocument/2006/docPropsVTypes"/>
</file>