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SCHEDULE REALISM IN LUNAR PROGRAMS: DO ISRU AND NUCLEAR MILESTONES SLIP FASTER THAN THE REST OF THE ARCHITECTURE?</w:t>
      </w:r>
    </w:p>
    <w:p>
      <w:pPr>
        <w:jc w:val="center"/>
      </w:pPr>
    </w:p>
    <w:p>
      <w:pPr>
        <w:jc w:val="center"/>
      </w:pPr>
      <w:r>
        <w:rPr>
          <w:rFonts w:ascii="Times New Roman" w:hAnsi="Times New Roman"/>
          <w:sz w:val="24"/>
        </w:rPr>
        <w:t>by</w:t>
      </w:r>
    </w:p>
    <w:p>
      <w:pPr>
        <w:jc w:val="center"/>
      </w:pPr>
      <w:r>
        <w:rPr>
          <w:rFonts w:ascii="Times New Roman" w:hAnsi="Times New Roman"/>
          <w:b/>
          <w:sz w:val="28"/>
        </w:rPr>
        <w:t>Ingrid Kapoor</w:t>
      </w:r>
    </w:p>
    <w:p>
      <w:pPr>
        <w:jc w:val="center"/>
      </w:pPr>
      <w:r>
        <w:rPr>
          <w:rFonts w:ascii="Times New Roman" w:hAnsi="Times New Roman"/>
          <w:sz w:val="24"/>
        </w:rPr>
        <w:t>1B-LUN-066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A crewed return to the Moon now sits among the durable pledges of United States policy, and alongside it, across the decade to come, sits the pledge to stand up the infrastructure that keeps those crews alive. Meeting that pledge, NASA and its partners have not fielded one program. They have fielded a spread of capability lines ripening at once. Transportation stacks, landers, surface mobility, habitation and life support, communications and domain awareness, surface power, and in-situ resource utilization (ISRU) each drag along their own committed dates, their own engineering lineage, and their own exposure to delay. Congress, the Office of Management and Budget, and the wider public glimpse all of this through one integrated master schedule whose top-line dates are rolled up across the lines, and delay gets read straight off that rolled-up figure. As a matter of bookkeeping the roll-up cannot be avoided. What it hides is a question that matters first for sequencing: do certain capability classes carry a built-in tendency to fall behind that others lack, and if they do, which ones,</w:t>
      </w:r>
    </w:p>
    <w:p>
      <w:pPr>
        <w:pStyle w:val="BodyText"/>
        <w:spacing w:line="480" w:lineRule="auto"/>
        <w:ind w:firstLine="720"/>
      </w:pPr>
      <w:r>
        <w:t xml:space="preserve">Two classes draw theoretical suspicion, and each belongs to the frontier. ISRU turns up again and again as an early, still-unproven application whose behavior hinges on nearby mineralogy that nobody has fully mapped under the temperature swings, the vacuum, and the radiation of the lunar surface</w:t>
      </w:r>
      <w:r>
        <w:t xml:space="preserve"> </w:t>
      </w:r>
      <w:hyperlink w:anchor="ref-2">
        <w:r>
          <w:rPr>
            <w:rStyle w:val="Hyperlink"/>
          </w:rPr>
          <w:t xml:space="preserve">[2]</w:t>
        </w:r>
      </w:hyperlink>
      <w:r>
        <w:t xml:space="preserve">[8]. Far-horizon forecasts of when ISRU will deploy get assembled through Delphi elicitation of experts, not from any flown record, and reaching for elicitation at all tells you the community reads the schedule as shaky enough to warrant polling opinion in place of projecting from evidence</w:t>
      </w:r>
      <w:r>
        <w:t xml:space="preserve"> </w:t>
      </w:r>
      <w:hyperlink w:anchor="ref-1">
        <w:r>
          <w:rPr>
            <w:rStyle w:val="Hyperlink"/>
          </w:rPr>
          <w:t xml:space="preserve">[1]</w:t>
        </w:r>
      </w:hyperlink>
      <w:r>
        <w:t xml:space="preserve">[33]. Fission power on the surface sits in the same spot: kilowatt-class reactors for the surface have advanced only as far as requests for information and requirements paperwork, never a flown demonstration, while the radioisotope options meant for roving hardware are stuck in that prototype-to-flight gap where delay bunches up most tightly</w:t>
      </w:r>
      <w:r>
        <w:t xml:space="preserve"> </w:t>
      </w:r>
      <w:hyperlink w:anchor="ref-9">
        <w:r>
          <w:rPr>
            <w:rStyle w:val="Hyperlink"/>
          </w:rPr>
          <w:t xml:space="preserve">[9]</w:t>
        </w:r>
      </w:hyperlink>
      <w:r>
        <w:t xml:space="preserve">[19]. Side-by-side studies of lunar ISRU plants show engineers still fighting over the reduction route, carbothermal versus water extraction, at the trade-study bench, and betting a launch-readiness date on a foundation that unsettled is a gamble</w:t>
      </w:r>
      <w:r>
        <w:t xml:space="preserve"> </w:t>
      </w:r>
      <w:hyperlink w:anchor="ref-4">
        <w:r>
          <w:rPr>
            <w:rStyle w:val="Hyperlink"/>
          </w:rPr>
          <w:t xml:space="preserve">[4]</w:t>
        </w:r>
      </w:hyperlink>
      <w:r>
        <w:t xml:space="preserve">[11][34]. Logistics work at the integrated level bears this out: resource production lives inside a web that ripens together, and it can move no quicker than whichever enabling piece lags farthest behind</w:t>
      </w:r>
      <w:r>
        <w:t xml:space="preserve"> </w:t>
      </w:r>
      <w:hyperlink w:anchor="ref-17">
        <w:r>
          <w:rPr>
            <w:rStyle w:val="Hyperlink"/>
          </w:rPr>
          <w:t xml:space="preserve">[17]</w:t>
        </w:r>
      </w:hyperlink>
      <w:r>
        <w:t xml:space="preserve">.</w:t>
      </w:r>
    </w:p>
    <w:p>
      <w:pPr>
        <w:pStyle w:val="BodyText"/>
        <w:spacing w:line="480" w:lineRule="auto"/>
        <w:ind w:firstLine="720"/>
      </w:pPr>
      <w:r>
        <w:t xml:space="preserve">If these two classes do run late faster than everything around them, what follows for NASA and for the Jet Propulsion Laboratory is neither abstract nor deferred, because ISRU and surface power are the load-bearing dependencies. Planners cast lunar mining and Artemis infrastructure as the bedrock of a self-sustaining cislunar economy, and a lasting foothold on the surface needs power in hand before it needs almost anything else</w:t>
      </w:r>
      <w:r>
        <w:t xml:space="preserve"> </w:t>
      </w:r>
      <w:hyperlink w:anchor="ref-6">
        <w:r>
          <w:rPr>
            <w:rStyle w:val="Hyperlink"/>
          </w:rPr>
          <w:t xml:space="preserve">[6]</w:t>
        </w:r>
      </w:hyperlink>
      <w:r>
        <w:t xml:space="preserve">[7][18]. When delay clusters in a load-bearing line it ripples outward far more harshly than the same delay in some peripheral line, since nothing downstream can be honored until the upstream piece finally lands. State it bluntly: a surface habitat with no power feeding it is a structure, not a habitat, and a propellant depot with no oxygen plant behind it is a tank, not a depot. Studies of flexible lunar architectures keep returning to enabling-technology readiness, rather than mission design, as the thing that governs programmatic timelines</w:t>
      </w:r>
      <w:r>
        <w:t xml:space="preserve"> </w:t>
      </w:r>
      <w:hyperlink w:anchor="ref-20">
        <w:r>
          <w:rPr>
            <w:rStyle w:val="Hyperlink"/>
          </w:rPr>
          <w:t xml:space="preserve">[20]</w:t>
        </w:r>
      </w:hyperlink>
      <w:r>
        <w:t xml:space="preserve">, and the probabilistic risk work now reaching Artemis names first-of-kind systems as the largest single source of programmatic uncertainty</w:t>
      </w:r>
      <w:r>
        <w:t xml:space="preserve"> </w:t>
      </w:r>
      <w:hyperlink w:anchor="ref-12">
        <w:r>
          <w:rPr>
            <w:rStyle w:val="Hyperlink"/>
          </w:rPr>
          <w:t xml:space="preserve">[12]</w:t>
        </w:r>
      </w:hyperlink>
      <w:r>
        <w:t xml:space="preserve">. Pin down the slip question with a number and program managers and sponsors could price propagation risk into how they sequence, instead of swallowing it as a lump of undifferentiated delay; JPL, standing as a lead architect and integrator of planetary-surface payloads, could then set its bid pricing, its reserves, and its milestone definitions against a measured base rate rather than a folkloric one.</w:t>
      </w:r>
    </w:p>
    <w:p>
      <w:pPr>
        <w:pStyle w:val="BodyText"/>
        <w:spacing w:line="480" w:lineRule="auto"/>
        <w:ind w:firstLine="720"/>
      </w:pPr>
      <w:r>
        <w:t xml:space="preserve">The reach of this extends past one agency. Whether frontier lunar capabilities hold their schedules shapes how credible the whole cislunar undertaking looks to Congress, to commercial partners, and to counterparts abroad. A Mobile Launcher 2 that slides year after year runs up a bill written plainly into the public record</w:t>
      </w:r>
      <w:r>
        <w:t xml:space="preserve"> </w:t>
      </w:r>
      <w:hyperlink w:anchor="ref-15">
        <w:r>
          <w:rPr>
            <w:rStyle w:val="Hyperlink"/>
          </w:rPr>
          <w:t xml:space="preserve">[15]</w:t>
        </w:r>
      </w:hyperlink>
      <w:r>
        <w:t xml:space="preserve">. A Dragonfly mission whose timeline the Office of Inspector General has picked apart shows the identical shape for outer-planet science</w:t>
      </w:r>
      <w:r>
        <w:t xml:space="preserve"> </w:t>
      </w:r>
      <w:hyperlink w:anchor="ref-16">
        <w:r>
          <w:rPr>
            <w:rStyle w:val="Hyperlink"/>
          </w:rPr>
          <w:t xml:space="preserve">[16]</w:t>
        </w:r>
      </w:hyperlink>
      <w:r>
        <w:t xml:space="preserve">. Run through the GAO’s yearly assessments of major NASA projects, which stand as the authoritative public ledger of how baselines move, and delay surfaces over and over as the leading programmatic risk to the Artemis build</w:t>
      </w:r>
      <w:r>
        <w:t xml:space="preserve"> </w:t>
      </w:r>
      <w:hyperlink w:anchor="ref-13">
        <w:r>
          <w:rPr>
            <w:rStyle w:val="Hyperlink"/>
          </w:rPr>
          <w:t xml:space="preserve">[13]</w:t>
        </w:r>
      </w:hyperlink>
      <w:r>
        <w:t xml:space="preserve">[14]. Not one of those reports, though, checks whether the delay is class-specific, or whether any class structure in the delay can be pinned down statistically at all. This dissertation puts the suspicion to the test, asking whether ISRU and nuclear milestones really do fall behind their siblings inside a shared architecture, and how large that delay premium turns out to be once the observable program covariates are held fixed.</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The gap that drives this dissertation opens up not inside either relevant literature but in the space dividing them. On one flank, work on lunar systems and ISRU has grown into a serious body of scholarship on the engineering substance of frontier capabilities. It records that ISRU and fission surface power register low on demonstrated maturity and get forecast by elicitation rather than heritage</w:t>
      </w:r>
      <w:r>
        <w:t xml:space="preserve"> </w:t>
      </w:r>
      <w:hyperlink w:anchor="ref-1">
        <w:r>
          <w:rPr>
            <w:rStyle w:val="Hyperlink"/>
          </w:rPr>
          <w:t xml:space="preserve">[1]</w:t>
        </w:r>
      </w:hyperlink>
      <w:r>
        <w:t xml:space="preserve">[2][8][33]. It picks apart the hybridization and process decisions inside ISRU plant design, carbothermal reduction, water extraction, and multi-objective oxygen planning under uncertainty among them</w:t>
      </w:r>
      <w:r>
        <w:t xml:space="preserve"> </w:t>
      </w:r>
      <w:hyperlink w:anchor="ref-4">
        <w:r>
          <w:rPr>
            <w:rStyle w:val="Hyperlink"/>
          </w:rPr>
          <w:t xml:space="preserve">[4]</w:t>
        </w:r>
      </w:hyperlink>
      <w:r>
        <w:t xml:space="preserve">[11][34]. Its in-situ manufacturing ideas run from photobioreactors built out of local material</w:t>
      </w:r>
      <w:r>
        <w:t xml:space="preserve"> </w:t>
      </w:r>
      <w:hyperlink w:anchor="ref-3">
        <w:r>
          <w:rPr>
            <w:rStyle w:val="Hyperlink"/>
          </w:rPr>
          <w:t xml:space="preserve">[3]</w:t>
        </w:r>
      </w:hyperlink>
      <w:r>
        <w:t xml:space="preserve"> </w:t>
      </w:r>
      <w:r>
        <w:t xml:space="preserve">through additive printing of regolith simulants by digital light processing</w:t>
      </w:r>
      <w:r>
        <w:t xml:space="preserve"> </w:t>
      </w:r>
      <w:hyperlink w:anchor="ref-2">
        <w:r>
          <w:rPr>
            <w:rStyle w:val="Hyperlink"/>
          </w:rPr>
          <w:t xml:space="preserve">[2]</w:t>
        </w:r>
      </w:hyperlink>
      <w:r>
        <w:t xml:space="preserve"> </w:t>
      </w:r>
      <w:r>
        <w:t xml:space="preserve">to spray-drying routes for powder-fed ISRU fabrication</w:t>
      </w:r>
      <w:r>
        <w:t xml:space="preserve"> </w:t>
      </w:r>
      <w:hyperlink w:anchor="ref-35">
        <w:r>
          <w:rPr>
            <w:rStyle w:val="Hyperlink"/>
          </w:rPr>
          <w:t xml:space="preserve">[35]</w:t>
        </w:r>
      </w:hyperlink>
      <w:r>
        <w:t xml:space="preserve">. Radioisotope and fission concepts for roving and base power get handled as schedule-binding subsystems whose readiness sets the pace for everything else</w:t>
      </w:r>
      <w:r>
        <w:t xml:space="preserve"> </w:t>
      </w:r>
      <w:hyperlink w:anchor="ref-9">
        <w:r>
          <w:rPr>
            <w:rStyle w:val="Hyperlink"/>
          </w:rPr>
          <w:t xml:space="preserve">[9]</w:t>
        </w:r>
      </w:hyperlink>
      <w:r>
        <w:t xml:space="preserve">[19]. ISRU and lunar mining come framed as economically load-bearing to cislunar value creation</w:t>
      </w:r>
      <w:r>
        <w:t xml:space="preserve"> </w:t>
      </w:r>
      <w:hyperlink w:anchor="ref-6">
        <w:r>
          <w:rPr>
            <w:rStyle w:val="Hyperlink"/>
          </w:rPr>
          <w:t xml:space="preserve">[6]</w:t>
        </w:r>
      </w:hyperlink>
      <w:r>
        <w:t xml:space="preserve">[7][18], and architecture-scale treatments of flexible lunar exploration pivot on enabling-technology readiness</w:t>
      </w:r>
      <w:r>
        <w:t xml:space="preserve"> </w:t>
      </w:r>
      <w:hyperlink w:anchor="ref-20">
        <w:r>
          <w:rPr>
            <w:rStyle w:val="Hyperlink"/>
          </w:rPr>
          <w:t xml:space="preserve">[20]</w:t>
        </w:r>
      </w:hyperlink>
      <w:r>
        <w:t xml:space="preserve">. All of this is dense, technically expert, and mostly the product of engineers.</w:t>
      </w:r>
    </w:p>
    <w:p>
      <w:pPr>
        <w:pStyle w:val="BodyText"/>
        <w:spacing w:line="480" w:lineRule="auto"/>
        <w:ind w:firstLine="720"/>
      </w:pPr>
      <w:r>
        <w:t xml:space="preserve">On the other flank, the econometric and program-management scholarship on schedule realism in large government acquisitions has ripened in parallel. It builds normalized gauges of schedule slip and cost growth, fits them to cross-sections and panels of projects, and turns to fixed-effects, hazard, and survival machinery to peel within-program movement apart from cross-program difference. Its signature insight is that raw slip figures smear program-wide shocks, budget cycles, changes of administration, sponsor churn, together with milestone-level structural risk, and that pulling the two apart demands either a within-program contrast or a rich set of controls. Probabilistic risk frameworks now spreading to Artemis mark the nearest the two literatures ever drift toward each other</w:t>
      </w:r>
      <w:r>
        <w:t xml:space="preserve"> </w:t>
      </w:r>
      <w:hyperlink w:anchor="ref-12">
        <w:r>
          <w:rPr>
            <w:rStyle w:val="Hyperlink"/>
          </w:rPr>
          <w:t xml:space="preserve">[12]</w:t>
        </w:r>
      </w:hyperlink>
      <w:r>
        <w:t xml:space="preserve">, and even there the analysis looks forward probabilistically rather than backward econometrically.</w:t>
      </w:r>
    </w:p>
    <w:p>
      <w:pPr>
        <w:pStyle w:val="BodyText"/>
        <w:spacing w:line="480" w:lineRule="auto"/>
        <w:ind w:firstLine="720"/>
      </w:pPr>
      <w:r>
        <w:t xml:space="preserve">Nowhere does the retrieved work carry the second literature’s tools over to the first literature’s question. The Delphi study forecasts an ISRU timeline yet never holds that timeline up against realized milestones, and never sizes ISRU slip against the slip of non-ISRU lines in the same program</w:t>
      </w:r>
      <w:r>
        <w:t xml:space="preserve"> </w:t>
      </w:r>
      <w:hyperlink w:anchor="ref-1">
        <w:r>
          <w:rPr>
            <w:rStyle w:val="Hyperlink"/>
          </w:rPr>
          <w:t xml:space="preserve">[1]</w:t>
        </w:r>
      </w:hyperlink>
      <w:r>
        <w:t xml:space="preserve">[33]. The plant trade studies perfect the design and go quiet on schedule realism</w:t>
      </w:r>
      <w:r>
        <w:t xml:space="preserve"> </w:t>
      </w:r>
      <w:hyperlink w:anchor="ref-4">
        <w:r>
          <w:rPr>
            <w:rStyle w:val="Hyperlink"/>
          </w:rPr>
          <w:t xml:space="preserve">[4]</w:t>
        </w:r>
      </w:hyperlink>
      <w:r>
        <w:t xml:space="preserve">[11][34]. Economic roadmaps proclaim load-bearing status without ever pricing the schedule risk the dependency drags along</w:t>
      </w:r>
      <w:r>
        <w:t xml:space="preserve"> </w:t>
      </w:r>
      <w:hyperlink w:anchor="ref-6">
        <w:r>
          <w:rPr>
            <w:rStyle w:val="Hyperlink"/>
          </w:rPr>
          <w:t xml:space="preserve">[6]</w:t>
        </w:r>
      </w:hyperlink>
      <w:r>
        <w:t xml:space="preserve">[7]. Roadmapping methods borrowed from neighbors like hypersonic transportation hand over process templates but estimate no slip coefficients</w:t>
      </w:r>
      <w:r>
        <w:t xml:space="preserve"> </w:t>
      </w:r>
      <w:hyperlink w:anchor="ref-37">
        <w:r>
          <w:rPr>
            <w:rStyle w:val="Hyperlink"/>
          </w:rPr>
          <w:t xml:space="preserve">[37]</w:t>
        </w:r>
      </w:hyperlink>
      <w:r>
        <w:t xml:space="preserve">. GAO assessments and Office of Inspector General audits chronicle individual project slip in fine detail yet run no test for class-level structure across milestones inside a portfolio</w:t>
      </w:r>
      <w:r>
        <w:t xml:space="preserve"> </w:t>
      </w:r>
      <w:hyperlink w:anchor="ref-13">
        <w:r>
          <w:rPr>
            <w:rStyle w:val="Hyperlink"/>
          </w:rPr>
          <w:t xml:space="preserve">[13]</w:t>
        </w:r>
      </w:hyperlink>
      <w:r>
        <w:t xml:space="preserve">[14][15][16]. The probabilistic risk framework files Artemis-scale first-of-kind systems under a category heading rather than posing them as a hypothesis to weigh against an architectural baseline</w:t>
      </w:r>
      <w:r>
        <w:t xml:space="preserve"> </w:t>
      </w:r>
      <w:hyperlink w:anchor="ref-12">
        <w:r>
          <w:rPr>
            <w:rStyle w:val="Hyperlink"/>
          </w:rPr>
          <w:t xml:space="preserve">[12]</w:t>
        </w:r>
      </w:hyperlink>
      <w:r>
        <w:t xml:space="preserve">. What emerges is an odd lopsidedness. The community believes at once that ISRU and nuclear milestones fall behind their siblings and holds neither the comparative gauge nor the identification strategy that could show the belief true.</w:t>
      </w:r>
    </w:p>
    <w:p>
      <w:pPr>
        <w:pStyle w:val="BodyText"/>
        <w:spacing w:line="480" w:lineRule="auto"/>
        <w:ind w:firstLine="720"/>
      </w:pPr>
      <w:r>
        <w:t xml:space="preserve">So this is no gap in grasping the technology. It is a gap in comparative schedule measurement. Nothing in the retrieved work answers, at the methodological standard the econometric literature would insist on, whether the classes engineers already tag as immature actually rack up more slip than the architectural baseline surrounding them. Closing that means building a milestone-level panel the engineering literature never built, sorting milestones into technology classes the econometric literature never sorted, and fitting slip coefficients under a fixed-effects design that scrubs out the program-level confounders that render raw cross-project comparisons meaningless. That is the labor this dissertation takes 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class-level slip coefficient, fitted to a milestone panel of NASA major projects and carrying a pre-registered sign, magnitude, and decision rule, sits at the heart of this dissertation.</w:t>
      </w:r>
    </w:p>
    <w:p>
      <w:pPr>
        <w:pStyle w:val="BodyText"/>
        <w:spacing w:line="480" w:lineRule="auto"/>
        <w:ind w:firstLine="720"/>
      </w:pPr>
      <w:r>
        <w:t xml:space="preserve">Its unit of analysis is the architecture milestone, not the project. Its outcome is realized schedule slip, taken as the count of months from the earliest publicly baselined target completion date to the realized completion date, then divided by baselined planned duration in months. That division sets long-duration flagship milestones and short-duration smallsat milestones on one scale and is the routine correction in the econometric literature on schedule growth. Its treatment is a binary class flag set to one where the milestone’s chief deliverable is ISRU or surface nuclear power, fission or radioisotope, and to zero where the milestone belongs to the architectural baseline classes of transportation, habitation and life support, avionics and communications, ground systems, surface mobility, or non-ISRU science payloads. Under the conservative coding rule a hybrid milestone, say a lander hauling an ISRU demonstration payload, reads as ISRU only where the ISRU capability is its chief deliverable; a sensitivity analysis under an inclusive rule probes how far the headline coefficient bends under that judgment.</w:t>
      </w:r>
    </w:p>
    <w:p>
      <w:pPr>
        <w:pStyle w:val="BodyText"/>
        <w:spacing w:line="480" w:lineRule="auto"/>
        <w:ind w:firstLine="720"/>
      </w:pPr>
      <w:r>
        <w:t xml:space="preserve">Fixed in advance and in the usual notation, the one falsifiable hypothesis brings its null along.</w:t>
      </w:r>
    </w:p>
    <w:p>
      <w:pPr>
        <w:pStyle w:val="BodyText"/>
        <w:spacing w:line="480" w:lineRule="auto"/>
        <w:ind w:firstLine="720"/>
      </w:pPr>
      <w:r>
        <w:t xml:space="preserve">H0 (null): Conditional on observable milestone and program covariates and on program fixed effects, the schedule slip of ISRU and surface-nuclear milestones is statistically indistinguishable from the slip of the lunar architectural baseline. The class indicator coefficient is zero.</w:t>
      </w:r>
    </w:p>
    <w:p>
      <w:pPr>
        <w:pStyle w:val="BodyText"/>
        <w:spacing w:line="480" w:lineRule="auto"/>
        <w:ind w:firstLine="720"/>
      </w:pPr>
      <w:r>
        <w:t xml:space="preserve">H1 (alternative): Conditional on the same covariates and fixed effects, ISRU and surface-nuclear milestones exhibit a positive and statistically significant slip premium relative to the baseline. The class indicator coefficient is greater than zero, indicating that these classes slip faster.</w:t>
      </w:r>
    </w:p>
    <w:p>
      <w:pPr>
        <w:pStyle w:val="BodyText"/>
        <w:spacing w:line="480" w:lineRule="auto"/>
        <w:ind w:firstLine="720"/>
      </w:pPr>
      <w:r>
        <w:t xml:space="preserve">Because it can fail either way, the hypothesis comes paired with a symmetric decision rule. A coefficient that lands positive, sits distinguishable from zero at conventional levels, and reads as economically meaningful in months of slip per unit baseline duration backs H1 and earns class-specific management moves such as dedicated reserves, architectural firewalls, and standalone oversight. A coefficient that lands null or negative once the maturity proxy joins the model overturns the founding hunch and stands itself as a publishable correction to a widely held yet untested belief, carrying a different and more useful management lesson: that the slip on show in the raw record rides with low technology readiness rather than with the class tag, so the fix is maturity discipline at baseline commitment rather than class-specific oversight. The contribution is that coefficient, its sign, its magnitude, and its confidence interval. It is not a story told in prose.</w:t>
      </w:r>
    </w:p>
    <w:p>
      <w:pPr>
        <w:pStyle w:val="BodyText"/>
        <w:spacing w:line="480" w:lineRule="auto"/>
        <w:ind w:firstLine="720"/>
      </w:pPr>
      <w:r>
        <w:t xml:space="preserve">Three traits set this framing apart from what came before. It runs comparative inside the architecture rather than across unrelated programs, since identification leans on a within-program fixed-effects design that pits ISRU and nuclear lines against their sibling lines inside one program and one budget world; that move defuses the most obvious confounder, the notion that immature-technology programs simply answer to looser sponsors, because the sibling lines answer to the same sponsor. It holds observable maturity fixed through a coarse technology-readiness proxy at baseline, so the class coefficient can be read as the slip gap left standing after maturity is accounted for, prying a class story loose from a maturity story. And it pairs the panel linear specification with a discrete-time survival model of the odds a milestone completes in any given period, which absorbs right-censored milestones (the ones not yet done at the observation cutoff) without the selection bias a completed-only regression would smuggle in, and which lends the class flag a hazard reading the linear form can never give.</w:t>
      </w:r>
    </w:p>
    <w:p>
      <w:pPr>
        <w:pStyle w:val="BodyText"/>
        <w:spacing w:line="480" w:lineRule="auto"/>
        <w:ind w:firstLine="720"/>
      </w:pPr>
      <w:r>
        <w:t xml:space="preserve">The two research papers that came ahead of this dissertation, and that shaped its panel design, point together toward a maturity-driven rather than a class-driven account, though neither, on its cross-sectional sample, can close the case. The first pulled together twenty-eight NASA major-project milestones, regressed normalized slip on the class flag with controls for planned duration, baseline calendar year, and a maturity proxy, and returned a class coefficient that came out small, wrong-signed against the directional hunch, and statistically indistinguishable from zero, while the maturity coefficient edged toward significance and wore the intuitive sign. The second widened the cross-section to thirty NASA development projects with frontier as the lead regressor and life-cycle cost as a scale control, and again came back with a small, insignificant frontier coefficient beside a large, sharply significant maturity coefficient. Both papers owned the limits of cross-sectional inference at modest sample sizes, and both landed on the same verdict: settling H1 against the maturity-confounding alternative would take a bigger panel, within-program fixed effects, and a censoring-robust form. This dissertation is that next step.</w:t>
      </w:r>
    </w:p>
    <w:bookmarkEnd w:id="63"/>
    <w:bookmarkStart w:id="64" w:name="roadmap"/>
    <w:p>
      <w:pPr>
        <w:pStyle w:val="Heading2"/>
        <w:spacing w:line="480" w:lineRule="auto"/>
      </w:pPr>
      <w:r>
        <w:t xml:space="preserve">1.4 Roadmap</w:t>
      </w:r>
    </w:p>
    <w:p>
      <w:pPr>
        <w:pStyle w:val="FirstParagraph"/>
        <w:spacing w:line="480" w:lineRule="auto"/>
      </w:pPr>
      <w:r>
        <w:t xml:space="preserve">Seven chapters carry the argument. This opening one has laid out the problem, the gap dividing the lunar systems and econometric program-management literatures, and the single falsifiable contribution.</w:t>
      </w:r>
    </w:p>
    <w:p>
      <w:pPr>
        <w:pStyle w:val="BodyText"/>
        <w:spacing w:line="480" w:lineRule="auto"/>
        <w:ind w:firstLine="720"/>
      </w:pPr>
      <w:r>
        <w:t xml:space="preserve">Chapter 2 builds the theoretical framework. It plants the schedule-realism question inside the engineering-economics tradition on cost and schedule growth, drawing on the lunar systems literature for what the frontier capabilities actually are and on the program-management literature for the identification logic. It names the maturity-confounding mechanism the empirical design has to separate from a genuine class effect, and it derives the directional and null hypotheses in their pre-registered form.</w:t>
      </w:r>
    </w:p>
    <w:p>
      <w:pPr>
        <w:pStyle w:val="BodyText"/>
        <w:spacing w:line="480" w:lineRule="auto"/>
        <w:ind w:firstLine="720"/>
      </w:pPr>
      <w:r>
        <w:t xml:space="preserve">Chapter 3 walks through the data and its provenance discipline. Its principal dataset is the milestone-level record drawn from the GAO annual assessments of NASA major projects</w:t>
      </w:r>
      <w:r>
        <w:t xml:space="preserve"> </w:t>
      </w:r>
      <w:hyperlink w:anchor="ref-13">
        <w:r>
          <w:rPr>
            <w:rStyle w:val="Hyperlink"/>
          </w:rPr>
          <w:t xml:space="preserve">[13]</w:t>
        </w:r>
      </w:hyperlink>
      <w:r>
        <w:t xml:space="preserve">[14], filled out by NASA Office of Inspector General audits of particular programs</w:t>
      </w:r>
      <w:r>
        <w:t xml:space="preserve"> </w:t>
      </w:r>
      <w:hyperlink w:anchor="ref-15">
        <w:r>
          <w:rPr>
            <w:rStyle w:val="Hyperlink"/>
          </w:rPr>
          <w:t xml:space="preserve">[15]</w:t>
        </w:r>
      </w:hyperlink>
      <w:r>
        <w:t xml:space="preserve">[16] and by mission-level press-kit and announcement records for milestones older than GAO tracking. Every milestone’s baseline and realized date carries a document-level citation, so the panel can be rebuilt end to end. Provenance discipline reads here as a methodological commitment, not an appendix afterthought.</w:t>
      </w:r>
    </w:p>
    <w:p>
      <w:pPr>
        <w:pStyle w:val="BodyText"/>
        <w:spacing w:line="480" w:lineRule="auto"/>
        <w:ind w:firstLine="720"/>
      </w:pPr>
      <w:r>
        <w:t xml:space="preserve">Chapter 4 pins down the empirical strategy. It develops the panel linear regression with program fixed effects as the primary specification and the discrete-time survival model as the censoring-robust companion. It settles the class flag, the conservative and inclusive coding rules, the maturity proxy, and the covariate set. It fixes the decision rule for H0 against H1, the minimum-cell-count rule that guards against fitting the class coefficient off a handful of milestones, and the four validity threats the design confronts head-on: rebaselining censorship, classification leakage, maturity confounding, and small-sample fragility.</w:t>
      </w:r>
    </w:p>
    <w:p>
      <w:pPr>
        <w:pStyle w:val="BodyText"/>
        <w:spacing w:line="480" w:lineRule="auto"/>
        <w:ind w:firstLine="720"/>
      </w:pPr>
      <w:r>
        <w:t xml:space="preserve">Chapter 5 lays out the estimation results. It reports the class coefficient under the primary specification, under sensitivity runs for the inclusive coding rule, with and without the maturity covariate, and under the survival form. It documents the confidence intervals, the within-program identification diagnostics, and how steadily the headline coefficient holds up against plausible reshufflings of the panel.</w:t>
      </w:r>
    </w:p>
    <w:p>
      <w:pPr>
        <w:pStyle w:val="BodyText"/>
        <w:spacing w:line="480" w:lineRule="auto"/>
        <w:ind w:firstLine="720"/>
      </w:pPr>
      <w:r>
        <w:t xml:space="preserve">Chapter 6 reads the results for NASA and for JPL. Where the class coefficient backs H1, the chapter works out what follows for class-specific reserves, architectural firewalls, and the sequencing of load-bearing lines, with an eye to how JPL as a payload integrator ought to price slip propagation into its proposal architectures. Where the class coefficient backs H0 once maturity is held fixed, the chapter works out the alternative lesson, that schedule realism gets bought at the baseline-commitment decision through maturity discipline rather than at the technology-selection decision through class-specific oversight. Either reading moves policy, and the chapter is written so the policy reading trails the coefficient rather than a favored story.</w:t>
      </w:r>
    </w:p>
    <w:p>
      <w:pPr>
        <w:pStyle w:val="BodyText"/>
        <w:spacing w:line="480" w:lineRule="auto"/>
        <w:ind w:firstLine="720"/>
      </w:pPr>
      <w:r>
        <w:t xml:space="preserve">Chapter 7 closes. It restates the falsifiable contribution, sums up the verdict the data hand back, sets the result inside the wider literature on frontier-technology schedule risk, and marks the three extensions the panel design invites: a larger international panel folding in non-NASA lunar architectures, a finer maturity gauge that splits the nine-point readiness scale into its parts, and a longer observation window that lets the right-censored ISRU and nuclear milestones now in the sample either finish or fold. The dissertation shuts by insisting once more that its contribution is a coefficient with a sign, a magnitude, and a confidence interval, and that the discipline of framing the contribution in exactly those terms is part of what the two literatures, set together, have gone without.</w:t>
      </w:r>
    </w:p>
    <w:bookmarkEnd w:id="64"/>
    <w:bookmarkEnd w:id="65"/>
    <w:bookmarkStart w:id="83" w:name="chapter-2.-literature-review"/>
    <w:p>
      <w:pPr>
        <w:pStyle w:val="Heading1"/>
        <w:spacing w:line="480" w:lineRule="auto"/>
      </w:pPr>
      <w:r>
        <w:t xml:space="preserve">Chapter 2. Literature Review</w:t>
      </w:r>
    </w:p>
    <w:bookmarkStart w:id="66" w:name="orientation-two-unjoined-conversations"/>
    <w:p>
      <w:pPr>
        <w:pStyle w:val="Heading2"/>
        <w:spacing w:line="480" w:lineRule="auto"/>
      </w:pPr>
      <w:r>
        <w:t xml:space="preserve">2.1 Orientation: Two Unjoined Conversations</w:t>
      </w:r>
    </w:p>
    <w:p>
      <w:pPr>
        <w:pStyle w:val="FirstParagraph"/>
        <w:spacing w:line="480" w:lineRule="auto"/>
      </w:pPr>
      <w:r>
        <w:t xml:space="preserve">The intellectual problem this dissertation engages lives where two scholarly conversations meet, conversations that have run, to a striking extent, without ever citing one another. One is the literature on lunar systems engineering and exploration architecture, which has built a deep technical portrait of in-situ resource utilization (ISRU), fission and radioisotope surface power, regolith handling, lander and transportation stacks, and the integrated logistics envelopes that lace them together. The other is the cliometric and program-management literature on schedule and cost realism, which has worked out quantitative ways to gauge slip, growth, and forecast error across portfolios of complicated projects and to prise class-level risk premia apart from confounding maturity effects. One camp knows why a lunar oxygen pilot or a kilowatt-class fission surface reactor is so hard. The other knows how to test whether a class of projects runs later than its peers once observable covariates are held fixed. On the evidence of the retrieved corpus, neither camp has ever swung its instruments squarely onto the other’s question, and that silence is the opening this dissertation moves into.</w:t>
      </w:r>
    </w:p>
    <w:p>
      <w:pPr>
        <w:pStyle w:val="BodyText"/>
        <w:spacing w:line="480" w:lineRule="auto"/>
        <w:ind w:firstLine="720"/>
      </w:pPr>
      <w:r>
        <w:t xml:space="preserve">Each literature gets its own reading below, its methodological strengths and weak points laid out, before the gap their mutual silence produces comes into focus. Nothing here charges either body of work with failing on its own ground. Lunar systems scholarship has settled the questions it set for itself, and the schedule-realism scholarship has settled its own. The trouble is that the question posed here, whether ISRU and surface-nuclear milestones run systematically later than the rest of a lunar architecture once observable covariates are conditioned on, drops into the territory between them. Reaching an answer takes the technical taxonomy the first camp supplies, to fix the treatment classes, and the cliometric method the second camp supplies, to fit a class-level slip coefficient that means more than a ledger of dates. The two preliminary papers the prospectus reports, an ordinary-least-squares regression across 28 milestones and a companion cross-section across 30 projects, are early swings at precisely that joining.</w:t>
      </w:r>
    </w:p>
    <w:bookmarkEnd w:id="66"/>
    <w:bookmarkStart w:id="72" w:name="the-lunar-technical-literature"/>
    <w:p>
      <w:pPr>
        <w:pStyle w:val="Heading2"/>
        <w:spacing w:line="480" w:lineRule="auto"/>
      </w:pPr>
      <w:r>
        <w:t xml:space="preserve">2.2 The Lunar Technical Literature</w:t>
      </w:r>
    </w:p>
    <w:bookmarkStart w:id="67" w:name="Xcb032ebf7e59dff9af61cccb1fc3bc133ed9360"/>
    <w:p>
      <w:pPr>
        <w:pStyle w:val="Heading3"/>
        <w:spacing w:line="480" w:lineRule="auto"/>
      </w:pPr>
      <w:r>
        <w:t xml:space="preserve">2.2.1 ISRU as an Immature, Coupled, Expert-Forecast Capability</w:t>
      </w:r>
    </w:p>
    <w:p>
      <w:pPr>
        <w:pStyle w:val="FirstParagraph"/>
        <w:spacing w:line="480" w:lineRule="auto"/>
      </w:pPr>
      <w:r>
        <w:t xml:space="preserve">The single work that most shapes how the corpus reads ISRU schedule realism is the Delphi survey Spedding, Lim, and Nuttall ran on ISRU deployment at a notional 2040 lunar outpost [1, 33]. How they went about it is itself telling. Pressed to sketch a deployment timeline two decades out, the specialists reached for structured elicitation of opinion rather than any flown record or engineering-test heritage. One turns to Delphi when the evidentiary record is too thin to bear straight extrapolation. Reaching for it thus bakes in a community verdict that the technology sits where expert opinion is the strongest evidence going, and that verdict is itself a scrap of evidence for the maturity reading this dissertation will later fold in as a covariate.</w:t>
      </w:r>
    </w:p>
    <w:p>
      <w:pPr>
        <w:pStyle w:val="BodyText"/>
        <w:spacing w:line="480" w:lineRule="auto"/>
        <w:ind w:firstLine="720"/>
      </w:pPr>
      <w:r>
        <w:t xml:space="preserve">Two more of the survey’s findings speak straight to the present design. The consensus power draw for serious ISRU work came out near an added megawatt of installed surface capacity, lashing the resource line hard to the surface-power line and giving good reason to fold ISRU and fission/radioisotope milestones into one class rather than two loosely related suspects</w:t>
      </w:r>
      <w:r>
        <w:t xml:space="preserve"> </w:t>
      </w:r>
      <w:hyperlink w:anchor="ref-1">
        <w:r>
          <w:rPr>
            <w:rStyle w:val="Hyperlink"/>
          </w:rPr>
          <w:t xml:space="preserve">[1]</w:t>
        </w:r>
      </w:hyperlink>
      <w:r>
        <w:t xml:space="preserve">. And the timeline distributions the experts returned spread out widely, which is exactly the fingerprint of a capability whose committed baselines, once anyone finally draws them, will get drawn with wide uncertainty. Where the survey stops short is in testing that elicited timeline against milestones actually realized, and in sizing ISRU’s spread against the spread of non-ISRU lines in the same program. It poses the schedule-realism question and leaves it open.</w:t>
      </w:r>
    </w:p>
    <w:p>
      <w:pPr>
        <w:pStyle w:val="BodyText"/>
        <w:spacing w:line="480" w:lineRule="auto"/>
        <w:ind w:firstLine="720"/>
      </w:pPr>
      <w:r>
        <w:t xml:space="preserve">Alongside this, the technical heart of the ISRU literature has grown far sharper. Ikeya and colleagues have put out two studies on lunar ISRU plant architecture that speak directly to how the class gets defined. One weighs hybrid carbothermal-reduction against water-extraction routes for a lunar plant and shows that even the reduction pathway stays an open architectural question, with real consequences for plant complexity, energy budget, and feedstock characterization [4, 11]. The other, a multi-objective flexible-design and planning study of oxygen facilities in an uncertain lunar setting, carries the analysis into staged deployment under epistemic uncertainty and treats the planning problem openly as decision-making across information gaps that cannot be closed</w:t>
      </w:r>
      <w:r>
        <w:t xml:space="preserve"> </w:t>
      </w:r>
      <w:hyperlink w:anchor="ref-34">
        <w:r>
          <w:rPr>
            <w:rStyle w:val="Hyperlink"/>
          </w:rPr>
          <w:t xml:space="preserve">[34]</w:t>
        </w:r>
      </w:hyperlink>
      <w:r>
        <w:t xml:space="preserve">. Taken together they establish that ISRU is no single technology at a single readiness level but a family of plant-architecture choices, each climbing its own maturation curve.</w:t>
      </w:r>
    </w:p>
    <w:p>
      <w:pPr>
        <w:pStyle w:val="BodyText"/>
        <w:spacing w:line="480" w:lineRule="auto"/>
        <w:ind w:firstLine="720"/>
      </w:pPr>
      <w:r>
        <w:t xml:space="preserve">The materials-science ground beneath those plant designs is just as unsettled. Aiyeki, Tikhonov, and Chugunov show improved additive printing of lunar regolith simulant by digital-light processing for in-situ use, pushing the manufacturing route forward while flagging that the feedstock characterization underneath still sits at the simulant stage</w:t>
      </w:r>
      <w:r>
        <w:t xml:space="preserve"> </w:t>
      </w:r>
      <w:hyperlink w:anchor="ref-2">
        <w:r>
          <w:rPr>
            <w:rStyle w:val="Hyperlink"/>
          </w:rPr>
          <w:t xml:space="preserve">[2]</w:t>
        </w:r>
      </w:hyperlink>
      <w:r>
        <w:t xml:space="preserve">. Tucker and colleagues report Raman characterization of lunar highlands simulants for ISRU, likewise advancing the spectroscopic groundwork that has to precede any operational extraction architecture proven under surface conditions</w:t>
      </w:r>
      <w:r>
        <w:t xml:space="preserve"> </w:t>
      </w:r>
      <w:hyperlink w:anchor="ref-8">
        <w:r>
          <w:rPr>
            <w:rStyle w:val="Hyperlink"/>
          </w:rPr>
          <w:t xml:space="preserve">[8]</w:t>
        </w:r>
      </w:hyperlink>
      <w:r>
        <w:t xml:space="preserve">. He and colleagues tackle a neighboring processing barrier, showing spray drying of Martian simulants to boost regolith flowability for powder-fed fabrication, a result whose Martian home is informative for lunar work sharing the same powder-handling regime</w:t>
      </w:r>
      <w:r>
        <w:t xml:space="preserve"> </w:t>
      </w:r>
      <w:hyperlink w:anchor="ref-35">
        <w:r>
          <w:rPr>
            <w:rStyle w:val="Hyperlink"/>
          </w:rPr>
          <w:t xml:space="preserve">[35]</w:t>
        </w:r>
      </w:hyperlink>
      <w:r>
        <w:t xml:space="preserve">. Salman and colleagues stretch the ISRU idea toward biology, studying in-situ manufacture of photobioreactors on the Moon from local material and showing that even the outer boundary of what counts as ISRU keeps drifting as the field matures</w:t>
      </w:r>
      <w:r>
        <w:t xml:space="preserve"> </w:t>
      </w:r>
      <w:hyperlink w:anchor="ref-3">
        <w:r>
          <w:rPr>
            <w:rStyle w:val="Hyperlink"/>
          </w:rPr>
          <w:t xml:space="preserve">[3]</w:t>
        </w:r>
      </w:hyperlink>
      <w:r>
        <w:t xml:space="preserve">.</w:t>
      </w:r>
    </w:p>
    <w:p>
      <w:pPr>
        <w:pStyle w:val="BodyText"/>
        <w:spacing w:line="480" w:lineRule="auto"/>
        <w:ind w:firstLine="720"/>
      </w:pPr>
      <w:r>
        <w:t xml:space="preserve">Read together, the message from this technical layer is plain, and it is that the target keeps moving.</w:t>
      </w:r>
    </w:p>
    <w:p>
      <w:pPr>
        <w:pStyle w:val="BodyText"/>
        <w:spacing w:line="480" w:lineRule="auto"/>
        <w:ind w:firstLine="720"/>
      </w:pPr>
      <w:r>
        <w:t xml:space="preserve">Simulants are still being characterized, reduction routes still being weighed, plant designs still being tuned under uncertainty, and the roster of constituent processes still growing. A committed milestone baseline drawn against ground that shifting is, of necessity, drawn against something in motion. Yet none of these studies measures the slip of such baselines once they are set.</w:t>
      </w:r>
    </w:p>
    <w:bookmarkEnd w:id="67"/>
    <w:bookmarkStart w:id="68" w:name="Xfc0cadf3f393c4043830d60e3491c9de3a4f42a"/>
    <w:p>
      <w:pPr>
        <w:pStyle w:val="Heading3"/>
        <w:spacing w:line="480" w:lineRule="auto"/>
      </w:pPr>
      <w:r>
        <w:t xml:space="preserve">2.2.2 Surface Power as the Companion Frontier Capability</w:t>
      </w:r>
    </w:p>
    <w:p>
      <w:pPr>
        <w:pStyle w:val="FirstParagraph"/>
        <w:spacing w:line="480" w:lineRule="auto"/>
      </w:pPr>
      <w:r>
        <w:t xml:space="preserve">The surface-power line shows the same frontier immaturity and the same tight coupling to ISRU. Mesalam and colleagues report an americium-fuelled radioisotope Stirling generator for lunar mobility systems, chronicling prototype-to-flight work on a non-fission radioisotope design aimed at roving rather than base power [9, 19]. Their reach for americium fuel answers the supply-chain fact of plutonium-238 scarcity, and their reach for Stirling conversion answers the efficiency-against-reliability trade that surface power has yet to settle. As the prospectus observes, a standing NASA request for information on kilowatt-class fission surface reactors marks a capability still at requirements definition, not flight demonstration</w:t>
      </w:r>
      <w:r>
        <w:t xml:space="preserve"> </w:t>
      </w:r>
      <w:hyperlink w:anchor="ref-1">
        <w:r>
          <w:rPr>
            <w:rStyle w:val="Hyperlink"/>
          </w:rPr>
          <w:t xml:space="preserve">[1]</w:t>
        </w:r>
      </w:hyperlink>
      <w:r>
        <w:t xml:space="preserve">. Radioisotope and fission tracks advance side by side, each at a different rung on the maturation ladder, and the committed milestones for each get drawn against requirements paperwork rather than against flown hardware.</w:t>
      </w:r>
    </w:p>
    <w:p>
      <w:pPr>
        <w:pStyle w:val="BodyText"/>
        <w:spacing w:line="480" w:lineRule="auto"/>
        <w:ind w:firstLine="720"/>
      </w:pPr>
      <w:r>
        <w:t xml:space="preserve">What binds the two lines at the architecture level is the Delphi finding that ISRU on its own calls for roughly an added megawatt of installed surface capacity</w:t>
      </w:r>
      <w:r>
        <w:t xml:space="preserve"> </w:t>
      </w:r>
      <w:hyperlink w:anchor="ref-1">
        <w:r>
          <w:rPr>
            <w:rStyle w:val="Hyperlink"/>
          </w:rPr>
          <w:t xml:space="preserve">[1]</w:t>
        </w:r>
      </w:hyperlink>
      <w:r>
        <w:t xml:space="preserve">. For schedule realism the coupling carries a pointed lesson: slip in the surface-power line bleeds straight into the ISRU line, and the reverse, because neither can run at scale without the other. So the class flag this dissertation will fit is well grounded as a joint ISRU-plus-nuclear class rather than as two separate flags, since the underlying lines do not slip on their own. The technical literature records the coupling; what it withholds is any method for splitting the resulting slip between the two lines or for sizing the joint class against the architectural baseline.</w:t>
      </w:r>
    </w:p>
    <w:bookmarkEnd w:id="68"/>
    <w:bookmarkStart w:id="69" w:name="X7cd79324176f635d9a3ff1a41aac52f27b1111f"/>
    <w:p>
      <w:pPr>
        <w:pStyle w:val="Heading3"/>
        <w:spacing w:line="480" w:lineRule="auto"/>
      </w:pPr>
      <w:r>
        <w:t xml:space="preserve">2.2.3 Architecture-Level Frameworks and the Coupled-Subsystem Argument</w:t>
      </w:r>
    </w:p>
    <w:p>
      <w:pPr>
        <w:pStyle w:val="FirstParagraph"/>
        <w:spacing w:line="480" w:lineRule="auto"/>
      </w:pPr>
      <w:r>
        <w:t xml:space="preserve">A handful of architecture-scale studies widen the frame from single capability lines to the integrated lunar architecture. Chen and colleagues build an integrated ISRU system-design and logistics framework for lunar exploration, showing that resource production nests inside a logistics web whose readiness rides on many elements maturing together rather than on any one technology</w:t>
      </w:r>
      <w:r>
        <w:t xml:space="preserve"> </w:t>
      </w:r>
      <w:hyperlink w:anchor="ref-17">
        <w:r>
          <w:rPr>
            <w:rStyle w:val="Hyperlink"/>
          </w:rPr>
          <w:t xml:space="preserve">[17]</w:t>
        </w:r>
      </w:hyperlink>
      <w:r>
        <w:t xml:space="preserve">. Chavy-Macdonald, Oizumi, and colleagues build a systems model of the cis-lunar ecosystem with resource-economy scenarios, establishing that frontier capabilities climb only as fast as their laggard enabling subsystem</w:t>
      </w:r>
      <w:r>
        <w:t xml:space="preserve"> </w:t>
      </w:r>
      <w:hyperlink w:anchor="ref-18">
        <w:r>
          <w:rPr>
            <w:rStyle w:val="Hyperlink"/>
          </w:rPr>
          <w:t xml:space="preserve">[18]</w:t>
        </w:r>
      </w:hyperlink>
      <w:r>
        <w:t xml:space="preserve">. Evans and Graham set out a Flexible Lunar Architecture for Exploration that hammers on enabling-technology readiness, not mission design, as the thing that rules programmatic timelines</w:t>
      </w:r>
      <w:r>
        <w:t xml:space="preserve"> </w:t>
      </w:r>
      <w:hyperlink w:anchor="ref-20">
        <w:r>
          <w:rPr>
            <w:rStyle w:val="Hyperlink"/>
          </w:rPr>
          <w:t xml:space="preserve">[20]</w:t>
        </w:r>
      </w:hyperlink>
      <w:r>
        <w:t xml:space="preserve">. None of these gauges slip head-on, yet each plants the systems-engineering premise behind the maturity-confounding control in the empirical work: because frontier subsystems gate whole architectures, it is their readiness, not their domain tag, that ought to forecast slip.</w:t>
      </w:r>
    </w:p>
    <w:p>
      <w:pPr>
        <w:pStyle w:val="BodyText"/>
        <w:spacing w:line="480" w:lineRule="auto"/>
        <w:ind w:firstLine="720"/>
      </w:pPr>
      <w:r>
        <w:t xml:space="preserve">Coming from a non-engineering angle, the economic and policy literature reinforces how load-bearing those same two lines are. An Australian space-economy roadmap sets lunar mining and Artemis infrastructure at the base of a self-sustaining cislunar economy</w:t>
      </w:r>
      <w:r>
        <w:t xml:space="preserve"> </w:t>
      </w:r>
      <w:hyperlink w:anchor="ref-6">
        <w:r>
          <w:rPr>
            <w:rStyle w:val="Hyperlink"/>
          </w:rPr>
          <w:t xml:space="preserve">[6]</w:t>
        </w:r>
      </w:hyperlink>
      <w:r>
        <w:t xml:space="preserve">, and the OCEA forecast anchors cislunar economic activity on lunar water-resource extraction</w:t>
      </w:r>
      <w:r>
        <w:t xml:space="preserve"> </w:t>
      </w:r>
      <w:hyperlink w:anchor="ref-7">
        <w:r>
          <w:rPr>
            <w:rStyle w:val="Hyperlink"/>
          </w:rPr>
          <w:t xml:space="preserve">[7]</w:t>
        </w:r>
      </w:hyperlink>
      <w:r>
        <w:t xml:space="preserve">. Bilka, Wright, and Wysack take up the space-traffic-management layer that any growth in lunar surface activity will demand</w:t>
      </w:r>
      <w:r>
        <w:t xml:space="preserve"> </w:t>
      </w:r>
      <w:hyperlink w:anchor="ref-5">
        <w:r>
          <w:rPr>
            <w:rStyle w:val="Hyperlink"/>
          </w:rPr>
          <w:t xml:space="preserve">[5]</w:t>
        </w:r>
      </w:hyperlink>
      <w:r>
        <w:t xml:space="preserve">. Across these the policy reading holds steady: slip in ISRU and surface-power lines is no contained engineering matter but a propagation risk for the whole cislunar value case. That load-bearing status is what makes the slip-measurement question worth posing, though not one of these policy sources actually supplies the measurement.</w:t>
      </w:r>
    </w:p>
    <w:bookmarkEnd w:id="69"/>
    <w:bookmarkStart w:id="70" w:name="Xcb3b7f981b01d53dc8e0cbd35dc52d460c33dca"/>
    <w:p>
      <w:pPr>
        <w:pStyle w:val="Heading3"/>
        <w:spacing w:line="480" w:lineRule="auto"/>
      </w:pPr>
      <w:r>
        <w:t xml:space="preserve">2.2.4 Adjacent Schedule-Risk Treatments Within the Technical Literature</w:t>
      </w:r>
    </w:p>
    <w:p>
      <w:pPr>
        <w:pStyle w:val="FirstParagraph"/>
        <w:spacing w:line="480" w:lineRule="auto"/>
      </w:pPr>
      <w:r>
        <w:t xml:space="preserve">A few contributions inside the technical literature do take up schedule and risk outright, though never in the comparative-class shape this dissertation needs. Lane and colleagues build a probabilistic risk assessment framework for Artemis and follow-on exploration, casting first-of-kind systems as the leading source of programmatic uncertainty</w:t>
      </w:r>
      <w:r>
        <w:t xml:space="preserve"> </w:t>
      </w:r>
      <w:hyperlink w:anchor="ref-12">
        <w:r>
          <w:rPr>
            <w:rStyle w:val="Hyperlink"/>
          </w:rPr>
          <w:t xml:space="preserve">[12]</w:t>
        </w:r>
      </w:hyperlink>
      <w:r>
        <w:t xml:space="preserve">. Their framework aligns with the maturity-confounding hunch yet works at the program level, not the comparative-milestone level. McNutt and colleagues offer a handy methodological cue from a neighboring deep-space context: cost and schedule models for an interstellar-probe-class mission are pinned to notional designs and carry wide uncertainty bands whenever they touch immature concepts</w:t>
      </w:r>
      <w:r>
        <w:t xml:space="preserve"> </w:t>
      </w:r>
      <w:hyperlink w:anchor="ref-10">
        <w:r>
          <w:rPr>
            <w:rStyle w:val="Hyperlink"/>
          </w:rPr>
          <w:t xml:space="preserve">[10]</w:t>
        </w:r>
      </w:hyperlink>
      <w:r>
        <w:t xml:space="preserve">. The lesson carries over to the Moon, where any schedule baseline for an immature concept is, on the modelers’ own account, a broad distribution and not a point. Romero and Francisco supply the NASA human-system risk-mitigation process for space exploration, laying out the institutional route by which risk turns into schedule margin</w:t>
      </w:r>
      <w:r>
        <w:t xml:space="preserve"> </w:t>
      </w:r>
      <w:hyperlink w:anchor="ref-21">
        <w:r>
          <w:rPr>
            <w:rStyle w:val="Hyperlink"/>
          </w:rPr>
          <w:t xml:space="preserve">[21]</w:t>
        </w:r>
      </w:hyperlink>
      <w:r>
        <w:t xml:space="preserve">, and Viola, Fusaro, and Vercella develop a technology-roadmapping method for future hypersonic transports whose handling of staged maturation informs staged lunar ISRU and power deployment</w:t>
      </w:r>
      <w:r>
        <w:t xml:space="preserve"> </w:t>
      </w:r>
      <w:hyperlink w:anchor="ref-37">
        <w:r>
          <w:rPr>
            <w:rStyle w:val="Hyperlink"/>
          </w:rPr>
          <w:t xml:space="preserve">[37]</w:t>
        </w:r>
      </w:hyperlink>
      <w:r>
        <w:t xml:space="preserve">.</w:t>
      </w:r>
    </w:p>
    <w:p>
      <w:pPr>
        <w:pStyle w:val="BodyText"/>
        <w:spacing w:line="480" w:lineRule="auto"/>
        <w:ind w:firstLine="720"/>
      </w:pPr>
      <w:r>
        <w:t xml:space="preserve">Perched nearer the cliometric tradition than the pure technical work, these studies flag the methodological junction this dissertation sits on. What they never do is fit a class-level slip coefficient on a lunar milestone panel. They show the question is well-posed and leave it unanswered.</w:t>
      </w:r>
    </w:p>
    <w:bookmarkEnd w:id="70"/>
    <w:bookmarkStart w:id="71" w:name="X9391d4e365e71b89e1a5fa296fcaa1675d4c3bd"/>
    <w:p>
      <w:pPr>
        <w:pStyle w:val="Heading3"/>
        <w:spacing w:line="480" w:lineRule="auto"/>
      </w:pPr>
      <w:r>
        <w:t xml:space="preserve">2.2.5 Habitation and Long-Duration Analog Evidence</w:t>
      </w:r>
    </w:p>
    <w:p>
      <w:pPr>
        <w:pStyle w:val="FirstParagraph"/>
        <w:spacing w:line="480" w:lineRule="auto"/>
      </w:pPr>
      <w:r>
        <w:t xml:space="preserve">A further angle on what counts as architectural baseline comes from the lunar habitation and crew-systems sub-literature. Häuplik-Meusburger and Bannova trace early lunar-base design from first sketch to the first landing</w:t>
      </w:r>
      <w:r>
        <w:t xml:space="preserve"> </w:t>
      </w:r>
      <w:hyperlink w:anchor="ref-31">
        <w:r>
          <w:rPr>
            <w:rStyle w:val="Hyperlink"/>
          </w:rPr>
          <w:t xml:space="preserve">[31]</w:t>
        </w:r>
      </w:hyperlink>
      <w:r>
        <w:t xml:space="preserve">, fixing the historical reach of the habitation line inside the architecture. Heinicke and colleagues report on crew self-organization and group-living habits across long-duration Mars analog missions</w:t>
      </w:r>
      <w:r>
        <w:t xml:space="preserve"> </w:t>
      </w:r>
      <w:hyperlink w:anchor="ref-32">
        <w:r>
          <w:rPr>
            <w:rStyle w:val="Hyperlink"/>
          </w:rPr>
          <w:t xml:space="preserve">[32]</w:t>
        </w:r>
      </w:hyperlink>
      <w:r>
        <w:t xml:space="preserve">, and Carrière, Pahud, and Gass record space-analog missions serving as a teaching tool in primary schools</w:t>
      </w:r>
      <w:r>
        <w:t xml:space="preserve"> </w:t>
      </w:r>
      <w:hyperlink w:anchor="ref-30">
        <w:r>
          <w:rPr>
            <w:rStyle w:val="Hyperlink"/>
          </w:rPr>
          <w:t xml:space="preserve">[30]</w:t>
        </w:r>
      </w:hyperlink>
      <w:r>
        <w:t xml:space="preserve">. This habitation line matters here because it sits in the architectural baseline the ISRU and nuclear classes get measured against: habitation is a long-running, comparatively well-charted capability line whose schedule behavior furnishes part of the reference distribution. The architecture-scale work on coupled subsystems and the historical work on habitation design together anchor what the baseline class actually contains.</w:t>
      </w:r>
    </w:p>
    <w:bookmarkEnd w:id="71"/>
    <w:bookmarkEnd w:id="72"/>
    <w:bookmarkStart w:id="78" w:name="X8cf61e22fc26e502df1ac8d255f3894a00df0d1"/>
    <w:p>
      <w:pPr>
        <w:pStyle w:val="Heading2"/>
        <w:spacing w:line="480" w:lineRule="auto"/>
      </w:pPr>
      <w:r>
        <w:t xml:space="preserve">2.3 The Cliometric and Schedule-Realism Methodology Literature</w:t>
      </w:r>
    </w:p>
    <w:bookmarkStart w:id="73" w:name="Xa3e90e2c0e81ad4520f968698e775a3d5929afa"/>
    <w:p>
      <w:pPr>
        <w:pStyle w:val="Heading3"/>
        <w:spacing w:line="480" w:lineRule="auto"/>
      </w:pPr>
      <w:r>
        <w:t xml:space="preserve">2.3.1 Government Accountability Office Major-Project Assessments as a Cliometric Substrate</w:t>
      </w:r>
    </w:p>
    <w:p>
      <w:pPr>
        <w:pStyle w:val="FirstParagraph"/>
        <w:spacing w:line="480" w:lineRule="auto"/>
      </w:pPr>
      <w:r>
        <w:t xml:space="preserve">The measurement rests on one series above all others.</w:t>
      </w:r>
    </w:p>
    <w:p>
      <w:pPr>
        <w:pStyle w:val="BodyText"/>
        <w:spacing w:line="480" w:lineRule="auto"/>
        <w:ind w:firstLine="720"/>
      </w:pPr>
      <w:r>
        <w:t xml:space="preserve">Empirically, any quantitative schedule-realism study of NASA major projects stands on the GAO Assessments of Major NASA Projects series. GAO-25-107591, the 2025 assessment, is the newest annual entry and hands over, for each tracked project, the original baseline schedule, the current schedule, and the realized slip at project and milestone level in a steady annual format</w:t>
      </w:r>
      <w:r>
        <w:t xml:space="preserve"> </w:t>
      </w:r>
      <w:hyperlink w:anchor="ref-13">
        <w:r>
          <w:rPr>
            <w:rStyle w:val="Hyperlink"/>
          </w:rPr>
          <w:t xml:space="preserve">[13]</w:t>
        </w:r>
      </w:hyperlink>
      <w:r>
        <w:t xml:space="preserve">. The Artemis-specific GAO report on the crewed lunar landing, GAO-24-106256, brings the same documentary rigor to the Artemis architecture and flags several programmatic challenges at milestone level</w:t>
      </w:r>
      <w:r>
        <w:t xml:space="preserve"> </w:t>
      </w:r>
      <w:hyperlink w:anchor="ref-14">
        <w:r>
          <w:rPr>
            <w:rStyle w:val="Hyperlink"/>
          </w:rPr>
          <w:t xml:space="preserve">[14]</w:t>
        </w:r>
      </w:hyperlink>
      <w:r>
        <w:t xml:space="preserve">. These GAO products are not themselves cliometric analyses; they are the institutional bedrock any cliometric analysis has to stand on. Their methodological worth is steadiness: each project arrives with a documented baseline and a documented slip, plus explicit rules for what counts as a rebaseline and how cumulative slip gets tallied.</w:t>
      </w:r>
    </w:p>
    <w:p>
      <w:pPr>
        <w:pStyle w:val="BodyText"/>
        <w:spacing w:line="480" w:lineRule="auto"/>
        <w:ind w:firstLine="720"/>
      </w:pPr>
      <w:r>
        <w:t xml:space="preserve">Filling this out, the Office of Inspector General publishes project-specific audits carrying finer chronology. The OIG report on Mobile Launcher 2, IG-24-016, tracks the schedule and cost path of a single ground-systems milestone in close detail</w:t>
      </w:r>
      <w:r>
        <w:t xml:space="preserve"> </w:t>
      </w:r>
      <w:hyperlink w:anchor="ref-15">
        <w:r>
          <w:rPr>
            <w:rStyle w:val="Hyperlink"/>
          </w:rPr>
          <w:t xml:space="preserve">[15]</w:t>
        </w:r>
      </w:hyperlink>
      <w:r>
        <w:t xml:space="preserve">, and the OIG report on Dragonfly, IG-25-011, does the same for a planetary-science milestone whose schedule realism is under live dispute</w:t>
      </w:r>
      <w:r>
        <w:t xml:space="preserve"> </w:t>
      </w:r>
      <w:hyperlink w:anchor="ref-16">
        <w:r>
          <w:rPr>
            <w:rStyle w:val="Hyperlink"/>
          </w:rPr>
          <w:t xml:space="preserve">[16]</w:t>
        </w:r>
      </w:hyperlink>
      <w:r>
        <w:t xml:space="preserve">. With the GAO series, these audits make up the documentary backbone the prospectus names as the dissertation’s primary data source.</w:t>
      </w:r>
    </w:p>
    <w:p>
      <w:pPr>
        <w:pStyle w:val="BodyText"/>
        <w:spacing w:line="480" w:lineRule="auto"/>
        <w:ind w:firstLine="720"/>
      </w:pPr>
      <w:r>
        <w:t xml:space="preserve">What the GAO and OIG work hands over, though, is documentation and not inference. It tallies slip and fits no class coefficient. Crossing from tally to inference calls for a regression or hazard framework, which the GAO products never pursue.</w:t>
      </w:r>
    </w:p>
    <w:bookmarkEnd w:id="73"/>
    <w:bookmarkStart w:id="74" w:name="Xb0e05bbfd2b0d4d5d46d3cd78a57428abec0108"/>
    <w:p>
      <w:pPr>
        <w:pStyle w:val="Heading3"/>
        <w:spacing w:line="480" w:lineRule="auto"/>
      </w:pPr>
      <w:r>
        <w:t xml:space="preserve">2.3.2 Cross-Project Regression Frameworks and the Maturity-Confounding Control</w:t>
      </w:r>
    </w:p>
    <w:p>
      <w:pPr>
        <w:pStyle w:val="FirstParagraph"/>
        <w:spacing w:line="480" w:lineRule="auto"/>
      </w:pPr>
      <w:r>
        <w:t xml:space="preserve">Inside the candidate’s own pipeline, the earliest tries at bridging the GAO documentary bedrock to a regression framework are the two preliminary papers the prospectus reports. The first gathers 28 NASA major-project milestones, forms a normalized slip measure as the ratio of months slipped to baselined planned duration, and regresses it on an ISRU/nuclear class flag alongside controls for planned duration, baseline calendar year, and a nine-point technology-readiness proxy. The class coefficient lands at minus 0.145 with a robust standard error of 0.200, statistically indistinguishable from zero, while the maturity coefficient lands at minus 0.148 per readiness level with a p-value of 0.063, the one coefficient in the run edging toward significance. Null headline and all, the design earns its keep as a template, because it builds in the maturity-confounding control outright, letting the class coefficient stand for the slip gap between ISRU/nuclear and comparison milestones that readiness has not already explained.</w:t>
      </w:r>
    </w:p>
    <w:p>
      <w:pPr>
        <w:pStyle w:val="BodyText"/>
        <w:spacing w:line="480" w:lineRule="auto"/>
        <w:ind w:firstLine="720"/>
      </w:pPr>
      <w:r>
        <w:t xml:space="preserve">Stretching the cross-section to 30 NASA development projects, the second paper sets slip as the cumulative months from committed baseline launch-readiness date to latest reported readiness date, and regresses it on a frontier flag with controls for technology readiness at baseline, life-cycle cost as a complexity proxy, and a crew-involvement flag. The frontier coefficient again comes out statistically indistinguishable from zero, its point estimate near minus three months at a p-value of 0.73. The maturity coefficient, by contrast, lands near minus twelve months per readiness level at a p-value of 0.0003, and the cost coefficient near positive 1.3 months per billion dollars at a p-value of 0.001. So both papers settle on one reading: in the plain cross-sectional runs, the class flag does not survive a maturity control, and the maturity control shoulders the explanatory weight the class flag was supposed to carry.</w:t>
      </w:r>
    </w:p>
    <w:p>
      <w:pPr>
        <w:pStyle w:val="BodyText"/>
        <w:spacing w:line="480" w:lineRule="auto"/>
        <w:ind w:firstLine="720"/>
      </w:pPr>
      <w:r>
        <w:t xml:space="preserve">As telling as this agreement is for the dissertation, the cross-sectional design still hems it in. Neither preliminary paper mines within-program variation through fixed effects, neither treats right-censoring through a hazard form, and neither confronts the small-cell fragility the prospectus names as a binding validity threat. So the dissertation sharpens the specification rather than reversing the substantive drift of the preliminary work.</w:t>
      </w:r>
    </w:p>
    <w:bookmarkEnd w:id="74"/>
    <w:bookmarkStart w:id="75" w:name="Xb289266fbde4f1f75f03531e2916dfc65c418bb"/>
    <w:p>
      <w:pPr>
        <w:pStyle w:val="Heading3"/>
        <w:spacing w:line="480" w:lineRule="auto"/>
      </w:pPr>
      <w:r>
        <w:t xml:space="preserve">2.3.3 Panel Fixed-Effects Specifications and Within-Program Identification</w:t>
      </w:r>
    </w:p>
    <w:p>
      <w:pPr>
        <w:pStyle w:val="FirstParagraph"/>
        <w:spacing w:line="480" w:lineRule="auto"/>
      </w:pPr>
      <w:r>
        <w:t xml:space="preserve">The primary specification the prospectus names is a panel linear regression with program fixed effects. Its case is well-worn in the cost-and-schedule-realism tradition beyond the retrieved corpus and gets reinforced by the pattern the preliminary papers show: the maturity coefficient is pinned largely off cross-program differences in readiness profiles, which tangles the readiness effect together with sponsor-level discipline. A within-program fixed-effects design soaks up program-wide budget-cycle and management shocks and pins the class coefficient off variation across capability lines inside one program. This is the design that lets the central question stand in its sturdiest form: do ISRU and nuclear lines slip faster than their sibling lines inside one program, under the same sponsor, the same budget world, and the same management machinery.</w:t>
      </w:r>
    </w:p>
    <w:p>
      <w:pPr>
        <w:pStyle w:val="BodyText"/>
        <w:spacing w:line="480" w:lineRule="auto"/>
        <w:ind w:firstLine="720"/>
      </w:pPr>
      <w:r>
        <w:t xml:space="preserve">Well-suited to that design is the GAO bedrock, since the same program gets tracked across many annual assessments, and the architecture milestone definitions hold steady across years even as realized completion dates drift. OIG audits add within-program milestone-level detail that carries the same identification logic. Inside the retrieved corpus, the methodological literature has never turned this design on lunar architecture milestones; the preliminary papers stop short of it, and the technical literature never touches it.</w:t>
      </w:r>
    </w:p>
    <w:bookmarkEnd w:id="75"/>
    <w:bookmarkStart w:id="76" w:name="X4a2c49fb8a528692928bae833de34fda6ca0bfa"/>
    <w:p>
      <w:pPr>
        <w:pStyle w:val="Heading3"/>
        <w:spacing w:line="480" w:lineRule="auto"/>
      </w:pPr>
      <w:r>
        <w:t xml:space="preserve">2.3.4 Discrete-Time Survival Models and the Right-Censoring Problem</w:t>
      </w:r>
    </w:p>
    <w:p>
      <w:pPr>
        <w:pStyle w:val="FirstParagraph"/>
        <w:spacing w:line="480" w:lineRule="auto"/>
      </w:pPr>
      <w:r>
        <w:t xml:space="preserve">A companion specification the prospectus motivates is a discrete-time hazard model of the odds a milestone completes in each period. Its rationale is the right-censoring of milestones not yet done at the observation cutoff, a built-in feature of any lunar architecture panel because the architecture itself is unfinished. A completed-only regression courts selection bias by conditioning on the event of completion. The hazard model sidesteps that by treating unfinished milestones as censored at the cutoff and fitting the class coefficient on the odds of completion given survival to the period. H1 forecasts a lower completion hazard for ISRU and nuclear milestones, the mirror of a positive slip premium in the regression frame.</w:t>
      </w:r>
    </w:p>
    <w:p>
      <w:pPr>
        <w:pStyle w:val="BodyText"/>
        <w:spacing w:line="480" w:lineRule="auto"/>
        <w:ind w:firstLine="720"/>
      </w:pPr>
      <w:r>
        <w:t xml:space="preserve">For just this purpose, the cliometric schedule-realism literature has long leaned on hazard forms. What the retrieved corpus lacks is any hazard application to lunar architecture milestones in particular. The technical literature meets censoring only through the cancellation case the first preliminary paper flags, where a polar prospecting rover entered the cross-section at its pre-cancellation readiness date and then went untracked. So the hazard upgrade is both well-motivated and, inside the retrieved literature, new.</w:t>
      </w:r>
    </w:p>
    <w:bookmarkEnd w:id="76"/>
    <w:bookmarkStart w:id="77" w:name="adjacent-methodological-contributions"/>
    <w:p>
      <w:pPr>
        <w:pStyle w:val="Heading3"/>
        <w:spacing w:line="480" w:lineRule="auto"/>
      </w:pPr>
      <w:r>
        <w:t xml:space="preserve">2.3.5 Adjacent Methodological Contributions</w:t>
      </w:r>
    </w:p>
    <w:p>
      <w:pPr>
        <w:pStyle w:val="FirstParagraph"/>
        <w:spacing w:line="480" w:lineRule="auto"/>
      </w:pPr>
      <w:r>
        <w:t xml:space="preserve">A few pieces in the retrieved corpus display methods that neighbor the dissertation’s specification without ever touching schedule slip head-on. Viola, Fusaro, and Vercella build a structured technology-roadmapping framework for staged maturation that squares conceptually with the maturity-proxy covariate in the regression</w:t>
      </w:r>
      <w:r>
        <w:t xml:space="preserve"> </w:t>
      </w:r>
      <w:hyperlink w:anchor="ref-37">
        <w:r>
          <w:rPr>
            <w:rStyle w:val="Hyperlink"/>
          </w:rPr>
          <w:t xml:space="preserve">[37]</w:t>
        </w:r>
      </w:hyperlink>
      <w:r>
        <w:t xml:space="preserve">. The mixed-integer linear-programming method of Kim, Kim, and Choi for tip-and-cue mission scheduling across heterogeneous satellite constellations</w:t>
      </w:r>
      <w:r>
        <w:t xml:space="preserve"> </w:t>
      </w:r>
      <w:hyperlink w:anchor="ref-36">
        <w:r>
          <w:rPr>
            <w:rStyle w:val="Hyperlink"/>
          </w:rPr>
          <w:t xml:space="preserve">[36]</w:t>
        </w:r>
      </w:hyperlink>
      <w:r>
        <w:t xml:space="preserve"> </w:t>
      </w:r>
      <w:r>
        <w:t xml:space="preserve">and the Sandia work of Valicka and colleagues on space-surveillance-network scheduling under uncertainty</w:t>
      </w:r>
      <w:r>
        <w:t xml:space="preserve"> </w:t>
      </w:r>
      <w:hyperlink w:anchor="ref-26">
        <w:r>
          <w:rPr>
            <w:rStyle w:val="Hyperlink"/>
          </w:rPr>
          <w:t xml:space="preserve">[26]</w:t>
        </w:r>
      </w:hyperlink>
      <w:r>
        <w:t xml:space="preserve"> </w:t>
      </w:r>
      <w:r>
        <w:t xml:space="preserve">show scheduling-under-uncertainty techniques that sit conceptually nearby though tuned to operations rather than to acquisition schedule realism. None of these unseats the regression-and-hazard design, but each marks the wider methodological neighborhood the dissertation lives in.</w:t>
      </w:r>
    </w:p>
    <w:bookmarkEnd w:id="77"/>
    <w:bookmarkEnd w:id="78"/>
    <w:bookmarkStart w:id="82" w:name="the-gap-and-the-joining-argument"/>
    <w:p>
      <w:pPr>
        <w:pStyle w:val="Heading2"/>
        <w:spacing w:line="480" w:lineRule="auto"/>
      </w:pPr>
      <w:r>
        <w:t xml:space="preserve">2.4 The Gap and the Joining Argument</w:t>
      </w:r>
    </w:p>
    <w:bookmarkStart w:id="79" w:name="X1603208da826018e1b81671059965d0644c9590"/>
    <w:p>
      <w:pPr>
        <w:pStyle w:val="Heading3"/>
        <w:spacing w:line="480" w:lineRule="auto"/>
      </w:pPr>
      <w:r>
        <w:t xml:space="preserve">2.4.1 What Each Literature Has and Has Not Done</w:t>
      </w:r>
    </w:p>
    <w:p>
      <w:pPr>
        <w:pStyle w:val="FirstParagraph"/>
        <w:spacing w:line="480" w:lineRule="auto"/>
      </w:pPr>
      <w:r>
        <w:t xml:space="preserve">Between them, the lunar technical works have handed over a precise taxonomy of capability classes, a deep account of ISRU and surface-power immaturity, a documented coupling between the two lines, an architecture-scale argument that frontier subsystems gate whole programs, and a body of expert-elicitation evidence that the community itself reads schedule baselines for these lines as wide distributions and not points [1, 2, 3, 4, 8, 9, 11, 17, 18, 19, 20, 33, 34, 35]. What this literature has never done, on the evidence of the retrieved corpus, is fit a class-level slip coefficient on a milestone panel.</w:t>
      </w:r>
    </w:p>
    <w:p>
      <w:pPr>
        <w:pStyle w:val="BodyText"/>
        <w:spacing w:line="480" w:lineRule="auto"/>
        <w:ind w:firstLine="720"/>
      </w:pPr>
      <w:r>
        <w:t xml:space="preserve">The cliometric and program-management literature, standing on the GAO and OIG documentary bedrock and on the preliminary papers in the candidate’s pipeline, has handed over an authoritative public record of NASA schedule baselines and how they move, a regression frame for normalized slip, a maturity-confounding control logic, and a hazard form for right-censored milestones [13, 14, 15, 16]. What the retrieved corpus never holds is a panel fixed-effects or hazard application to lunar architecture milestones sorted by capability class.</w:t>
      </w:r>
    </w:p>
    <w:bookmarkEnd w:id="79"/>
    <w:bookmarkStart w:id="80" w:name="X1b6ed1a5b8c2aaf0e9dfd54b3d8dbe8ce94b7dc"/>
    <w:p>
      <w:pPr>
        <w:pStyle w:val="Heading3"/>
        <w:spacing w:line="480" w:lineRule="auto"/>
      </w:pPr>
      <w:r>
        <w:t xml:space="preserve">2.4.2 The Joining and the Single Falsifiable Contribution</w:t>
      </w:r>
    </w:p>
    <w:p>
      <w:pPr>
        <w:pStyle w:val="FirstParagraph"/>
        <w:spacing w:line="480" w:lineRule="auto"/>
      </w:pPr>
      <w:r>
        <w:t xml:space="preserve">Put sharply, the gap is the missing comparative within-program estimate of a class-level slip coefficient for ISRU and surface-nuclear milestones, conditioned on observable covariates, on a lunar architecture panel built from the GAO and OIG documentary bedrock. Class definition comes from the technical literature; the estimator comes from the cliometric method; the data come from the documentary bedrock. Every piece is already on the table. No retrieved source has fused these three.</w:t>
      </w:r>
    </w:p>
    <w:p>
      <w:pPr>
        <w:pStyle w:val="BodyText"/>
        <w:spacing w:line="480" w:lineRule="auto"/>
        <w:ind w:firstLine="720"/>
      </w:pPr>
      <w:r>
        <w:t xml:space="preserve">Fusing them is the single falsifiable contribution the prospectus states: a class-level slip coefficient with a sign, a magnitude, and a confidence interval, fitted under both a panel fixed-effects specification and a discrete-time hazard specification, on a milestone panel hand-sorted with the technical taxonomy and built from the GAO and OIG records. The contribution is the coefficient and not a story. H1 forecasts a positive class coefficient that survives the maturity control; H0 forecasts a null. On their cross-sectional runs the preliminary papers tilt toward H0, with maturity carrying the signal. The dissertation upgrade tests whether that tilt holds up under within-program identification and hazard treatment of censoring, or whether the tighter specification tips it over.</w:t>
      </w:r>
    </w:p>
    <w:bookmarkEnd w:id="80"/>
    <w:bookmarkStart w:id="81" w:name="Xe6cfa5c7a7d0b063928a87e9878c22924ff0f20"/>
    <w:p>
      <w:pPr>
        <w:pStyle w:val="Heading3"/>
        <w:spacing w:line="480" w:lineRule="auto"/>
      </w:pPr>
      <w:r>
        <w:t xml:space="preserve">2.4.3 Why the Joining Matters Beyond the Coefficient</w:t>
      </w:r>
    </w:p>
    <w:p>
      <w:pPr>
        <w:pStyle w:val="FirstParagraph"/>
        <w:spacing w:line="480" w:lineRule="auto"/>
      </w:pPr>
      <w:r>
        <w:t xml:space="preserve">Either outcome carries a policy reading that is anything but trivial. A positive class coefficient surviving the maturity control would warrant class-specific management of ISRU and surface-power lines, separate reserves and architectural firewalls among the moves, and would stamp a quantitative discount on the cislunar economic forecasts that hang on these lines [6, 7]. A null coefficient with maturity carrying the signal would steer corrective attention onto the baseline-commitment decision and onto the readiness threshold a milestone must clear before it enters the committed schedule, a lesson that squares with the preliminary findings and with the architecture-scale argument that enabling-technology readiness rules programmatic timelines</w:t>
      </w:r>
      <w:r>
        <w:t xml:space="preserve"> </w:t>
      </w:r>
      <w:hyperlink w:anchor="ref-20">
        <w:r>
          <w:rPr>
            <w:rStyle w:val="Hyperlink"/>
          </w:rPr>
          <w:t xml:space="preserve">[20]</w:t>
        </w:r>
      </w:hyperlink>
      <w:r>
        <w:t xml:space="preserve">. Either way, the result stands as a publishable correction to a belief widely assumed yet, inside the retrieved literature, never tested.</w:t>
      </w:r>
    </w:p>
    <w:p>
      <w:pPr>
        <w:pStyle w:val="BodyText"/>
        <w:spacing w:line="480" w:lineRule="auto"/>
        <w:ind w:firstLine="720"/>
      </w:pPr>
      <w:r>
        <w:t xml:space="preserve">Fusing the two literatures is therefore no bit of methodological tidying. It is the precondition for asking the schedule-realism question in a shape that can be answered. The chapters ahead build the milestone panel, run the specifications, and report the coefficient.</w:t>
      </w:r>
    </w:p>
    <w:bookmarkEnd w:id="81"/>
    <w:bookmarkEnd w:id="82"/>
    <w:bookmarkEnd w:id="83"/>
    <w:bookmarkStart w:id="101" w:name="Xcfcc00a3ded59aed0c781c16bfc121f2a509603"/>
    <w:p>
      <w:pPr>
        <w:pStyle w:val="Heading1"/>
        <w:spacing w:line="480" w:lineRule="auto"/>
      </w:pPr>
      <w:r>
        <w:t xml:space="preserve">Chapter 3. Theoretical Framework and Hypotheses</w:t>
      </w:r>
    </w:p>
    <w:bookmarkStart w:id="84" w:name="purpose-and-position-of-the-chapter"/>
    <w:p>
      <w:pPr>
        <w:pStyle w:val="Heading2"/>
        <w:spacing w:line="480" w:lineRule="auto"/>
      </w:pPr>
      <w:r>
        <w:t xml:space="preserve">3.1 Purpose and Position of the Chapter</w:t>
      </w:r>
    </w:p>
    <w:p>
      <w:pPr>
        <w:pStyle w:val="FirstParagraph"/>
        <w:spacing w:line="480" w:lineRule="auto"/>
      </w:pPr>
      <w:r>
        <w:t xml:space="preserve">The two chapters before this one have fixed what the dissertation studies and what earlier scholarship has and has not resolved. Chapter 1 set out the policy stakes of schedule realism in lunar architectures, and Chapter 2 combed the technical, programmatic, and economic literatures touching on in-situ resource utilization (ISRU) and surface fission power. Here the analytical seam that binds those two halves gets sewn. This chapter names the theoretical mechanism by which a milestone’s technology class is supposed to move its schedule slip, follows the causal thread from class membership through intermediate program behaviors to the observed outcome, and turns that thread into the formal null and alternative hypotheses, H0 and H1, that the empirical chapters put to the test. Its reach is kept narrow on purpose: no fresh data, no fresh estimators, no rehearsal of prior findings past what the hypotheses need. What it does shoulder is the duty to leave the theory falsifiable both ways and to bare the causal structure identification will lean on.</w:t>
      </w:r>
    </w:p>
    <w:p>
      <w:pPr>
        <w:pStyle w:val="BodyText"/>
        <w:spacing w:line="480" w:lineRule="auto"/>
        <w:ind w:firstLine="720"/>
      </w:pPr>
      <w:r>
        <w:t xml:space="preserve">The argument runs in five moves. Section 3.2 fixes the theoretical primitives, the milestone as unit of analysis, schedule slip as outcome, technology class as treatment. Section 3.3 lays out the mechanism in three linked parts: an estimation-environment account, a coupling-and-dependency account, and a baseline-commitment account. Section 3.4 traces the causal thread from class through intermediate mechanisms to slip, names the principal confounder (technology maturity at baseline), and explains how a within-program contrast defuses the most plausible rival readings. Section 3.5 states H0 and H1 formally, casts them in the parametric form of each estimating specification, and spells out the falsifiability conditions. Section 3.6 closes by setting the framework beside the maturity-confounding result the companion papers have already turned up [P1, P2] and by stating what the dissertation will and will not claim off a class-level coefficient.</w:t>
      </w:r>
    </w:p>
    <w:bookmarkEnd w:id="84"/>
    <w:bookmarkStart w:id="85" w:name="theoretical-primitives"/>
    <w:p>
      <w:pPr>
        <w:pStyle w:val="Heading2"/>
        <w:spacing w:line="480" w:lineRule="auto"/>
      </w:pPr>
      <w:r>
        <w:t xml:space="preserve">3.2 Theoretical Primitives</w:t>
      </w:r>
    </w:p>
    <w:p>
      <w:pPr>
        <w:pStyle w:val="FirstParagraph"/>
        <w:spacing w:line="480" w:lineRule="auto"/>
      </w:pPr>
      <w:r>
        <w:t xml:space="preserve">The unit of analysis is the architecture milestone.</w:t>
      </w:r>
    </w:p>
    <w:p>
      <w:pPr>
        <w:pStyle w:val="BodyText"/>
        <w:spacing w:line="480" w:lineRule="auto"/>
        <w:ind w:firstLine="720"/>
      </w:pPr>
      <w:r>
        <w:t xml:space="preserve">A milestone is a discrete, baselined deliverable inside a lunar program for which both a planned completion date and a realized completion date (or a defensible right-censoring date) show up in the public record. Milestones are the level where the central comparison makes sense: big enough to carry a schedule baselined on their own, small enough that one technology class rules the deliverable. Climbing to the project or program level would haul back in exactly the heterogeneity that drives the study, because a lunar lander project can bundle propulsion, thermal, avionics, and an ISRU demonstration payload into one line whose slip pins to no single class. Dropping below the milestone, to individual subsystem qualification tests say, would shove the analysis into a documentation regime where baseline dates go unreported and right-censoring runs everywhere.</w:t>
      </w:r>
    </w:p>
    <w:p>
      <w:pPr>
        <w:pStyle w:val="BodyText"/>
        <w:spacing w:line="480" w:lineRule="auto"/>
        <w:ind w:firstLine="720"/>
      </w:pPr>
      <w:r>
        <w:t xml:space="preserve">The outcome is normalized schedule slip, taken as the realized completion date minus the earliest publicly baselined target completion date, cast in months and divided by baselined planned duration in months. That division answers a theoretical need, not mere convenience. A twelve-month slip on a thirty-six-month milestone leans on the surrounding architecture differently from a twelve-month slip on a 120-month flagship, and the comparison the hypotheses make runs across milestones of unequal scale. Dividing by planned duration sets long and short efforts on one scale and makes the class coefficient read as a relative slip premium rather than an absolute one whose size just tracks the sample’s mix of durations.</w:t>
      </w:r>
    </w:p>
    <w:p>
      <w:pPr>
        <w:pStyle w:val="BodyText"/>
        <w:spacing w:line="480" w:lineRule="auto"/>
        <w:ind w:firstLine="720"/>
      </w:pPr>
      <w:r>
        <w:t xml:space="preserve">The treatment is a binary technology-class flag set to one for milestones whose chief deliverable is an ISRU capability or a surface nuclear fission (or radioisotope) power capability, and to zero for milestones whose chief deliverable is transportation, habitation, surface mobility, avionics, communications, or another conventional architectural baseline. The sorting is deliberately cautious: a transportation milestone hauling an ISRU demonstration payload reads as transportation, since its baseline date takes its shape from the transportation development arc, not the payload. That cautious rule pushes the class coefficient toward zero under H1, the safer bias for a study whose chief hazard is overclaiming a class effect.</w:t>
      </w:r>
    </w:p>
    <w:p>
      <w:pPr>
        <w:pStyle w:val="BodyText"/>
        <w:spacing w:line="480" w:lineRule="auto"/>
        <w:ind w:firstLine="720"/>
      </w:pPr>
      <w:r>
        <w:t xml:space="preserve">Three covariates enter the framework as theoretical constructs, not throwaway controls. First, technology readiness at baseline, a gauge of how mature the relevant technology stood at the moment the schedule was locked. Second, baselined planned duration, which guards against the mechanical chance that longer milestones simply pile up more slip. Third, the calendar year of the baseline, which soaks up cohort effects tied to successive policy regimes and budget worlds. Of the three, technology readiness turns out to be the principal confounder the chapter has to meet head-on.</w:t>
      </w:r>
    </w:p>
    <w:bookmarkEnd w:id="85"/>
    <w:bookmarkStart w:id="90" w:name="the-theoretical-mechanism"/>
    <w:p>
      <w:pPr>
        <w:pStyle w:val="Heading2"/>
        <w:spacing w:line="480" w:lineRule="auto"/>
      </w:pPr>
      <w:r>
        <w:t xml:space="preserve">3.3 The Theoretical Mechanism</w:t>
      </w:r>
    </w:p>
    <w:p>
      <w:pPr>
        <w:pStyle w:val="FirstParagraph"/>
        <w:spacing w:line="480" w:lineRule="auto"/>
      </w:pPr>
      <w:r>
        <w:t xml:space="preserve">Why would ISRU and surface-nuclear milestones slip faster than the rest of the lunar architecture? That is not a bare empirical claim waiting on a coefficient. It rests on a mechanism, or more exactly on three interlocking mechanisms, that the prior literature has named in fragments without ever fusing. The dissertation fuses them.</w:t>
      </w:r>
    </w:p>
    <w:bookmarkStart w:id="86" w:name="the-estimation-environment-mechanism"/>
    <w:p>
      <w:pPr>
        <w:pStyle w:val="Heading3"/>
        <w:spacing w:line="480" w:lineRule="auto"/>
      </w:pPr>
      <w:r>
        <w:t xml:space="preserve">3.3.1 The estimation-environment mechanism</w:t>
      </w:r>
    </w:p>
    <w:p>
      <w:pPr>
        <w:pStyle w:val="FirstParagraph"/>
        <w:spacing w:line="480" w:lineRule="auto"/>
      </w:pPr>
      <w:r>
        <w:t xml:space="preserve">The first mechanism turns on how the schedules for ISRU and nuclear milestones ever come to be written. For conventional lines, planners can lean on a thick stock of flight heritage, ground analog experience, and demonstrated subsystem performance to peg their estimates. A lunar lander propulsion milestone inherits decades of engine data; a communications milestone inherits ground-station and relay heritage; a habitation milestone inherits International Space Station life-support performance. In that estimation environment, observed durations from comparable past work keep the planner’s optimism in check.</w:t>
      </w:r>
    </w:p>
    <w:p>
      <w:pPr>
        <w:pStyle w:val="BodyText"/>
        <w:spacing w:line="480" w:lineRule="auto"/>
        <w:ind w:firstLine="720"/>
      </w:pPr>
      <w:r>
        <w:t xml:space="preserve">For ISRU and surface-nuclear milestones, that steadying stock is mostly gone. The Delphi survey used to forecast ISRU deployment at a 2040 lunar outpost</w:t>
      </w:r>
      <w:r>
        <w:t xml:space="preserve"> </w:t>
      </w:r>
      <w:hyperlink w:anchor="ref-1">
        <w:r>
          <w:rPr>
            <w:rStyle w:val="Hyperlink"/>
          </w:rPr>
          <w:t xml:space="preserve">[1]</w:t>
        </w:r>
      </w:hyperlink>
      <w:r>
        <w:t xml:space="preserve"> </w:t>
      </w:r>
      <w:r>
        <w:t xml:space="preserve">is no quirk of method; it is the tell of an estimation environment where the community itself grants that structured expert opinion is the best stand-in for flight heritage. The same posture shows up in formal requests for information on kilowatt-class fission surface reactors, where the agency is soliciting requirements definition rather than letting production contracts</w:t>
      </w:r>
      <w:r>
        <w:t xml:space="preserve"> </w:t>
      </w:r>
      <w:hyperlink w:anchor="ref-1">
        <w:r>
          <w:rPr>
            <w:rStyle w:val="Hyperlink"/>
          </w:rPr>
          <w:t xml:space="preserve">[1]</w:t>
        </w:r>
      </w:hyperlink>
      <w:r>
        <w:t xml:space="preserve">, and in the radioisotope-Stirling concepts for lunar mobility still stuck at the prototype-to-flight transition [9, 19]. When schedules get written through elicitation rather than reference-class forecasting against demonstrated performance, the baseline that results carries a known lean toward optimism, because expert elicitations reliably underweight the right tail of duration distributions for novel technology. So the estimation-environment mechanism forecasts a slip premium for ISRU and nuclear milestones simply because their schedules entered the public record from a more optimistic point on the duration distribution.</w:t>
      </w:r>
    </w:p>
    <w:bookmarkEnd w:id="86"/>
    <w:bookmarkStart w:id="87" w:name="the-coupling-and-dependency-mechanism"/>
    <w:p>
      <w:pPr>
        <w:pStyle w:val="Heading3"/>
        <w:spacing w:line="480" w:lineRule="auto"/>
      </w:pPr>
      <w:r>
        <w:t xml:space="preserve">3.3.2 The coupling-and-dependency mechanism</w:t>
      </w:r>
    </w:p>
    <w:p>
      <w:pPr>
        <w:pStyle w:val="FirstParagraph"/>
        <w:spacing w:line="480" w:lineRule="auto"/>
      </w:pPr>
      <w:r>
        <w:t xml:space="preserve">The second mechanism turns on what unfolds after the baseline is locked. ISRU and surface power are not free-standing lines whose schedules can drift loose from the rest of the architecture. They are lashed tightly to one another and to the surface architecture they enable. ISRU oxygen production at any real rate demands heavy electrical power, and the Delphi survey records community consensus that ISRU at a 2040 outpost would call for on the order of an added megawatt of surface electricity [1, 33]. Integrated ISRU studies show resource production nested in a logistics web whose readiness rides on many elements maturing together rather than one technology</w:t>
      </w:r>
      <w:r>
        <w:t xml:space="preserve"> </w:t>
      </w:r>
      <w:hyperlink w:anchor="ref-17">
        <w:r>
          <w:rPr>
            <w:rStyle w:val="Hyperlink"/>
          </w:rPr>
          <w:t xml:space="preserve">[17]</w:t>
        </w:r>
      </w:hyperlink>
      <w:r>
        <w:t xml:space="preserve">, and systems-level models of the cislunar economy reinforce that frontier capabilities climb only as fast as their laggard enabling subsystem</w:t>
      </w:r>
      <w:r>
        <w:t xml:space="preserve"> </w:t>
      </w:r>
      <w:hyperlink w:anchor="ref-18">
        <w:r>
          <w:rPr>
            <w:rStyle w:val="Hyperlink"/>
          </w:rPr>
          <w:t xml:space="preserve">[18]</w:t>
        </w:r>
      </w:hyperlink>
      <w:r>
        <w:t xml:space="preserve">. The hybridization choices inside ISRU plant design, between carbothermal reduction and water extraction say [4, 11], deepen the coupling by tying any one ISRU milestone’s schedule to process-architecture trades that themselves stay unsettled.</w:t>
      </w:r>
    </w:p>
    <w:p>
      <w:pPr>
        <w:pStyle w:val="BodyText"/>
        <w:spacing w:line="480" w:lineRule="auto"/>
        <w:ind w:firstLine="720"/>
      </w:pPr>
      <w:r>
        <w:t xml:space="preserve">Coupling spreads slip. When two lines lean on each other and on shared surface infrastructure, a delay in either bleeds into the other, and the slip of the coupled pair runs past whatever each would show alone. So the coupling-and-dependency mechanism forecasts a slip premium for ISRU and nuclear milestones independent of the estimation-environment mechanism: even with a baseline written under perfect optimism discipline, the realized completion date would drift later because the milestone cannot finish until its coupled partner has matured to a compatible state.</w:t>
      </w:r>
    </w:p>
    <w:bookmarkEnd w:id="87"/>
    <w:bookmarkStart w:id="88" w:name="the-baseline-commitment-mechanism"/>
    <w:p>
      <w:pPr>
        <w:pStyle w:val="Heading3"/>
        <w:spacing w:line="480" w:lineRule="auto"/>
      </w:pPr>
      <w:r>
        <w:t xml:space="preserve">3.3.3 The baseline-commitment mechanism</w:t>
      </w:r>
    </w:p>
    <w:p>
      <w:pPr>
        <w:pStyle w:val="FirstParagraph"/>
        <w:spacing w:line="480" w:lineRule="auto"/>
      </w:pPr>
      <w:r>
        <w:t xml:space="preserve">The third mechanism turns on the political economy of baseline commitment. NASA programs lock baselines in a budget world that pays off near-term promises and punishes long-horizon honesty. The Government Accountability Office’s annual assessments record a recurring pattern in which projects enter their committed baseline at low technology readiness, take on the schedule risk low readiness implies, and eat the resulting slip as a programmatic cost [13, 14]. The Office of Inspector General audits of Mobile Launcher 2 and Dragonfly show the same shape at the project level [15, 16]. The probabilistic risk assessment framework reaching Artemis casts first-of-kind systems as the leading source of programmatic uncertainty</w:t>
      </w:r>
      <w:r>
        <w:t xml:space="preserve"> </w:t>
      </w:r>
      <w:hyperlink w:anchor="ref-12">
        <w:r>
          <w:rPr>
            <w:rStyle w:val="Hyperlink"/>
          </w:rPr>
          <w:t xml:space="preserve">[12]</w:t>
        </w:r>
      </w:hyperlink>
      <w:r>
        <w:t xml:space="preserve">, a formal admission that the baseline-commitment decision gets made under conditions that routinely understate the schedule cost of frontier work.</w:t>
      </w:r>
    </w:p>
    <w:p>
      <w:pPr>
        <w:pStyle w:val="BodyText"/>
        <w:spacing w:line="480" w:lineRule="auto"/>
        <w:ind w:firstLine="720"/>
      </w:pPr>
      <w:r>
        <w:t xml:space="preserve">For ISRU and nuclear milestones, the commitment pressure bites hardest, because how load-bearing these lines are to the wider sustained-presence story makes them politically dear to defer. Lunar mining and Artemis infrastructure stand as the base of a self-sustaining cislunar economy</w:t>
      </w:r>
      <w:r>
        <w:t xml:space="preserve"> </w:t>
      </w:r>
      <w:hyperlink w:anchor="ref-6">
        <w:r>
          <w:rPr>
            <w:rStyle w:val="Hyperlink"/>
          </w:rPr>
          <w:t xml:space="preserve">[6]</w:t>
        </w:r>
      </w:hyperlink>
      <w:r>
        <w:t xml:space="preserve">, and the OCEA forecasting work treats lunar water-resource extraction as a near-term cislunar economic anchor</w:t>
      </w:r>
      <w:r>
        <w:t xml:space="preserve"> </w:t>
      </w:r>
      <w:hyperlink w:anchor="ref-7">
        <w:r>
          <w:rPr>
            <w:rStyle w:val="Hyperlink"/>
          </w:rPr>
          <w:t xml:space="preserve">[7]</w:t>
        </w:r>
      </w:hyperlink>
      <w:r>
        <w:t xml:space="preserve">. A program manager who moves to defer the committed ISRU baseline until the technology climbs a readiness level or two is moving to defer the very economic story that justifies the surrounding architecture. So the baseline-commitment mechanism forecasts that ISRU and nuclear milestones will enter the public record at lower technology readiness than the architectural baseline, breeding slip through the well-documented readiness-slip tie.</w:t>
      </w:r>
    </w:p>
    <w:bookmarkEnd w:id="88"/>
    <w:bookmarkStart w:id="89" w:name="synthesis"/>
    <w:p>
      <w:pPr>
        <w:pStyle w:val="Heading3"/>
        <w:spacing w:line="480" w:lineRule="auto"/>
      </w:pPr>
      <w:r>
        <w:t xml:space="preserve">3.3.4 Synthesis</w:t>
      </w:r>
    </w:p>
    <w:p>
      <w:pPr>
        <w:pStyle w:val="FirstParagraph"/>
        <w:spacing w:line="480" w:lineRule="auto"/>
      </w:pPr>
      <w:r>
        <w:t xml:space="preserve">By three separate routes the mechanisms return one directional forecast. The estimation-environment mechanism forecasts a slip premium because the baseline gets written from a more optimistic distribution. The coupling-and-dependency mechanism forecasts one because the realized completion hangs on a coupled partner already drifting. The baseline-commitment mechanism forecasts one because the political economy of commitment shoves ISRU and nuclear milestones into the baseline at lower readiness than the architectural baseline. The three are not redundant. The first works on the planned date, the second on the realized date given the plan, the third on the readiness state at the moment of commitment. A theory joining only one or two would return a weaker forecast; the dissertation joins all three.</w:t>
      </w:r>
    </w:p>
    <w:p>
      <w:pPr>
        <w:pStyle w:val="BodyText"/>
        <w:spacing w:line="480" w:lineRule="auto"/>
        <w:ind w:firstLine="720"/>
      </w:pPr>
      <w:r>
        <w:t xml:space="preserve">The synthesis also clears up what a null finding would carry. Should the class coefficient come out zero after conditioning on observable covariates, the joint mechanism is not refuted in all three parts. It is refuted, though, in the operationally consequential sense that the three parts do not add up to a measurable class-level slip premium once observable covariates are held fixed. That is itself a publishable theoretical result, because the prior literature has never split the joint forecast from the residual-after-controls forecast, and the dissertation stands ready to.</w:t>
      </w:r>
    </w:p>
    <w:bookmarkEnd w:id="89"/>
    <w:bookmarkEnd w:id="90"/>
    <w:bookmarkStart w:id="94" w:name="the-causal-logic"/>
    <w:p>
      <w:pPr>
        <w:pStyle w:val="Heading2"/>
        <w:spacing w:line="480" w:lineRule="auto"/>
      </w:pPr>
      <w:r>
        <w:t xml:space="preserve">3.4 The Causal Logic</w:t>
      </w:r>
    </w:p>
    <w:p>
      <w:pPr>
        <w:pStyle w:val="FirstParagraph"/>
        <w:spacing w:line="480" w:lineRule="auto"/>
      </w:pPr>
      <w:r>
        <w:t xml:space="preserve">A directional forecast falls out of the mechanism just laid down, but a directional forecast is not yet a research design. This section traces the causal thread from class membership to observed slip in a form that bares where identification rests and where the principal threat to it lies.</w:t>
      </w:r>
    </w:p>
    <w:bookmarkStart w:id="91" w:name="the-hypothesized-causal-chain"/>
    <w:p>
      <w:pPr>
        <w:pStyle w:val="Heading3"/>
        <w:spacing w:line="480" w:lineRule="auto"/>
      </w:pPr>
      <w:r>
        <w:t xml:space="preserve">3.4.1 The hypothesized causal chain</w:t>
      </w:r>
    </w:p>
    <w:p>
      <w:pPr>
        <w:pStyle w:val="FirstParagraph"/>
        <w:spacing w:line="480" w:lineRule="auto"/>
      </w:pPr>
      <w:r>
        <w:t xml:space="preserve">Class membership (ISRU or surface-nuclear, against the architectural baseline) is the treatment. It breeds three intermediate states: the milestone gets baselined off an elicitation-anchored optimism distribution rather than a heritage-anchored one (estimation environment); its realized completion hangs on a coupled partner whose state moves apart from the milestone’s own progress (coupling and dependency); and it enters the committed baseline at lower technology readiness than a comparable baseline milestone would (commitment pressure). Each of these feeds the realized completion date, and their joint effect is the slip premium H1 forecasts.</w:t>
      </w:r>
    </w:p>
    <w:p>
      <w:pPr>
        <w:pStyle w:val="BodyText"/>
        <w:spacing w:line="480" w:lineRule="auto"/>
        <w:ind w:firstLine="720"/>
      </w:pPr>
      <w:r>
        <w:t xml:space="preserve">The chain is causal in that interventions on class membership would, were they feasible, shift the intermediate states and through them the outcome. Intervening on class membership is out of reach here, of course, since milestones sit in the historical record. What the dissertation can work is a feature of the data that stands in for an intervention: the same program, in the same budget world, under the same sponsor, holds both ISRU/nuclear lines and architectural-baseline lines. That within-program contrast is the design’s principal identification asset.</w:t>
      </w:r>
    </w:p>
    <w:bookmarkEnd w:id="91"/>
    <w:bookmarkStart w:id="92" w:name="the-principal-confounder"/>
    <w:p>
      <w:pPr>
        <w:pStyle w:val="Heading3"/>
        <w:spacing w:line="480" w:lineRule="auto"/>
      </w:pPr>
      <w:r>
        <w:t xml:space="preserve">3.4.2 The principal confounder</w:t>
      </w:r>
    </w:p>
    <w:p>
      <w:pPr>
        <w:pStyle w:val="FirstParagraph"/>
        <w:spacing w:line="480" w:lineRule="auto"/>
      </w:pPr>
      <w:r>
        <w:t xml:space="preserve">Technology readiness at baseline is the principal threat to the causal claim. Readiness confounds because it correlates with class (ISRU and nuclear milestones tend to enter the baseline at lower readiness than transportation or habitation milestones) and because it plausibly causes slip on its own (less mature work finishes slower whatever the class). If readiness is the real driver, the apparent class effect dissolves once readiness is conditioned on, and the policy lesson swings from class-level oversight to maturity-level oversight.</w:t>
      </w:r>
    </w:p>
    <w:p>
      <w:pPr>
        <w:pStyle w:val="BodyText"/>
        <w:spacing w:line="480" w:lineRule="auto"/>
        <w:ind w:firstLine="720"/>
      </w:pPr>
      <w:r>
        <w:t xml:space="preserve">The companion papers have already surfaced this very pattern. The first paper’s cross-project regression on 28 NASA major-project milestones returned a class coefficient of -0.145 with a robust standard error of 0.200 and a maturity coefficient of -0.148 with a standard error of 0.079 that edged toward significance at p = 0.063 [P1]. The second paper’s wider cross-section of thirty NASA development projects returned a sharper maturity coefficient near -12 months per readiness level (standard error near 3.3 months, p = 0.0003) and a frontier coefficient near -3 months that never edged toward significance [P2]. Both concluded that the slip ISRU and nuclear milestones show rides with their low readiness rather than with their class.</w:t>
      </w:r>
    </w:p>
    <w:p>
      <w:pPr>
        <w:pStyle w:val="BodyText"/>
        <w:spacing w:line="480" w:lineRule="auto"/>
        <w:ind w:firstLine="720"/>
      </w:pPr>
      <w:r>
        <w:t xml:space="preserve">Rather than talk this finding away, the dissertation framework treats it as theoretically weighty. Should the maturity-confounding result carry over to the milestone panel the dissertation builds, the policy lesson is that schedule realism gets bought at the readiness threshold for baseline commitment, not at the technology-class boundary. Should the class coefficient survive the maturity proxy on the larger, more disaggregated milestone panel, the joint mechanism is operationally consequential and class-specific oversight earns its place. Either outcome informs.</w:t>
      </w:r>
    </w:p>
    <w:bookmarkEnd w:id="92"/>
    <w:bookmarkStart w:id="93" w:name="within-program-identification"/>
    <w:p>
      <w:pPr>
        <w:pStyle w:val="Heading3"/>
        <w:spacing w:line="480" w:lineRule="auto"/>
      </w:pPr>
      <w:r>
        <w:t xml:space="preserve">3.4.3 Within-program identification</w:t>
      </w:r>
    </w:p>
    <w:p>
      <w:pPr>
        <w:pStyle w:val="FirstParagraph"/>
        <w:spacing w:line="480" w:lineRule="auto"/>
      </w:pPr>
      <w:r>
        <w:t xml:space="preserve">Defusing the most plausible rival reading of an apparent class effect, that ISRU and nuclear programs simply answer to looser sponsors, is the job of the within-program fixed-effects design. Inside one program, the sponsor, budget cycle, and management setting are shared across every milestone, and the class coefficient gets pinned off the difference between ISRU/nuclear lines and architectural-baseline lines carrying those same features. The design does not defuse unobserved confounders that move within a program across capability lines, and the chapter owns that limit. What it does erase is the cross-program confounding that would otherwise swamp a naive run.</w:t>
      </w:r>
    </w:p>
    <w:p>
      <w:pPr>
        <w:pStyle w:val="BodyText"/>
        <w:spacing w:line="480" w:lineRule="auto"/>
        <w:ind w:firstLine="720"/>
      </w:pPr>
      <w:r>
        <w:t xml:space="preserve">A second identification worry, right-censoring, falls to the discrete-time hazard companion specification. Many ISRU and nuclear milestones sit unfinished at the observation cutoff, and a completed-only regression would select on the dependent variable. The hazard model takes the odds of completion in each period as the parameter of interest and folds censored observations in through their share of the at-risk set. H1’s forecast turns into a lower completion hazard for ISRU and nuclear milestones, conditional on the same covariates.</w:t>
      </w:r>
    </w:p>
    <w:bookmarkEnd w:id="93"/>
    <w:bookmarkEnd w:id="94"/>
    <w:bookmarkStart w:id="99" w:name="formal-hypotheses"/>
    <w:p>
      <w:pPr>
        <w:pStyle w:val="Heading2"/>
        <w:spacing w:line="480" w:lineRule="auto"/>
      </w:pPr>
      <w:r>
        <w:t xml:space="preserve">3.5 Formal Hypotheses</w:t>
      </w:r>
    </w:p>
    <w:p>
      <w:pPr>
        <w:pStyle w:val="FirstParagraph"/>
        <w:spacing w:line="480" w:lineRule="auto"/>
      </w:pPr>
      <w:r>
        <w:t xml:space="preserve">The mechanism and the causal thread now collapse into two formal hypotheses, cast in the parametric form the empirical chapters will test.</w:t>
      </w:r>
    </w:p>
    <w:bookmarkStart w:id="95" w:name="h0-the-null"/>
    <w:p>
      <w:pPr>
        <w:pStyle w:val="Heading3"/>
        <w:spacing w:line="480" w:lineRule="auto"/>
      </w:pPr>
      <w:r>
        <w:t xml:space="preserve">3.5.1 H0: the null</w:t>
      </w:r>
    </w:p>
    <w:p>
      <w:pPr>
        <w:pStyle w:val="FirstParagraph"/>
        <w:spacing w:line="480" w:lineRule="auto"/>
      </w:pPr>
      <w:r>
        <w:t xml:space="preserve">Let</w:t>
      </w:r>
      <w:r>
        <w:t xml:space="preserve"> </w:t>
      </w:r>
      <w:r>
        <w:rPr>
          <w:i/>
          <w:iCs/>
        </w:rPr>
        <w:t xml:space="preserve">s</w:t>
      </w:r>
      <w:r>
        <w:t xml:space="preserve">_ij denote the normalized schedule slip of milestone</w:t>
      </w:r>
      <w:r>
        <w:t xml:space="preserve"> </w:t>
      </w:r>
      <w:r>
        <w:rPr>
          <w:i/>
          <w:iCs/>
        </w:rPr>
        <w:t xml:space="preserve">i</w:t>
      </w:r>
      <w:r>
        <w:t xml:space="preserve"> </w:t>
      </w:r>
      <w:r>
        <w:t xml:space="preserve">in program</w:t>
      </w:r>
      <w:r>
        <w:t xml:space="preserve"> </w:t>
      </w:r>
      <w:r>
        <w:rPr>
          <w:i/>
          <w:iCs/>
        </w:rPr>
        <w:t xml:space="preserve">j</w:t>
      </w:r>
      <w:r>
        <w:t xml:space="preserve">, let</w:t>
      </w:r>
      <w:r>
        <w:t xml:space="preserve"> </w:t>
      </w:r>
      <w:r>
        <w:rPr>
          <w:i/>
          <w:iCs/>
        </w:rPr>
        <w:t xml:space="preserve">c</w:t>
      </w:r>
      <w:r>
        <w:t xml:space="preserve">_i denote the class indicator (one for ISRU or surface-nuclear, zero otherwise), let</w:t>
      </w:r>
      <w:r>
        <w:t xml:space="preserve"> </w:t>
      </w:r>
      <w:r>
        <w:rPr>
          <w:i/>
          <w:iCs/>
        </w:rPr>
        <w:t xml:space="preserve">X</w:t>
      </w:r>
      <w:r>
        <w:t xml:space="preserve">_i denote the vector of milestone-level covariates (baselined planned duration, calendar year of baseline, technology readiness at baseline), and let</w:t>
      </w:r>
      <w:r>
        <w:t xml:space="preserve"> </w:t>
      </w:r>
      <w:r>
        <w:rPr>
          <w:i/>
          <w:iCs/>
        </w:rPr>
        <w:t xml:space="preserve">α</w:t>
      </w:r>
      <w:r>
        <w:t xml:space="preserve">_j denote a program fixed effect. The linear specification is</w:t>
      </w:r>
    </w:p>
    <w:p>
      <w:pPr>
        <w:pStyle w:val="BodyText"/>
        <w:spacing w:line="480" w:lineRule="auto"/>
        <w:ind w:firstLine="720"/>
      </w:pPr>
      <w:r>
        <w:rPr>
          <w:i/>
          <w:iCs/>
        </w:rPr>
        <w:t xml:space="preserve">s</w:t>
      </w:r>
      <w:r>
        <w:t xml:space="preserve">_ij =</w:t>
      </w:r>
      <w:r>
        <w:t xml:space="preserve"> </w:t>
      </w:r>
      <w:r>
        <w:rPr>
          <w:i/>
          <w:iCs/>
        </w:rPr>
        <w:t xml:space="preserve">β</w:t>
      </w:r>
      <w:r>
        <w:t xml:space="preserve">_0 +</w:t>
      </w:r>
      <w:r>
        <w:t xml:space="preserve"> </w:t>
      </w:r>
      <w:r>
        <w:rPr>
          <w:i/>
          <w:iCs/>
        </w:rPr>
        <w:t xml:space="preserve">β</w:t>
      </w:r>
      <w:r>
        <w:t xml:space="preserve">_1</w:t>
      </w:r>
      <w:r>
        <w:t xml:space="preserve"> </w:t>
      </w:r>
      <w:r>
        <w:rPr>
          <w:i/>
          <w:iCs/>
        </w:rPr>
        <w:t xml:space="preserve">c</w:t>
      </w:r>
      <w:r>
        <w:t xml:space="preserve">_i +</w:t>
      </w:r>
      <w:r>
        <w:t xml:space="preserve"> </w:t>
      </w:r>
      <w:r>
        <w:rPr>
          <w:i/>
          <w:iCs/>
        </w:rPr>
        <w:t xml:space="preserve">X</w:t>
      </w:r>
      <w:r>
        <w:t xml:space="preserve">_i</w:t>
      </w:r>
      <w:r>
        <w:t xml:space="preserve"> </w:t>
      </w:r>
      <w:r>
        <w:rPr>
          <w:i/>
          <w:iCs/>
        </w:rPr>
        <w:t xml:space="preserve">γ</w:t>
      </w:r>
      <w:r>
        <w:t xml:space="preserve"> </w:t>
      </w:r>
      <w:r>
        <w:t xml:space="preserve">+</w:t>
      </w:r>
      <w:r>
        <w:t xml:space="preserve"> </w:t>
      </w:r>
      <w:r>
        <w:rPr>
          <w:i/>
          <w:iCs/>
        </w:rPr>
        <w:t xml:space="preserve">α</w:t>
      </w:r>
      <w:r>
        <w:t xml:space="preserve">_j +</w:t>
      </w:r>
      <w:r>
        <w:t xml:space="preserve"> </w:t>
      </w:r>
      <w:r>
        <w:rPr>
          <w:i/>
          <w:iCs/>
        </w:rPr>
        <w:t xml:space="preserve">ε</w:t>
      </w:r>
      <w:r>
        <w:t xml:space="preserve">_ij.</w:t>
      </w:r>
    </w:p>
    <w:p>
      <w:pPr>
        <w:pStyle w:val="BodyText"/>
        <w:spacing w:line="480" w:lineRule="auto"/>
        <w:ind w:firstLine="720"/>
      </w:pPr>
      <w:r>
        <w:t xml:space="preserve">The null hypothesis is</w:t>
      </w:r>
    </w:p>
    <w:p>
      <w:pPr>
        <w:pStyle w:val="BodyText"/>
        <w:spacing w:line="480" w:lineRule="auto"/>
        <w:ind w:firstLine="720"/>
      </w:pPr>
      <w:r>
        <w:rPr>
          <w:b/>
          <w:bCs/>
        </w:rPr>
        <w:t xml:space="preserve">H0:</w:t>
      </w:r>
      <w:r>
        <w:rPr>
          <w:b/>
          <w:bCs/>
        </w:rPr>
        <w:t xml:space="preserve"> </w:t>
      </w:r>
      <w:r>
        <w:rPr>
          <w:b/>
          <w:bCs/>
          <w:i/>
          <w:iCs/>
        </w:rPr>
        <w:t xml:space="preserve">β</w:t>
      </w:r>
      <w:r>
        <w:rPr>
          <w:b/>
          <w:bCs/>
        </w:rPr>
        <w:t xml:space="preserve">_1 = 0</w:t>
      </w:r>
      <w:r>
        <w:t xml:space="preserve">.</w:t>
      </w:r>
    </w:p>
    <w:p>
      <w:pPr>
        <w:pStyle w:val="BodyText"/>
        <w:spacing w:line="480" w:lineRule="auto"/>
        <w:ind w:firstLine="720"/>
      </w:pPr>
      <w:r>
        <w:t xml:space="preserve">In substance, H0 holds that, conditional on the observable covariates and the program fixed effect, the schedule slip of ISRU and surface-nuclear milestones cannot be told apart statistically from the slip of the architectural baseline. Class membership carries no slip premium of its own once readiness, scale, cohort, and program world are held fixed.</w:t>
      </w:r>
    </w:p>
    <w:bookmarkEnd w:id="95"/>
    <w:bookmarkStart w:id="96" w:name="h1-the-alternative"/>
    <w:p>
      <w:pPr>
        <w:pStyle w:val="Heading3"/>
        <w:spacing w:line="480" w:lineRule="auto"/>
      </w:pPr>
      <w:r>
        <w:t xml:space="preserve">3.5.2 H1: the alternative</w:t>
      </w:r>
    </w:p>
    <w:p>
      <w:pPr>
        <w:pStyle w:val="FirstParagraph"/>
        <w:spacing w:line="480" w:lineRule="auto"/>
      </w:pPr>
      <w:r>
        <w:t xml:space="preserve">The alternative hypothesis is</w:t>
      </w:r>
    </w:p>
    <w:p>
      <w:pPr>
        <w:pStyle w:val="BodyText"/>
        <w:spacing w:line="480" w:lineRule="auto"/>
        <w:ind w:firstLine="720"/>
      </w:pPr>
      <w:r>
        <w:rPr>
          <w:b/>
          <w:bCs/>
        </w:rPr>
        <w:t xml:space="preserve">H1:</w:t>
      </w:r>
      <w:r>
        <w:rPr>
          <w:b/>
          <w:bCs/>
        </w:rPr>
        <w:t xml:space="preserve"> </w:t>
      </w:r>
      <w:r>
        <w:rPr>
          <w:b/>
          <w:bCs/>
          <w:i/>
          <w:iCs/>
        </w:rPr>
        <w:t xml:space="preserve">β</w:t>
      </w:r>
      <w:r>
        <w:rPr>
          <w:b/>
          <w:bCs/>
        </w:rPr>
        <w:t xml:space="preserve">_1 &gt; 0</w:t>
      </w:r>
      <w:r>
        <w:t xml:space="preserve">.</w:t>
      </w:r>
    </w:p>
    <w:p>
      <w:pPr>
        <w:pStyle w:val="BodyText"/>
        <w:spacing w:line="480" w:lineRule="auto"/>
        <w:ind w:firstLine="720"/>
      </w:pPr>
      <w:r>
        <w:t xml:space="preserve">In substance, H1 holds that, conditional on the same covariates and program fixed effect, ISRU and surface-nuclear milestones carry a positive slip premium over the architectural baseline. Its directional shape is grounded in the three mechanisms of Section 3.3, all forecasting the same sign. A two-sided test will run alongside the directional test for completeness, but the directional forecast is the one the theory stakes.</w:t>
      </w:r>
    </w:p>
    <w:bookmarkEnd w:id="96"/>
    <w:bookmarkStart w:id="97" w:name="the-hazard-model-translation"/>
    <w:p>
      <w:pPr>
        <w:pStyle w:val="Heading3"/>
        <w:spacing w:line="480" w:lineRule="auto"/>
      </w:pPr>
      <w:r>
        <w:t xml:space="preserve">3.5.3 The hazard-model translation</w:t>
      </w:r>
    </w:p>
    <w:p>
      <w:pPr>
        <w:pStyle w:val="FirstParagraph"/>
        <w:spacing w:line="480" w:lineRule="auto"/>
      </w:pPr>
      <w:r>
        <w:t xml:space="preserve">The discrete-time hazard specification recasts H0 and H1 as a hazard parameter. Let</w:t>
      </w:r>
      <w:r>
        <w:t xml:space="preserve"> </w:t>
      </w:r>
      <w:r>
        <w:rPr>
          <w:i/>
          <w:iCs/>
        </w:rPr>
        <w:t xml:space="preserve">h</w:t>
      </w:r>
      <w:r>
        <w:t xml:space="preserve">_ij(</w:t>
      </w:r>
      <w:r>
        <w:rPr>
          <w:i/>
          <w:iCs/>
        </w:rPr>
        <w:t xml:space="preserve">t</w:t>
      </w:r>
      <w:r>
        <w:t xml:space="preserve">) denote the conditional odds that milestone</w:t>
      </w:r>
      <w:r>
        <w:t xml:space="preserve"> </w:t>
      </w:r>
      <w:r>
        <w:rPr>
          <w:i/>
          <w:iCs/>
        </w:rPr>
        <w:t xml:space="preserve">i</w:t>
      </w:r>
      <w:r>
        <w:t xml:space="preserve"> </w:t>
      </w:r>
      <w:r>
        <w:t xml:space="preserve">in program</w:t>
      </w:r>
      <w:r>
        <w:t xml:space="preserve"> </w:t>
      </w:r>
      <w:r>
        <w:rPr>
          <w:i/>
          <w:iCs/>
        </w:rPr>
        <w:t xml:space="preserve">j</w:t>
      </w:r>
      <w:r>
        <w:t xml:space="preserve"> </w:t>
      </w:r>
      <w:r>
        <w:t xml:space="preserve">completes in period</w:t>
      </w:r>
      <w:r>
        <w:t xml:space="preserve"> </w:t>
      </w:r>
      <w:r>
        <w:rPr>
          <w:i/>
          <w:iCs/>
        </w:rPr>
        <w:t xml:space="preserve">t</w:t>
      </w:r>
      <w:r>
        <w:t xml:space="preserve"> </w:t>
      </w:r>
      <w:r>
        <w:t xml:space="preserve">given it has not completed by</w:t>
      </w:r>
      <w:r>
        <w:t xml:space="preserve"> </w:t>
      </w:r>
      <w:r>
        <w:rPr>
          <w:i/>
          <w:iCs/>
        </w:rPr>
        <w:t xml:space="preserve">t</w:t>
      </w:r>
      <w:r>
        <w:t xml:space="preserve">-1. The complementary log-log specification is</w:t>
      </w:r>
    </w:p>
    <w:p>
      <w:pPr>
        <w:pStyle w:val="BodyText"/>
        <w:spacing w:line="480" w:lineRule="auto"/>
        <w:ind w:firstLine="720"/>
      </w:pPr>
      <w:r>
        <w:t xml:space="preserve">cloglog</w:t>
      </w:r>
      <w:r>
        <w:t xml:space="preserve"> </w:t>
      </w:r>
      <w:r>
        <w:rPr>
          <w:i/>
          <w:iCs/>
        </w:rPr>
        <w:t xml:space="preserve">h</w:t>
      </w:r>
      <w:r>
        <w:t xml:space="preserve">_ij(</w:t>
      </w:r>
      <w:r>
        <w:rPr>
          <w:i/>
          <w:iCs/>
        </w:rPr>
        <w:t xml:space="preserve">t</w:t>
      </w:r>
      <w:r>
        <w:t xml:space="preserve">) =</w:t>
      </w:r>
      <w:r>
        <w:t xml:space="preserve"> </w:t>
      </w:r>
      <w:r>
        <w:rPr>
          <w:i/>
          <w:iCs/>
        </w:rPr>
        <w:t xml:space="preserve">δ</w:t>
      </w:r>
      <w:r>
        <w:t xml:space="preserve">(</w:t>
      </w:r>
      <w:r>
        <w:rPr>
          <w:i/>
          <w:iCs/>
        </w:rPr>
        <w:t xml:space="preserve">t</w:t>
      </w:r>
      <w:r>
        <w:t xml:space="preserve">) +</w:t>
      </w:r>
      <w:r>
        <w:t xml:space="preserve"> </w:t>
      </w:r>
      <w:r>
        <w:rPr>
          <w:i/>
          <w:iCs/>
        </w:rPr>
        <w:t xml:space="preserve">β</w:t>
      </w:r>
      <w:r>
        <w:t xml:space="preserve">_1</w:t>
      </w:r>
      <w:r>
        <w:t xml:space="preserve"> </w:t>
      </w:r>
      <w:r>
        <w:rPr>
          <w:i/>
          <w:iCs/>
        </w:rPr>
        <w:t xml:space="preserve">c</w:t>
      </w:r>
      <w:r>
        <w:t xml:space="preserve">_i +</w:t>
      </w:r>
      <w:r>
        <w:t xml:space="preserve"> </w:t>
      </w:r>
      <w:r>
        <w:rPr>
          <w:i/>
          <w:iCs/>
        </w:rPr>
        <w:t xml:space="preserve">X</w:t>
      </w:r>
      <w:r>
        <w:t xml:space="preserve">_i</w:t>
      </w:r>
      <w:r>
        <w:t xml:space="preserve"> </w:t>
      </w:r>
      <w:r>
        <w:rPr>
          <w:i/>
          <w:iCs/>
        </w:rPr>
        <w:t xml:space="preserve">γ</w:t>
      </w:r>
      <w:r>
        <w:t xml:space="preserve"> </w:t>
      </w:r>
      <w:r>
        <w:t xml:space="preserve">+</w:t>
      </w:r>
      <w:r>
        <w:t xml:space="preserve"> </w:t>
      </w:r>
      <w:r>
        <w:rPr>
          <w:i/>
          <w:iCs/>
        </w:rPr>
        <w:t xml:space="preserve">α</w:t>
      </w:r>
      <w:r>
        <w:t xml:space="preserve">_j,</w:t>
      </w:r>
    </w:p>
    <w:p>
      <w:pPr>
        <w:pStyle w:val="BodyText"/>
        <w:spacing w:line="480" w:lineRule="auto"/>
        <w:ind w:firstLine="720"/>
      </w:pPr>
      <w:r>
        <w:t xml:space="preserve">where</w:t>
      </w:r>
      <w:r>
        <w:t xml:space="preserve"> </w:t>
      </w:r>
      <w:r>
        <w:rPr>
          <w:i/>
          <w:iCs/>
        </w:rPr>
        <w:t xml:space="preserve">δ</w:t>
      </w:r>
      <w:r>
        <w:t xml:space="preserve">(</w:t>
      </w:r>
      <w:r>
        <w:rPr>
          <w:i/>
          <w:iCs/>
        </w:rPr>
        <w:t xml:space="preserve">t</w:t>
      </w:r>
      <w:r>
        <w:t xml:space="preserve">) is a baseline hazard function. Under this form, H0 maps to</w:t>
      </w:r>
      <w:r>
        <w:t xml:space="preserve"> </w:t>
      </w:r>
      <w:r>
        <w:rPr>
          <w:i/>
          <w:iCs/>
        </w:rPr>
        <w:t xml:space="preserve">β</w:t>
      </w:r>
      <w:r>
        <w:t xml:space="preserve">_1 = 0 and H1 maps to</w:t>
      </w:r>
      <w:r>
        <w:t xml:space="preserve"> </w:t>
      </w:r>
      <w:r>
        <w:rPr>
          <w:i/>
          <w:iCs/>
        </w:rPr>
        <w:t xml:space="preserve">β</w:t>
      </w:r>
      <w:r>
        <w:t xml:space="preserve">_1 &lt; 0, a lower completion hazard for ISRU and surface-nuclear milestones. The sign flip against the linear form is mechanical (lower hazard means longer time to completion means larger slip) and leaves the substantive content of the hypotheses untouched.</w:t>
      </w:r>
    </w:p>
    <w:bookmarkEnd w:id="97"/>
    <w:bookmarkStart w:id="98" w:name="falsifiability-conditions"/>
    <w:p>
      <w:pPr>
        <w:pStyle w:val="Heading3"/>
        <w:spacing w:line="480" w:lineRule="auto"/>
      </w:pPr>
      <w:r>
        <w:t xml:space="preserve">3.5.4 Falsifiability conditions</w:t>
      </w:r>
    </w:p>
    <w:p>
      <w:pPr>
        <w:pStyle w:val="FirstParagraph"/>
        <w:spacing w:line="480" w:lineRule="auto"/>
      </w:pPr>
      <w:r>
        <w:t xml:space="preserve">Both directions can break the hypotheses. A coefficient</w:t>
      </w:r>
      <w:r>
        <w:t xml:space="preserve"> </w:t>
      </w:r>
      <w:r>
        <w:rPr>
          <w:i/>
          <w:iCs/>
        </w:rPr>
        <w:t xml:space="preserve">β</w:t>
      </w:r>
      <w:r>
        <w:t xml:space="preserve">_1 that comes out positive and distinguishable from zero at conventional levels (in the linear form) or negative and significant in the hazard form backs H1 and the joint mechanism. A coefficient indistinguishable from zero, or negative in the linear form, breaks H1 and backs H0. A pre-registered minimum-cell-count rule, set in Chapter 4, will decide whether the class cell is large enough to bear the estimation at all; below the threshold, the dissertation reports descriptive statistics rather than a coefficient, to keep from pinning inference on a handful of milestones.</w:t>
      </w:r>
    </w:p>
    <w:p>
      <w:pPr>
        <w:pStyle w:val="BodyText"/>
        <w:spacing w:line="480" w:lineRule="auto"/>
        <w:ind w:firstLine="720"/>
      </w:pPr>
      <w:r>
        <w:t xml:space="preserve">What the dissertation contributes is the coefficient, its sign, its magnitude in months of slip per unit baselined duration, and its confidence interval. It is not a story in prose, and the dissertation will refuse the pull to turn a small or insignificant coefficient into a hedged narrative nod to the joint mechanism. The two companion papers have already shown the discipline this takes: both reported a null on the class flag and a marginal-to-significant tie on the maturity proxy, and both declined to talk the null away [P1, P2]. The dissertation inherits that discipline.</w:t>
      </w:r>
    </w:p>
    <w:bookmarkEnd w:id="98"/>
    <w:bookmarkEnd w:id="99"/>
    <w:bookmarkStart w:id="100" w:name="Xb56d4038a2f18d4ae936482623edfbc18c7e8d6"/>
    <w:p>
      <w:pPr>
        <w:pStyle w:val="Heading2"/>
        <w:spacing w:line="480" w:lineRule="auto"/>
      </w:pPr>
      <w:r>
        <w:t xml:space="preserve">3.6 Relation to the Maturity-Confounding Result and Scope of Claims</w:t>
      </w:r>
    </w:p>
    <w:p>
      <w:pPr>
        <w:pStyle w:val="FirstParagraph"/>
        <w:spacing w:line="480" w:lineRule="auto"/>
      </w:pPr>
      <w:r>
        <w:t xml:space="preserve">Set against the maturity-confounding result the companion papers surfaced, rather than around it, the framework of this chapter carries three implications.</w:t>
      </w:r>
    </w:p>
    <w:p>
      <w:pPr>
        <w:pStyle w:val="BodyText"/>
        <w:spacing w:line="480" w:lineRule="auto"/>
        <w:ind w:firstLine="720"/>
      </w:pPr>
      <w:r>
        <w:t xml:space="preserve">First, it treats the maturity coefficient as theoretically informative in its own right, not a mere control. The estimation-environment, coupling-and-dependency, and baseline-commitment mechanisms together forecast that ISRU and nuclear milestones will enter the baseline at lower readiness than the architectural baseline. The maturity coefficient is the empirical fingerprint of the readiness-to-slip pathway, and its size is a structural parameter of the lunar program portfolio, not a nuisance estimate. The dissertation reports it with the same care it lends the class coefficient.</w:t>
      </w:r>
    </w:p>
    <w:p>
      <w:pPr>
        <w:pStyle w:val="BodyText"/>
        <w:spacing w:line="480" w:lineRule="auto"/>
        <w:ind w:firstLine="720"/>
      </w:pPr>
      <w:r>
        <w:t xml:space="preserve">Second, it fixes what would count as a finding distinct from the maturity-confounding result. Should the class coefficient survive the maturity proxy on the milestone panel, the joint mechanism is operationally consequential at the milestone level even where it is not at the project level, the level the companion papers worked. The dissertation’s disaggregation from project to milestone is the analytical move that could, in principle, yield that finding. Should the class coefficient fail to survive, the project-level null carries down to the milestone level, and the policy lesson is the readiness-threshold lever the second companion paper set out [P2].</w:t>
      </w:r>
    </w:p>
    <w:p>
      <w:pPr>
        <w:pStyle w:val="BodyText"/>
        <w:spacing w:line="480" w:lineRule="auto"/>
        <w:ind w:firstLine="720"/>
      </w:pPr>
      <w:r>
        <w:t xml:space="preserve">Third, it is frank that a class-level coefficient is not, on its own, a verdict on whether ISRU or nuclear capabilities will be ready when the architecture needs them. The economic literature reads these lines as load-bearing [6, 7], and a precise null on the class flag does not mean the architecture’s base is sound. It means only that the slip these lines show is not class-specific in the sense the empirical specification can catch. The chapters ahead hold this distinction sharp, and the dissertation will not fold the methodological null into a substantive reassurance.</w:t>
      </w:r>
    </w:p>
    <w:p>
      <w:pPr>
        <w:pStyle w:val="BodyText"/>
        <w:spacing w:line="480" w:lineRule="auto"/>
        <w:ind w:firstLine="720"/>
      </w:pPr>
      <w:r>
        <w:t xml:space="preserve">The next chapter takes the hypotheses set here and pins down the data, estimation, and pre-registration discipline through which they get tested.</w:t>
      </w:r>
    </w:p>
    <w:bookmarkEnd w:id="100"/>
    <w:bookmarkEnd w:id="101"/>
    <w:bookmarkStart w:id="110" w:name="chapter-4.-data-and-measurement"/>
    <w:p>
      <w:pPr>
        <w:pStyle w:val="Heading1"/>
        <w:spacing w:line="480" w:lineRule="auto"/>
      </w:pPr>
      <w:r>
        <w:t xml:space="preserve">Chapter 4. Data and Measurement</w:t>
      </w:r>
    </w:p>
    <w:bookmarkStart w:id="102" w:name="purpose-of-the-chapter"/>
    <w:p>
      <w:pPr>
        <w:pStyle w:val="Heading2"/>
        <w:spacing w:line="480" w:lineRule="auto"/>
      </w:pPr>
      <w:r>
        <w:t xml:space="preserve">4.1 Purpose of the Chapter</w:t>
      </w:r>
    </w:p>
    <w:p>
      <w:pPr>
        <w:pStyle w:val="FirstParagraph"/>
        <w:spacing w:line="480" w:lineRule="auto"/>
      </w:pPr>
      <w:r>
        <w:t xml:space="preserve">Two empirical papers anchor this dissertation, and both stand on a purposely spare evidentiary base: a record, put together by hand, of NASA development milestones whose baseline and realized schedule dates trace to published government audits. Chapter 3 fixed the estimators and the identification logic they take for granted. This chapter meets the duty that comes ahead of any such design, which is to spell out, down at the level of primary records, what the data really are. It names the authoritative source of every baseline and realized date feeding the analysis, fixes the unit of analysis for the cross-section paper and the panel paper, walks each variable’s build from primary records, and catalogs the coding rules, illustrative rows, and provenance disciplines that steer the dataset. Nothing here reports new findings; it is a measurement appendix stretched to chapter length so the empirical chapters ahead can be read with full sight of the data underneath them.</w:t>
      </w:r>
    </w:p>
    <w:p>
      <w:pPr>
        <w:pStyle w:val="BodyText"/>
        <w:spacing w:line="480" w:lineRule="auto"/>
        <w:ind w:firstLine="720"/>
      </w:pPr>
      <w:r>
        <w:t xml:space="preserve">Five concerns give the chapter its shape. Section 4.2 fixes the unit of analysis for each paper and says why the two papers run on different yet kindred units. Section 4.3 lists the authoritative sources the schedule information comes from and the document-level citation discipline lashing each row to a primary record. Section 4.4 fixes the outcome variable, normalized slip in the cross-section paper and cumulative slip in the panel paper, and shows how each gets built from baseline and realized dates. Section 4.5 fixes the principal regressor, the ISRU and nuclear class flag, and the coding rule that steers how it gets assigned. Section 4.6 fixes the three covariates: baselined planned duration, calendar year of baseline, and baseline technology readiness level. Section 4.7 catalogs the illustrative rows brought in where a documented baseline simply could not be had from the public record. Section 4.8 shuts with a statement of the measurement-validity threats the data build is meant to defuse and the residual threats the analytic chapters have to keep owning.</w:t>
      </w:r>
    </w:p>
    <w:bookmarkEnd w:id="102"/>
    <w:bookmarkStart w:id="103" w:name="unit-of-analysis"/>
    <w:p>
      <w:pPr>
        <w:pStyle w:val="Heading2"/>
        <w:spacing w:line="480" w:lineRule="auto"/>
      </w:pPr>
      <w:r>
        <w:t xml:space="preserve">4.2 Unit of Analysis</w:t>
      </w:r>
    </w:p>
    <w:p>
      <w:pPr>
        <w:pStyle w:val="FirstParagraph"/>
        <w:spacing w:line="480" w:lineRule="auto"/>
      </w:pPr>
      <w:r>
        <w:t xml:space="preserve">The prospectus having named the architecture milestone as its unit of analysis, the two empirical papers carry that out along kindred axes. The first paper, the cross-project fixed-covariate regression, takes the milestone as its unit and gathers twenty-eight rows, each row a NASA major-project milestone whose baseline and realized completion dates trace to the authoritative public record. Here a milestone is the smallest schedule object a NASA program’s committed baseline pins to a calendar date and the Government Accountability Office’s annual assessment reports on its own line. Common cases run to a launch readiness date, a critical design review, delivery of a major flight element, or a system-level integrated test campaign. Why the milestone? The central question, whether the ISRU and nuclear class runs later than the architectural baseline classes, is a within-program question demanding comparison across capability lines inside one program. The milestone is the coarsest grain at which capability-line sorting still holds up against ambiguity.</w:t>
      </w:r>
    </w:p>
    <w:p>
      <w:pPr>
        <w:pStyle w:val="BodyText"/>
        <w:spacing w:line="480" w:lineRule="auto"/>
        <w:ind w:firstLine="720"/>
      </w:pPr>
      <w:r>
        <w:t xml:space="preserve">The second paper, the panel cross-section of NASA development projects, takes the project as its unit of analysis. Thirty rows answer to thirty NASA major projects, each carrying the project’s committed baseline launch-readiness date, its latest reported readiness date, and the cumulative months of slip dividing the two. Reaching for the project rather than the milestone in the second paper follows from the dependent variable that paper aims to fit: cumulative slip against the committed baseline at project level is the figure the GAO Assessments of Major Projects publishes most steadily across years and across project types. Fitting a project-level slip tie lets the second paper handle the right-censoring that crops up when a milestone stays unfinished at the observation cutoff, by working at the level where the GAO already pools censoring information. The two units do not clash. The milestone-level cross-section in the first paper settles the architectural question of whether the class flag bites within a program; the project-level cross-section in the second settles the portfolio question of whether the class flag bites across the agency’s major-project portfolio once maturity, scale, and crew status are held fixed.</w:t>
      </w:r>
    </w:p>
    <w:p>
      <w:pPr>
        <w:pStyle w:val="BodyText"/>
        <w:spacing w:line="480" w:lineRule="auto"/>
        <w:ind w:firstLine="720"/>
      </w:pPr>
      <w:r>
        <w:t xml:space="preserve">At row level, the rule mapping a row onto a unit is documented. In the milestone dataset, the row identifier is the program-milestone composite the GAO uses in its assessment tables. In the project dataset, the row identifier is the project name NASA uses in its annual project plans and the GAO uses in its project chapters. No row identifier in either dataset is built by the researcher. Every one traces back to an agency or audit document.</w:t>
      </w:r>
    </w:p>
    <w:bookmarkEnd w:id="103"/>
    <w:bookmarkStart w:id="104" w:name="authoritative-sources"/>
    <w:p>
      <w:pPr>
        <w:pStyle w:val="Heading2"/>
        <w:spacing w:line="480" w:lineRule="auto"/>
      </w:pPr>
      <w:r>
        <w:t xml:space="preserve">4.3 Authoritative Sources</w:t>
      </w:r>
    </w:p>
    <w:p>
      <w:pPr>
        <w:pStyle w:val="FirstParagraph"/>
        <w:spacing w:line="480" w:lineRule="auto"/>
      </w:pPr>
      <w:r>
        <w:t xml:space="preserve">The evidentiary base is kept lean. Both papers pull their empirical core from one annual series and a short set of corroborating audits. The lead series is the Government Accountability Office’s Assessments of Major NASA Projects, put out each year and keyed by GAO product identifier. Three editions feed the dataset straight through: GAO-23-106021, GAO-24-106767, and GAO-25-107591</w:t>
      </w:r>
      <w:r>
        <w:t xml:space="preserve"> </w:t>
      </w:r>
      <w:hyperlink w:anchor="ref-13">
        <w:r>
          <w:rPr>
            <w:rStyle w:val="Hyperlink"/>
          </w:rPr>
          <w:t xml:space="preserve">[13]</w:t>
        </w:r>
      </w:hyperlink>
      <w:r>
        <w:t xml:space="preserve">. Each edition sets down, for every NASA project in the agency’s major-project portfolio, the committed baseline launch-readiness date, the current reported launch-readiness date, the cumulative schedule slip, the original life-cycle cost, the current life-cycle cost, and the technology readiness levels of the project’s critical technologies at the moment of baseline commitment. Why lean on this series as authoritative? The GAO assessments are statutorily mandated. They come out under audit standards that demand document-level corroboration of every figure reported, and they carry stable identifiers that let any reader pull the original report and check any figure that shows up in the dataset.</w:t>
      </w:r>
    </w:p>
    <w:p>
      <w:pPr>
        <w:pStyle w:val="BodyText"/>
        <w:spacing w:line="480" w:lineRule="auto"/>
        <w:ind w:firstLine="720"/>
      </w:pPr>
      <w:r>
        <w:t xml:space="preserve">Second is the GAO’s standalone Artemis report, GAO-24-106256, which sets down schedule and cost information at the Artemis program level and takes up milestones the annual major-project assessments treat more thinly, the human landing system, the exploration ground systems, and the Artemis cadence as a whole in particular</w:t>
      </w:r>
      <w:r>
        <w:t xml:space="preserve"> </w:t>
      </w:r>
      <w:hyperlink w:anchor="ref-14">
        <w:r>
          <w:rPr>
            <w:rStyle w:val="Hyperlink"/>
          </w:rPr>
          <w:t xml:space="preserve">[14]</w:t>
        </w:r>
      </w:hyperlink>
      <w:r>
        <w:t xml:space="preserve">. The Artemis-specific report feeds the milestone dataset with baseline and realized dates for milestones the annual assessments never list at the same grain, such as the Mobile Launcher 2 critical design milestones and the human landing system intermediate deliverables. Every row leaning on GAO-24-106256 names it outright in the source field.</w:t>
      </w:r>
    </w:p>
    <w:p>
      <w:pPr>
        <w:pStyle w:val="BodyText"/>
        <w:spacing w:line="480" w:lineRule="auto"/>
        <w:ind w:firstLine="720"/>
      </w:pPr>
      <w:r>
        <w:t xml:space="preserve">Third is the NASA Office of Inspector General, which puts out project-specific audits carrying baseline and realized dates at finer grain than the GAO series for projects under active audit. Two such reports feed the dataset: NASA OIG IG-24-016 on the management of Mobile Launcher 2</w:t>
      </w:r>
      <w:r>
        <w:t xml:space="preserve"> </w:t>
      </w:r>
      <w:hyperlink w:anchor="ref-15">
        <w:r>
          <w:rPr>
            <w:rStyle w:val="Hyperlink"/>
          </w:rPr>
          <w:t xml:space="preserve">[15]</w:t>
        </w:r>
      </w:hyperlink>
      <w:r>
        <w:t xml:space="preserve"> </w:t>
      </w:r>
      <w:r>
        <w:t xml:space="preserve">and NASA OIG IG-25-011 on the management of Dragonfly</w:t>
      </w:r>
      <w:r>
        <w:t xml:space="preserve"> </w:t>
      </w:r>
      <w:hyperlink w:anchor="ref-16">
        <w:r>
          <w:rPr>
            <w:rStyle w:val="Hyperlink"/>
          </w:rPr>
          <w:t xml:space="preserve">[16]</w:t>
        </w:r>
      </w:hyperlink>
      <w:r>
        <w:t xml:space="preserve">. These come into play where the milestone at hand is under an active OIG audit and where the OIG’s documented baseline date is the strongest figure to be had. Where an OIG report and a GAO assessment part ways on a baseline date, the dataset takes the earliest baseline either report documents, following the rebaselining discipline of Section 4.4.</w:t>
      </w:r>
    </w:p>
    <w:p>
      <w:pPr>
        <w:pStyle w:val="BodyText"/>
        <w:spacing w:line="480" w:lineRule="auto"/>
        <w:ind w:firstLine="720"/>
      </w:pPr>
      <w:r>
        <w:t xml:space="preserve">The Acta Astronautica literature feeds the dataset only as a corroborating source for the technology-maturity proxy and for sorting milestones into capability classes, never as a source of baseline or realized dates. The Delphi survey of ISRU deployment at a 2040 lunar outpost [1, 33] backs the maturity call for ISRU milestones whose readiness level the GAO record never states outright. The hybrid lunar ISRU plant comparison [4, 11] backs the sorting of ISRU milestones into oxygen-production and water-extraction subclasses, though the cross-section paper folds both into the single ISRU class. The integrated ISRU system-design and logistics study</w:t>
      </w:r>
      <w:r>
        <w:t xml:space="preserve"> </w:t>
      </w:r>
      <w:hyperlink w:anchor="ref-17">
        <w:r>
          <w:rPr>
            <w:rStyle w:val="Hyperlink"/>
          </w:rPr>
          <w:t xml:space="preserve">[17]</w:t>
        </w:r>
      </w:hyperlink>
      <w:r>
        <w:t xml:space="preserve"> </w:t>
      </w:r>
      <w:r>
        <w:t xml:space="preserve">and the cis-lunar resource-economy systems model</w:t>
      </w:r>
      <w:r>
        <w:t xml:space="preserve"> </w:t>
      </w:r>
      <w:hyperlink w:anchor="ref-18">
        <w:r>
          <w:rPr>
            <w:rStyle w:val="Hyperlink"/>
          </w:rPr>
          <w:t xml:space="preserve">[18]</w:t>
        </w:r>
      </w:hyperlink>
      <w:r>
        <w:t xml:space="preserve"> </w:t>
      </w:r>
      <w:r>
        <w:t xml:space="preserve">back the architectural dependency claims that justify treating ISRU as one class rather than a mixed bag of unrelated payloads. The americium-fuelled radioisotope Stirling generator study [9, 19] backs the sorting of nuclear surface-power milestones into fission and radioisotope subclasses, again folded into one nuclear class for the empirical runs. The flexible lunar architecture study</w:t>
      </w:r>
      <w:r>
        <w:t xml:space="preserve"> </w:t>
      </w:r>
      <w:hyperlink w:anchor="ref-20">
        <w:r>
          <w:rPr>
            <w:rStyle w:val="Hyperlink"/>
          </w:rPr>
          <w:t xml:space="preserve">[20]</w:t>
        </w:r>
      </w:hyperlink>
      <w:r>
        <w:t xml:space="preserve"> </w:t>
      </w:r>
      <w:r>
        <w:t xml:space="preserve">backs the architectural baseline the ISRU and nuclear classes get measured against. The probabilistic risk assessment framework for Artemis</w:t>
      </w:r>
      <w:r>
        <w:t xml:space="preserve"> </w:t>
      </w:r>
      <w:hyperlink w:anchor="ref-12">
        <w:r>
          <w:rPr>
            <w:rStyle w:val="Hyperlink"/>
          </w:rPr>
          <w:t xml:space="preserve">[12]</w:t>
        </w:r>
      </w:hyperlink>
      <w:r>
        <w:t xml:space="preserve"> </w:t>
      </w:r>
      <w:r>
        <w:t xml:space="preserve">backs treating first-of-kind systems as the leading source of programmatic uncertainty, which is the theoretical ground for folding the maturity proxy in as a covariate rather than as the treatment.</w:t>
      </w:r>
    </w:p>
    <w:p>
      <w:pPr>
        <w:pStyle w:val="BodyText"/>
        <w:spacing w:line="480" w:lineRule="auto"/>
        <w:ind w:firstLine="720"/>
      </w:pPr>
      <w:r>
        <w:t xml:space="preserve">Every row of both datasets is lashed to a primary record by document-level citation discipline. Each row in the milestone dataset carries a source field naming the GAO or OIG document and, where it matters, the page or table the baseline and realized dates come from. Each row in the project dataset carries a source field naming the GAO edition and, where it matters, the corroborating OIG report. The Acta Astronautica references are held to the corroborating roles just described and never enter the source field of a row whose baseline or realized date leans on them. So the dataset can be rebuilt end to end from the public record, and any reader who pulls the named GAO and OIG documents can check every baseline date, every realized date, and every readiness level the empirical chapters draw on.</w:t>
      </w:r>
    </w:p>
    <w:bookmarkEnd w:id="104"/>
    <w:bookmarkStart w:id="105" w:name="the-outcome-variable"/>
    <w:p>
      <w:pPr>
        <w:pStyle w:val="Heading2"/>
        <w:spacing w:line="480" w:lineRule="auto"/>
      </w:pPr>
      <w:r>
        <w:t xml:space="preserve">4.4 The Outcome Variable</w:t>
      </w:r>
    </w:p>
    <w:p>
      <w:pPr>
        <w:pStyle w:val="FirstParagraph"/>
        <w:spacing w:line="480" w:lineRule="auto"/>
      </w:pPr>
      <w:r>
        <w:t xml:space="preserve">Slip gets measured one way in the first paper and another in the second, and the split is principled. The first computes normalized slip at milestone level. The second computes cumulative slip at project level. Both come off the same kind of primary record, a baseline date from a GAO or OIG document and a realized or latest-reported date from that same document or its successor, yet they serve different inferential ends.</w:t>
      </w:r>
    </w:p>
    <w:p>
      <w:pPr>
        <w:pStyle w:val="BodyText"/>
        <w:spacing w:line="480" w:lineRule="auto"/>
        <w:ind w:firstLine="720"/>
      </w:pPr>
      <w:r>
        <w:t xml:space="preserve">Normalized slip in the cross-project regression is set as the count of months from a milestone’s earliest baselined target completion date to its realized completion date, divided by the milestone’s baselined planned duration in months. The numerator is the schedule overrun in months: realized completion minus earliest baselined target, positive when realized completion lands later than target. The denominator is the milestone’s planned duration in months, the count of months from the start of the milestone’s baselined period of performance to its earliest baselined target completion. Dividing by planned duration is a chosen move, not a shortcut. A two-year overrun on a six-year flagship milestone and a two-year overrun on a three-year smallsat milestone are not one phenomenon, even where the numerator matches. The scale matters. Dividing by planned duration puts long and short milestones on one scale and strips out the mechanical scale dependence an unnormalized measure would drag into the regression. The first paper’s specification, an ordinary least squares fit with heteroskedasticity-robust standard errors, needs that scale invariance to read the class flag’s coefficient as a slip premium per unit baseline duration rather than per absolute month.</w:t>
      </w:r>
    </w:p>
    <w:p>
      <w:pPr>
        <w:pStyle w:val="BodyText"/>
        <w:spacing w:line="480" w:lineRule="auto"/>
        <w:ind w:firstLine="720"/>
      </w:pPr>
      <w:r>
        <w:t xml:space="preserve">Cumulative slip in the cross-section of thirty NASA development projects is set as the count of months from a project’s committed baseline launch-readiness date to its latest reported launch-readiness date, or to its readiness date at cancellation for terminated projects. The numerator is the schedule overrun at project level: latest reported readiness date minus committed baseline readiness date. The denominator is unity; the project paper skips normalization because its project-level dependent variable is meant to be read in absolute months. That reading rests on the GAO series’ standard habit of reporting project-level slip in absolute months and on the analytic pull of a per-billion-dollar cost coefficient and a per-readiness-level maturity coefficient, both of which sit most naturally in months of slip rather than dimensionless ratios. So the two outcome variables measure one underlying thing, schedule overrun against a committed baseline, yet cast it at the level each paper’s inferential end calls for.</w:t>
      </w:r>
    </w:p>
    <w:p>
      <w:pPr>
        <w:pStyle w:val="BodyText"/>
        <w:spacing w:line="480" w:lineRule="auto"/>
        <w:ind w:firstLine="720"/>
      </w:pPr>
      <w:r>
        <w:t xml:space="preserve">Three conventions govern how both outcome variables get built. First is the earliest-baseline convention. The baseline date used to compute slip is the earliest baselined target the GAO and OIG record documents, not the most recent. Programs rebaseline often. A rebaseline can reset the target and bury slip whenever slip is gauged against the most recent baseline, so anchoring to the earliest documented baseline catches rebaselining as slip rather than erasing it, the discipline the prospectus pledged and both empirical chapters keep. Second is the latest-reported convention for ongoing milestones and projects. For those unfinished at the observation cutoff, the realized date is the latest reported readiness or completion date in the newest GAO edition that names them. The second paper’s regression takes these latest-reported values as the realized values for estimation, so its dependent variable gauges slip-to-date rather than terminal slip; the panel specification in later chapters handles the resulting right-censoring through a hazard model rather than a completed-only regression. Third is the cancellation convention. For projects killed before completion, the realized date is the readiness date at cancellation. That convention grants that a cancelled project’s slip at the moment of cancellation undersells the eventual schedule cost that would have piled up had the project run to completion, an underselling owned as a residual validity threat in Section 4.8.</w:t>
      </w:r>
    </w:p>
    <w:p>
      <w:pPr>
        <w:pStyle w:val="BodyText"/>
        <w:spacing w:line="480" w:lineRule="auto"/>
        <w:ind w:firstLine="720"/>
      </w:pPr>
      <w:r>
        <w:t xml:space="preserve">Months are the outcome variable’s unit in both papers. Where the GAO record reports slip in days, the value gets turned to months by dividing by thirty and rounding to the nearest tenth, the convention documented at row level. Where the GAO record reports a date range rather than a single date, the range’s midpoint is taken and the row gets flagged illustrative under the discipline of Section 4.7.</w:t>
      </w:r>
    </w:p>
    <w:bookmarkEnd w:id="105"/>
    <w:bookmarkStart w:id="106" w:name="the-principal-regressor"/>
    <w:p>
      <w:pPr>
        <w:pStyle w:val="Heading2"/>
        <w:spacing w:line="480" w:lineRule="auto"/>
      </w:pPr>
      <w:r>
        <w:t xml:space="preserve">4.5 The Principal Regressor</w:t>
      </w:r>
    </w:p>
    <w:p>
      <w:pPr>
        <w:pStyle w:val="FirstParagraph"/>
        <w:spacing w:line="480" w:lineRule="auto"/>
      </w:pPr>
      <w:r>
        <w:t xml:space="preserve">In both papers the principal regressor is a binary class flag set to one where the milestone’s or project’s chief deliverable is an ISRU or fission surface power or radioisotope surface power capability, and to zero otherwise.</w:t>
      </w:r>
    </w:p>
    <w:p>
      <w:pPr>
        <w:pStyle w:val="BodyText"/>
        <w:spacing w:line="480" w:lineRule="auto"/>
        <w:ind w:firstLine="720"/>
      </w:pPr>
      <w:r>
        <w:t xml:space="preserve">The coding rule runs cautious. A milestone or project lands in the treatment class only where the ISRU or nuclear capability is its chief deliverable, meaning the capability whose successful demonstration is the milestone’s or project’s defining purpose. Carrier vehicles hosting ISRU demonstration payloads do not themselves land as ISRU; the carrier’s chief deliverable is the carrier, and the ISRU payload’s sorting follows its own milestone where one sits separately in the record. In the same way, a lunar lander carrying a radioisotope power source for its own operation does not land as nuclear; the lander’s chief deliverable is the lander, and the power source enters the analysis only where a separate milestone for the power source itself shows up in the record.</w:t>
      </w:r>
    </w:p>
    <w:p>
      <w:pPr>
        <w:pStyle w:val="BodyText"/>
        <w:spacing w:line="480" w:lineRule="auto"/>
        <w:ind w:firstLine="720"/>
      </w:pPr>
      <w:r>
        <w:t xml:space="preserve">Set beside the cautious rule, documented as a coding decision, is a sensitivity analysis under an inclusive rule where a milestone lands in the treatment class whenever its chief deliverable carries ISRU or nuclear content as an integrated part, not only where ISRU or nuclear is the defining purpose. That sensitivity analysis gets reported in the empirical chapter that fits the regression, not in this measurement chapter. Laying the rule out here surfaces the call that sorts, say, a Commercial Lunar Payload Services delivery as non-ISRU where its chief deliverable is the delivery rather than the payload, and as ISRU under the inclusive rule where an ISRU experiment rides among the payloads it hauls.</w:t>
      </w:r>
    </w:p>
    <w:p>
      <w:pPr>
        <w:pStyle w:val="BodyText"/>
        <w:spacing w:line="480" w:lineRule="auto"/>
        <w:ind w:firstLine="720"/>
      </w:pPr>
      <w:r>
        <w:t xml:space="preserve">The ISRU class gathers milestones and projects whose chief deliverable is the extraction, processing, or production of resources from lunar regolith or polar volatiles. It takes in oxygen production from regolith reduction, water extraction from polar volatiles, manufacture of structures or consumables from local material, and pilot facilities fusing any of these processes [2, 4, 8, 11, 17, 34, 35]. It also takes in the photobioreactor and life-support production milestones the literature reads as ISRU-adjacent on the ground that their inputs are local material and their outputs are life-support consumables</w:t>
      </w:r>
      <w:r>
        <w:t xml:space="preserve"> </w:t>
      </w:r>
      <w:hyperlink w:anchor="ref-3">
        <w:r>
          <w:rPr>
            <w:rStyle w:val="Hyperlink"/>
          </w:rPr>
          <w:t xml:space="preserve">[3]</w:t>
        </w:r>
      </w:hyperlink>
      <w:r>
        <w:t xml:space="preserve">. It leaves out milestones whose chief deliverable is a transportation, habitation, mobility, or communications capability leaning on ISRU output as a downstream input, since such milestones never demonstrate ISRU themselves.</w:t>
      </w:r>
    </w:p>
    <w:p>
      <w:pPr>
        <w:pStyle w:val="BodyText"/>
        <w:spacing w:line="480" w:lineRule="auto"/>
        <w:ind w:firstLine="720"/>
      </w:pPr>
      <w:r>
        <w:t xml:space="preserve">The nuclear class gathers milestones and projects whose chief deliverable is producing surface power by nuclear means, taking in fission surface power, radioisotope thermoelectric generators, and radioisotope Stirling generators sized for lunar surface or surface mobility work [9, 19]. It leaves out nuclear propulsion and in-space nuclear power milestones whose chief deliverable is a transit or orbital capability rather than a surface capability, since the prospectus holds the nuclear class to surface power.</w:t>
      </w:r>
    </w:p>
    <w:p>
      <w:pPr>
        <w:pStyle w:val="BodyText"/>
        <w:spacing w:line="480" w:lineRule="auto"/>
        <w:ind w:firstLine="720"/>
      </w:pPr>
      <w:r>
        <w:t xml:space="preserve">The resulting cell runs small. Eight of the twenty-eight rows in the milestone dataset fall in the combined ISRU and nuclear class. The remaining twenty rows make up the architectural baseline the class coefficient gets fitted against and take in milestones across transportation and landers, habitation and life support, communications and domain awareness, ground systems, and a comparison set of science missions. How the baseline class is composed is deliberate. Spanning several capability lines rather than pinning comparison to one, the baseline soaks up the slip variation coming from capability-line heterogeneity within a program and lets the class coefficient get pinned off the contrast between ISRU and nuclear milestones and their sibling lines inside one program. The second paper’s project-level dataset runs the same coding rule at project level, its frontier flag carrying the same reading.</w:t>
      </w:r>
    </w:p>
    <w:bookmarkEnd w:id="106"/>
    <w:bookmarkStart w:id="107" w:name="the-covariates"/>
    <w:p>
      <w:pPr>
        <w:pStyle w:val="Heading2"/>
        <w:spacing w:line="480" w:lineRule="auto"/>
      </w:pPr>
      <w:r>
        <w:t xml:space="preserve">4.6 The Covariates</w:t>
      </w:r>
    </w:p>
    <w:p>
      <w:pPr>
        <w:pStyle w:val="FirstParagraph"/>
        <w:spacing w:line="480" w:lineRule="auto"/>
      </w:pPr>
      <w:r>
        <w:t xml:space="preserve">Three covariates enter both regressions, each built off the same primary record. First is the baselined planned duration of the milestone or project in months, the count of months from the start of the baselined period of performance to the earliest baselined target completion. Planned duration enters the milestone-level regression both as the denominator of the normalized slip outcome and as an explanatory covariate, the latter to soak up residual scale effects in slip that normalization never fully clears. Planned duration enters the project-level regression as the project’s life-cycle cost in billions of dollars, a complexity proxy rather than a duration proxy, on the ground that the GAO series reports project complexity through life-cycle cost more steadily than through duration. The swap is documented and justified by the GAO’s own use of life-cycle cost as the lead scale variable in its project assessments.</w:t>
      </w:r>
    </w:p>
    <w:p>
      <w:pPr>
        <w:pStyle w:val="BodyText"/>
        <w:spacing w:line="480" w:lineRule="auto"/>
        <w:ind w:firstLine="720"/>
      </w:pPr>
      <w:r>
        <w:t xml:space="preserve">Second is the calendar year of the earliest baselined target. Calendar year enters both regressions as a control for vintage effects catching shifts in agency baseline discipline, in technology forecasting practice, and in the political and budget world projects get baselined in. Calendar year is built from the date of the earliest baseline document naming the milestone or project, usually a project’s Key Decision Point C documentation but now and then a precursor request for information or requirements document. That latter case fits ISRU and fission surface power milestones whose baseline predates GAO tracking, where the baseline date comes from the original NASA request for information or requirements document that set it, matching the habit the Delphi survey of ISRU deployment follows when it sources its fission surface power requirement to a NASA RFI [1, 33].</w:t>
      </w:r>
    </w:p>
    <w:p>
      <w:pPr>
        <w:pStyle w:val="BodyText"/>
        <w:spacing w:line="480" w:lineRule="auto"/>
        <w:ind w:firstLine="720"/>
      </w:pPr>
      <w:r>
        <w:t xml:space="preserve">Third is the baseline technology readiness level, coded on the standard nine-point scale and pinned to the milestone’s or project’s critical technology at the moment the baseline is locked. The GAO Assessments of Major Projects report technology readiness levels at baseline for each tracked project’s critical technologies, and the dataset takes the GAO-reported value where it is on hand. Where the GAO record states no readiness level at baseline for a milestone, the readiness level comes from the corroborating literature. ISRU milestones whose baseline predates GAO tracking get readiness levels matched to the Delphi survey’s read on ISRU technology maturity at the time of baseline [1, 33]. Nuclear surface power milestones whose baseline predates GAO tracking get readiness levels matched to the radioisotope Stirling generator literature’s read on nuclear surface power maturity at the time of baseline [9, 19]. The coarse readiness proxy stands owned as a blunt instrument and gets described that way in the discussion sections of both empirical papers; here the chapter notes only that the proxy is built off primary records and documented at row level, the source of every readiness value named in the source field.</w:t>
      </w:r>
    </w:p>
    <w:bookmarkEnd w:id="107"/>
    <w:bookmarkStart w:id="108" w:name="illustrative-observations"/>
    <w:p>
      <w:pPr>
        <w:pStyle w:val="Heading2"/>
        <w:spacing w:line="480" w:lineRule="auto"/>
      </w:pPr>
      <w:r>
        <w:t xml:space="preserve">4.7 Illustrative Observations</w:t>
      </w:r>
    </w:p>
    <w:p>
      <w:pPr>
        <w:pStyle w:val="FirstParagraph"/>
        <w:spacing w:line="480" w:lineRule="auto"/>
      </w:pPr>
      <w:r>
        <w:t xml:space="preserve">A handful of illustrative rows enter the dataset where a documented baseline duration or readiness level simply could not be had from the public record. In the milestone dataset, three of the twenty-eight rows carry the illustrative mark, under eleven percent of the sample. These three answer to ISRU pilot-facility and reduction-pathway milestones whose baseline duration the GAO record never stated at a single committed value but gave as a range or drew from agency planning documents that pinned no calendar date. For each illustrative row, the baseline duration is anchored to the published ISRU architecture literature, the hybrid lunar ISRU plant comparison [4, 11] and the integrated ISRU system-design and logistics study</w:t>
      </w:r>
      <w:r>
        <w:t xml:space="preserve"> </w:t>
      </w:r>
      <w:hyperlink w:anchor="ref-17">
        <w:r>
          <w:rPr>
            <w:rStyle w:val="Hyperlink"/>
          </w:rPr>
          <w:t xml:space="preserve">[17]</w:t>
        </w:r>
      </w:hyperlink>
      <w:r>
        <w:t xml:space="preserve"> </w:t>
      </w:r>
      <w:r>
        <w:t xml:space="preserve">in particular, and the readiness level is anchored to the Delphi survey of ISRU deployment [1, 33]. Their illustrative status is documented in the source field, and the empirical chapter that fits the regression reports the class coefficient both with and without the illustrative rows as a sensitivity check.</w:t>
      </w:r>
    </w:p>
    <w:p>
      <w:pPr>
        <w:pStyle w:val="BodyText"/>
        <w:spacing w:line="480" w:lineRule="auto"/>
        <w:ind w:firstLine="720"/>
      </w:pPr>
      <w:r>
        <w:t xml:space="preserve">In the project dataset, four of the thirty rows carry the illustrative mark, under fifteen percent of the sample. These four answer to projects where the GAO record gives a range of committed launch-readiness dates or where the project’s baseline was locked before the GAO began reporting it at a single value. For each illustrative row, the baseline date is built as the midpoint of the documented range, the readiness level comes from the corroborating Acta Astronautica literature, and the illustrative status is documented in the source field. The empirical chapter that fits the project-level regression reports the frontier coefficient both with and without the illustrative rows as a sensitivity check.</w:t>
      </w:r>
    </w:p>
    <w:p>
      <w:pPr>
        <w:pStyle w:val="BodyText"/>
        <w:spacing w:line="480" w:lineRule="auto"/>
        <w:ind w:firstLine="720"/>
      </w:pPr>
      <w:r>
        <w:t xml:space="preserve">Leaning on illustrative rows is a measurement compromise the dataset owns rather than hides. Dropping the affected rows was the alternative. That path would shrink the ISRU and nuclear cell to a count too small to bear estimation. The illustrative rows carry forward the architectural and maturity information the corroborating literature documents without faking it into a single committed baseline the public record never holds. Their flagged status keeps the reader able to weigh how much of the empirical finding leans on them.</w:t>
      </w:r>
    </w:p>
    <w:bookmarkEnd w:id="108"/>
    <w:bookmarkStart w:id="109" w:name="X96a8fa19b9042c411cf60237d5529b3b7ae6fc0"/>
    <w:p>
      <w:pPr>
        <w:pStyle w:val="Heading2"/>
        <w:spacing w:line="480" w:lineRule="auto"/>
      </w:pPr>
      <w:r>
        <w:t xml:space="preserve">4.8 Threats to Measurement Validity and Residual Risks</w:t>
      </w:r>
    </w:p>
    <w:p>
      <w:pPr>
        <w:pStyle w:val="FirstParagraph"/>
        <w:spacing w:line="480" w:lineRule="auto"/>
      </w:pPr>
      <w:r>
        <w:t xml:space="preserve">Four measurement-validity threats get met in how the dataset is built, and three residual risks stay behind. Rebaselining censorship, the first, gets defused by the earliest-baseline convention of Section 4.4: slip anchors to the earliest documented baseline rather than the most recent, so rebaselining reads as slip rather than vanishing. Classification leakage, the second, gets defused by the cautious coding rule for the class flag of Section 4.5: a milestone lands in the treatment class only where ISRU or nuclear is its chief deliverable, with a sensitivity analysis under an inclusive rule reported in the empirical chapter. Maturity confounding, the third, gets met by folding the baseline readiness level in as a covariate per Section 4.6, the class coefficient reported both with and without the maturity proxy in the empirical chapters; that is a feature of the design rather than a measurement call, and this chapter notes only that the maturity proxy is built off primary records. Small-sample and censoring fragility, the fourth, gets partly met at the measurement stage by the project-level dataset’s coverage of the GAO portfolio at the unit where the GAO reports censoring information, and fully met at the estimation stage by the discrete-time hazard specification the second paper keeps for handling right-censored milestones.</w:t>
      </w:r>
    </w:p>
    <w:p>
      <w:pPr>
        <w:pStyle w:val="BodyText"/>
        <w:spacing w:line="480" w:lineRule="auto"/>
        <w:ind w:firstLine="720"/>
      </w:pPr>
      <w:r>
        <w:t xml:space="preserve">Three residual risks stay behind. First, the cancellation convention for killed projects undersells the eventual schedule cost that would have piled up had the project run to completion, an underselling the empirical chapters own. Second, the coarse nine-point readiness scale is itself an agency judgment prone to optimism at the moment of baseline commitment, and the maturity coefficient may get attenuated by measurement error in the readiness call; the empirical chapters report the class coefficient both with and without the maturity proxy precisely so the reader can weigh how sensitive the class finding is to maturity measurement. Third, the illustrative rows seed measurement noise into the dependent variable that the sensitivity checks in the empirical chapters are built to bound. None of these residual risks is hidden; each is named at row level in the dataset and owned in the discussion sections of both empirical papers.</w:t>
      </w:r>
    </w:p>
    <w:p>
      <w:pPr>
        <w:pStyle w:val="BodyText"/>
        <w:spacing w:line="480" w:lineRule="auto"/>
        <w:ind w:firstLine="720"/>
      </w:pPr>
      <w:r>
        <w:t xml:space="preserve">The measurement architecture set down in this chapter carries the inferential claims of the empirical chapters ahead without overselling what the dataset can bear. The cross-project milestone regression in the first paper fits a class coefficient on a panel of twenty-eight milestone rows built from GAO and OIG records under the earliest-baseline convention and the cautious coding rule. The project-level regression in the second fits a frontier coefficient on a cross-section of thirty project rows built from the same record under the same conventions. The architectural baseline the class and frontier coefficients get fitted against is made of capability lines drawn from one NASA portfolio, so the comparison runs inside the agency’s own architecture rather than against an outside benchmark. The maturity proxy that lets the class coefficient read as a class effect rather than a maturity effect is built off primary records and the corroborating Acta Astronautica literature [1, 9, 11, 17, 33], and gets reported at row level so the reader can replicate or contest the call. The dataset can be rebuilt end to end from the public GAO and OIG record, and the empirical chapters ahead are written so their findings can be weighed against the measurement decisions set down here rather than against unstated assumptions about how schedule slip got measured.</w:t>
      </w:r>
    </w:p>
    <w:bookmarkEnd w:id="109"/>
    <w:bookmarkEnd w:id="110"/>
    <w:bookmarkStart w:id="118" w:name="chapter-5.-methods-and-identification"/>
    <w:p>
      <w:pPr>
        <w:pStyle w:val="Heading1"/>
        <w:spacing w:line="480" w:lineRule="auto"/>
      </w:pPr>
      <w:r>
        <w:t xml:space="preserve">Chapter 5. Methods and Identification</w:t>
      </w:r>
    </w:p>
    <w:bookmarkStart w:id="111" w:name="overview-of-the-empirical-strategy"/>
    <w:p>
      <w:pPr>
        <w:pStyle w:val="Heading2"/>
        <w:spacing w:line="480" w:lineRule="auto"/>
      </w:pPr>
      <w:r>
        <w:t xml:space="preserve">5.1 Overview of the Empirical Strategy</w:t>
      </w:r>
    </w:p>
    <w:p>
      <w:pPr>
        <w:pStyle w:val="FirstParagraph"/>
        <w:spacing w:line="480" w:lineRule="auto"/>
      </w:pPr>
      <w:r>
        <w:t xml:space="preserve">One narrow proposition is what the dissertation puts to the test: that milestones whose chief deliverable is in-situ resource utilization (ISRU) or surface nuclear fission power run later, against their planned duration, than the conventional transportation, habitation, avionics, and communications milestones sharing their program baseline. This chapter lays out how that proposition turns into estimable parameters, why the chosen estimators suit the shape of the data, how identification gets locked down against the likeliest confounders, and how the residual validity threats get hemmed in by design rather than by claim. The goal is not to chase predictive fit, which the modest sample could never bear anyway, but to hand back a class-level slip coefficient whose sign, magnitude, and confidence interval read cleanly as a falsification test of the directional hypothesis.</w:t>
      </w:r>
    </w:p>
    <w:p>
      <w:pPr>
        <w:pStyle w:val="BodyText"/>
        <w:spacing w:line="480" w:lineRule="auto"/>
        <w:ind w:firstLine="720"/>
      </w:pPr>
      <w:r>
        <w:t xml:space="preserve">Built in layers on purpose, the empirical strategy rises through three estimators. Its first layer is a cross-sectional ordinary least squares (OLS) regression on completed milestones, reported in the first companion paper, which pins the conditional tie between the ISRU and nuclear class label and normalized slip net of a short set of observable covariates. Its second layer is a project-level cross-sectional OLS regression across a wider portfolio of NASA major projects, reported in the second companion paper, which carries the test from the milestone unit to the project unit and swaps life-cycle cost and crew involvement in for the milestone-internal covariates of the first layer. Its third layer, built here and run in Chapter 6, is a discrete-time survival specification across the full milestone panel including right-censored rows, which strips out the completed-only selection the first two layers cannot. Each layer meets a particular weakness of the one below it, and the three together make a triangulation rather than a lone point estimate. Agreement across all three carries the headline claim. Disagreement among them gets reported as a finding in its own right rather than smoothed over by a post-hoc pick of specification.</w:t>
      </w:r>
    </w:p>
    <w:bookmarkEnd w:id="111"/>
    <w:bookmarkStart w:id="112" w:name="X7559c1d4b3cd1e2b4b8464d50886bac37bbfc70"/>
    <w:p>
      <w:pPr>
        <w:pStyle w:val="Heading2"/>
        <w:spacing w:line="480" w:lineRule="auto"/>
      </w:pPr>
      <w:r>
        <w:t xml:space="preserve">5.2 Unit of Analysis, Outcome Variable, and Treatment Indicator</w:t>
      </w:r>
    </w:p>
    <w:p>
      <w:pPr>
        <w:pStyle w:val="FirstParagraph"/>
        <w:spacing w:line="480" w:lineRule="auto"/>
      </w:pPr>
      <w:r>
        <w:t xml:space="preserve">The unit of analysis is the architecture milestone, taken as a discrete deliverable within a NASA major project that holds a documented baseline target completion date and gets reported at milestone or subproject level in the Government Accountability Office (GAO) annual Assessments of Major Projects or in a NASA Office of Inspector General (OIG) project audit. The milestone-level unit wins out over the project-level unit because lunar architecture projects bundle mixed capability classes inside one project envelope; rolling slip up to the project level throws away exactly the within-program variation that pins the class coefficient under fixed effects. The project-level specification stays on as a robustness layer because it widens the comparison set past lunar projects and lets a check run on whether the milestone-level result holds through reaggregation.</w:t>
      </w:r>
    </w:p>
    <w:p>
      <w:pPr>
        <w:pStyle w:val="BodyText"/>
        <w:spacing w:line="480" w:lineRule="auto"/>
        <w:ind w:firstLine="720"/>
      </w:pPr>
      <w:r>
        <w:t xml:space="preserve">Normalized schedule slip is the outcome variable, taken as the realized completion date minus the earliest publicly baselined target completion date, cast in months, and divided by baselined planned duration in months. Normalization is essential because a slip of twelve months lands very differently on a thirty-six-month milestone than on a one-hundred-twenty-month flagship element, and the raw monthly slip runs mechanically larger for longer milestones for reasons that have nothing to do with the class hypothesis. Dividing by planned duration puts long and short efforts on one scale and turns the dependent variable into a unitless ratio whose reading, slip months per planned month, holds steady across the panel.</w:t>
      </w:r>
    </w:p>
    <w:p>
      <w:pPr>
        <w:pStyle w:val="BodyText"/>
        <w:spacing w:line="480" w:lineRule="auto"/>
        <w:ind w:firstLine="720"/>
      </w:pPr>
      <w:r>
        <w:t xml:space="preserve">Two operational calls in the outcome variable ask for a note. First, the baseline date taken as reference is the earliest publicly committed baseline on hand in the GAO record or its predecessor documents, not the most recent rebaselined target. That call answers the rebaselining-censorship threat of Section 5.6 and squares the measurement with the agency commitment program sponsors and appropriators actually leaned on when the project entered execution. Second, for milestones right-censored at the observation cutoff, baselined yet unfinished and uncancelled, the realized completion date reads as missing in the OLS layers and the milestone drops out; the survival layer of Section 5.4 brings these rows back through the censoring flag rather than tossing them.</w:t>
      </w:r>
    </w:p>
    <w:p>
      <w:pPr>
        <w:pStyle w:val="BodyText"/>
        <w:spacing w:line="480" w:lineRule="auto"/>
        <w:ind w:firstLine="720"/>
      </w:pPr>
      <w:r>
        <w:t xml:space="preserve">Treatment is a binary class flag set to one where the milestone’s chief deliverable is an ISRU capability or a surface nuclear fission, radioisotope, or kilowatt-class fission power capability, and zero otherwise. The coding rule runs cautious by design: a transportation milestone hauling an ISRU demonstration payload as secondary cargo reads zero, because its chief deliverable is the transportation function, not the ISRU function. That cautious rule is how the classification-leakage mitigation of Section 5.6 shows up operationally, and a sensitivity analysis under an inclusive rule, where any milestone whose deliverable so much as touches ISRU or nuclear hardware reads one, runs beside the primary specification.</w:t>
      </w:r>
    </w:p>
    <w:bookmarkEnd w:id="112"/>
    <w:bookmarkStart w:id="113" w:name="Xb6a393437bfa432f924142b6a5f792fc4e1cf51"/>
    <w:p>
      <w:pPr>
        <w:pStyle w:val="Heading2"/>
        <w:spacing w:line="480" w:lineRule="auto"/>
      </w:pPr>
      <w:r>
        <w:t xml:space="preserve">5.3 Estimator 1: Within-Program Fixed-Effects Linear Regression</w:t>
      </w:r>
    </w:p>
    <w:p>
      <w:pPr>
        <w:pStyle w:val="FirstParagraph"/>
        <w:spacing w:line="480" w:lineRule="auto"/>
      </w:pPr>
      <w:r>
        <w:t xml:space="preserve">On the completed-milestone sample the primary estimator is a linear regression of normalized slip on the class flag with program fixed effects and a lean set of covariates. Letting</w:t>
      </w:r>
      <w:r>
        <w:t xml:space="preserve"> </w:t>
      </w:r>
      <w:r>
        <w:rPr>
          <w:rStyle w:val="VerbatimChar"/>
        </w:rPr>
        <w:t xml:space="preserve">s_{ip}</w:t>
      </w:r>
      <w:r>
        <w:t xml:space="preserve"> </w:t>
      </w:r>
      <w:r>
        <w:t xml:space="preserve">denote normalized slip for milestone</w:t>
      </w:r>
      <w:r>
        <w:t xml:space="preserve"> </w:t>
      </w:r>
      <w:r>
        <w:rPr>
          <w:rStyle w:val="VerbatimChar"/>
        </w:rPr>
        <w:t xml:space="preserve">i</w:t>
      </w:r>
      <w:r>
        <w:t xml:space="preserve"> </w:t>
      </w:r>
      <w:r>
        <w:t xml:space="preserve">in program</w:t>
      </w:r>
      <w:r>
        <w:t xml:space="preserve"> </w:t>
      </w:r>
      <w:r>
        <w:rPr>
          <w:rStyle w:val="VerbatimChar"/>
        </w:rPr>
        <w:t xml:space="preserve">p</w:t>
      </w:r>
      <w:r>
        <w:t xml:space="preserve">, the estimating equation is</w:t>
      </w:r>
    </w:p>
    <w:p>
      <w:pPr>
        <w:pStyle w:val="BodyText"/>
        <w:spacing w:line="480" w:lineRule="auto"/>
        <w:ind w:firstLine="720"/>
      </w:pPr>
      <w:r>
        <w:rPr>
          <w:rStyle w:val="VerbatimChar"/>
        </w:rPr>
        <w:t xml:space="preserve">s_{ip} = α_p + β · C_{ip} + γ' X_{ip} + ε_{ip}</w:t>
      </w:r>
    </w:p>
    <w:p>
      <w:pPr>
        <w:pStyle w:val="BodyText"/>
        <w:spacing w:line="480" w:lineRule="auto"/>
        <w:ind w:firstLine="720"/>
      </w:pPr>
      <w:r>
        <w:t xml:space="preserve">where</w:t>
      </w:r>
      <w:r>
        <w:t xml:space="preserve"> </w:t>
      </w:r>
      <w:r>
        <w:rPr>
          <w:rStyle w:val="VerbatimChar"/>
        </w:rPr>
        <w:t xml:space="preserve">C_{ip}</w:t>
      </w:r>
      <w:r>
        <w:t xml:space="preserve"> </w:t>
      </w:r>
      <w:r>
        <w:t xml:space="preserve">is the class indicator,</w:t>
      </w:r>
      <w:r>
        <w:t xml:space="preserve"> </w:t>
      </w:r>
      <w:r>
        <w:rPr>
          <w:rStyle w:val="VerbatimChar"/>
        </w:rPr>
        <w:t xml:space="preserve">α_p</w:t>
      </w:r>
      <w:r>
        <w:t xml:space="preserve"> </w:t>
      </w:r>
      <w:r>
        <w:t xml:space="preserve">is a program fixed effect,</w:t>
      </w:r>
      <w:r>
        <w:t xml:space="preserve"> </w:t>
      </w:r>
      <w:r>
        <w:rPr>
          <w:rStyle w:val="VerbatimChar"/>
        </w:rPr>
        <w:t xml:space="preserve">X_{ip}</w:t>
      </w:r>
      <w:r>
        <w:t xml:space="preserve"> </w:t>
      </w:r>
      <w:r>
        <w:t xml:space="preserve">is a vector of covariates including baselined planned duration, calendar year of the baseline, and a coarse technology-readiness proxy at baseline on the standard nine-point scale, and</w:t>
      </w:r>
      <w:r>
        <w:t xml:space="preserve"> </w:t>
      </w:r>
      <w:r>
        <w:rPr>
          <w:rStyle w:val="VerbatimChar"/>
        </w:rPr>
        <w:t xml:space="preserve">ε_{ip}</w:t>
      </w:r>
      <w:r>
        <w:t xml:space="preserve"> </w:t>
      </w:r>
      <w:r>
        <w:t xml:space="preserve">is a milestone-specific disturbance. The parameter of interest is</w:t>
      </w:r>
      <w:r>
        <w:t xml:space="preserve"> </w:t>
      </w:r>
      <w:r>
        <w:rPr>
          <w:rStyle w:val="VerbatimChar"/>
        </w:rPr>
        <w:t xml:space="preserve">β</w:t>
      </w:r>
      <w:r>
        <w:t xml:space="preserve">, the within-program class-level slip premium. Estimation runs by OLS with heteroskedasticity-robust standard errors clustered at the program level. Sibling milestones inside one project rarely throw independent residuals, and within-program clustering is the right inference layer for a fixed-effects specification.</w:t>
      </w:r>
    </w:p>
    <w:p>
      <w:pPr>
        <w:pStyle w:val="BodyText"/>
        <w:spacing w:line="480" w:lineRule="auto"/>
        <w:ind w:firstLine="720"/>
      </w:pPr>
      <w:r>
        <w:t xml:space="preserve">Three properties of this specification ask for weight. First, folding in program fixed effects soaks up all time-invariant, program-level shocks that would otherwise confound the class coefficient. If lunar architecture projects simply get baselined more optimistically than science missions, or a particular project office runs structurally loose, that contamination gets swept out by</w:t>
      </w:r>
      <w:r>
        <w:t xml:space="preserve"> </w:t>
      </w:r>
      <w:r>
        <w:rPr>
          <w:rStyle w:val="VerbatimChar"/>
        </w:rPr>
        <w:t xml:space="preserve">α_p</w:t>
      </w:r>
      <w:r>
        <w:t xml:space="preserve"> </w:t>
      </w:r>
      <w:r>
        <w:t xml:space="preserve">and</w:t>
      </w:r>
      <w:r>
        <w:t xml:space="preserve"> </w:t>
      </w:r>
      <w:r>
        <w:rPr>
          <w:rStyle w:val="VerbatimChar"/>
        </w:rPr>
        <w:t xml:space="preserve">β</w:t>
      </w:r>
      <w:r>
        <w:t xml:space="preserve"> </w:t>
      </w:r>
      <w:r>
        <w:t xml:space="preserve">gets pinned solely off the within-program contrast between ISRU or nuclear milestones and their sibling baseline-class milestones. This is the dissertation’s core identification argument and gets built out at length in Section 5.5. Second, the maturity proxy enters as a covariate precisely so the class coefficient can read as the slip gap that survives conditioning on baseline readiness. If</w:t>
      </w:r>
      <w:r>
        <w:t xml:space="preserve"> </w:t>
      </w:r>
      <w:r>
        <w:rPr>
          <w:rStyle w:val="VerbatimChar"/>
        </w:rPr>
        <w:t xml:space="preserve">β</w:t>
      </w:r>
      <w:r>
        <w:t xml:space="preserve"> </w:t>
      </w:r>
      <w:r>
        <w:t xml:space="preserve">caves to zero once the maturity proxy sits in the model, the class label was carrying a maturity story, not a class story, and the maturity-confounding reading holds. The first companion paper records exactly that cave on the completed-milestone sample</w:t>
      </w:r>
      <w:r>
        <w:t xml:space="preserve"> </w:t>
      </w:r>
      <w:hyperlink w:anchor="ref-1">
        <w:r>
          <w:rPr>
            <w:rStyle w:val="Hyperlink"/>
          </w:rPr>
          <w:t xml:space="preserve">[1]</w:t>
        </w:r>
      </w:hyperlink>
      <w:r>
        <w:t xml:space="preserve">. Third, the calendar-year control soaks up secular drift in baselining discipline, such as agency-wide answers to GAO criticism or to changes in the cost and schedule estimation handbook, which would otherwise load onto the class coefficient through the uneven timing of ISRU and nuclear milestones in the record.</w:t>
      </w:r>
    </w:p>
    <w:p>
      <w:pPr>
        <w:pStyle w:val="BodyText"/>
        <w:spacing w:line="480" w:lineRule="auto"/>
        <w:ind w:firstLine="720"/>
      </w:pPr>
      <w:r>
        <w:t xml:space="preserve">The first companion paper fits a closely kindred cross-sectional specification without program fixed effects on a sample of twenty-eight milestones and reports a class coefficient of negative 0.145 with a robust standard error of 0.200 and a p-value of 0.469, beside a maturity coefficient of negative 0.148 per readiness level (standard error 0.079, p = 0.063)</w:t>
      </w:r>
      <w:r>
        <w:t xml:space="preserve"> </w:t>
      </w:r>
      <w:hyperlink w:anchor="ref-1">
        <w:r>
          <w:rPr>
            <w:rStyle w:val="Hyperlink"/>
          </w:rPr>
          <w:t xml:space="preserve">[1]</w:t>
        </w:r>
      </w:hyperlink>
      <w:r>
        <w:t xml:space="preserve">. The OLS regression on the project-level sample of thirty NASA major projects, reported in the second companion paper, lands the same qualitative verdict at the project unit, with a frontier-class coefficient of roughly negative three months and a baseline-readiness coefficient of roughly negative twelve months per level (p = 0.0003), and a model fit (R-squared near 0.67) well above the milestone-level regression</w:t>
      </w:r>
      <w:r>
        <w:t xml:space="preserve"> </w:t>
      </w:r>
      <w:hyperlink w:anchor="ref-1">
        <w:r>
          <w:rPr>
            <w:rStyle w:val="Hyperlink"/>
          </w:rPr>
          <w:t xml:space="preserve">[1]</w:t>
        </w:r>
      </w:hyperlink>
      <w:r>
        <w:t xml:space="preserve">. The dissertation specification in this chapter carries both layers further by folding in program fixed effects, which the companion papers could not fit at their sample sizes, and by reporting the within-program identification outright.</w:t>
      </w:r>
    </w:p>
    <w:bookmarkEnd w:id="113"/>
    <w:bookmarkStart w:id="114" w:name="Xe718aac39067d3d1f73b0ee5137e4e687d38b32"/>
    <w:p>
      <w:pPr>
        <w:pStyle w:val="Heading2"/>
        <w:spacing w:line="480" w:lineRule="auto"/>
      </w:pPr>
      <w:r>
        <w:t xml:space="preserve">5.4 Estimator 2: Discrete-Time Hazard Specification with Right-Censoring</w:t>
      </w:r>
    </w:p>
    <w:p>
      <w:pPr>
        <w:pStyle w:val="FirstParagraph"/>
        <w:spacing w:line="480" w:lineRule="auto"/>
      </w:pPr>
      <w:r>
        <w:t xml:space="preserve">By construction, the completed-only OLS layer stays blind to milestones baselined yet never finished. That bites in a setting where the ISRU and nuclear lines are exactly the ones likeliest to carry right-censored milestones, since their lower maturity at baseline implies a longer expected time to completion and a higher conditional chance of sitting unfinished at any observation cutoff. Holding the sample to completed milestones therefore lops off the very tail of the distribution the hypothesis is about. The bias runs one way. Its direction is, on its face, against finding a class effect: the slowest-slipping ISRU and nuclear milestones get filtered out of the regression sample. Against that bias the discrete-time hazard specification is the principal defense.</w:t>
      </w:r>
    </w:p>
    <w:p>
      <w:pPr>
        <w:pStyle w:val="BodyText"/>
        <w:spacing w:line="480" w:lineRule="auto"/>
        <w:ind w:firstLine="720"/>
      </w:pPr>
      <w:r>
        <w:t xml:space="preserve">The hazard model reads the panel of milestones as an event-history dataset. For each milestone</w:t>
      </w:r>
      <w:r>
        <w:t xml:space="preserve"> </w:t>
      </w:r>
      <w:r>
        <w:rPr>
          <w:rStyle w:val="VerbatimChar"/>
        </w:rPr>
        <w:t xml:space="preserve">i</w:t>
      </w:r>
      <w:r>
        <w:t xml:space="preserve"> </w:t>
      </w:r>
      <w:r>
        <w:t xml:space="preserve">and each calendar period</w:t>
      </w:r>
      <w:r>
        <w:t xml:space="preserve"> </w:t>
      </w:r>
      <w:r>
        <w:rPr>
          <w:rStyle w:val="VerbatimChar"/>
        </w:rPr>
        <w:t xml:space="preserve">t</w:t>
      </w:r>
      <w:r>
        <w:t xml:space="preserve"> </w:t>
      </w:r>
      <w:r>
        <w:t xml:space="preserve">from baseline forward, a flag</w:t>
      </w:r>
      <w:r>
        <w:t xml:space="preserve"> </w:t>
      </w:r>
      <w:r>
        <w:rPr>
          <w:rStyle w:val="VerbatimChar"/>
        </w:rPr>
        <w:t xml:space="preserve">y_{it}</w:t>
      </w:r>
      <w:r>
        <w:t xml:space="preserve"> </w:t>
      </w:r>
      <w:r>
        <w:t xml:space="preserve">records whether the milestone completes in period</w:t>
      </w:r>
      <w:r>
        <w:t xml:space="preserve"> </w:t>
      </w:r>
      <w:r>
        <w:rPr>
          <w:rStyle w:val="VerbatimChar"/>
        </w:rPr>
        <w:t xml:space="preserve">t</w:t>
      </w:r>
      <w:r>
        <w:t xml:space="preserve">. Periods past completion or past right-censoring at the observation cutoff drop out. The hazard of completion in period</w:t>
      </w:r>
      <w:r>
        <w:t xml:space="preserve"> </w:t>
      </w:r>
      <w:r>
        <w:rPr>
          <w:rStyle w:val="VerbatimChar"/>
        </w:rPr>
        <w:t xml:space="preserve">t</w:t>
      </w:r>
      <w:r>
        <w:t xml:space="preserve"> </w:t>
      </w:r>
      <w:r>
        <w:t xml:space="preserve">given survival to</w:t>
      </w:r>
      <w:r>
        <w:t xml:space="preserve"> </w:t>
      </w:r>
      <w:r>
        <w:rPr>
          <w:rStyle w:val="VerbatimChar"/>
        </w:rPr>
        <w:t xml:space="preserve">t</w:t>
      </w:r>
      <w:r>
        <w:t xml:space="preserve"> </w:t>
      </w:r>
      <w:r>
        <w:t xml:space="preserve">is modeled as</w:t>
      </w:r>
    </w:p>
    <w:p>
      <w:pPr>
        <w:pStyle w:val="BodyText"/>
        <w:spacing w:line="480" w:lineRule="auto"/>
        <w:ind w:firstLine="720"/>
      </w:pPr>
      <w:r>
        <w:rPr>
          <w:rStyle w:val="VerbatimChar"/>
        </w:rPr>
        <w:t xml:space="preserve">logit P(y_{it} = 1 | y_{i,t-1} = 0) = λ_t + δ · C_i + θ' X_i</w:t>
      </w:r>
    </w:p>
    <w:p>
      <w:pPr>
        <w:pStyle w:val="BodyText"/>
        <w:spacing w:line="480" w:lineRule="auto"/>
        <w:ind w:firstLine="720"/>
      </w:pPr>
      <w:r>
        <w:t xml:space="preserve">where</w:t>
      </w:r>
      <w:r>
        <w:t xml:space="preserve"> </w:t>
      </w:r>
      <w:r>
        <w:rPr>
          <w:rStyle w:val="VerbatimChar"/>
        </w:rPr>
        <w:t xml:space="preserve">λ_t</w:t>
      </w:r>
      <w:r>
        <w:t xml:space="preserve"> </w:t>
      </w:r>
      <w:r>
        <w:t xml:space="preserve">is a flexible baseline hazard set by period-specific dummies or a piecewise-linear spline,</w:t>
      </w:r>
      <w:r>
        <w:t xml:space="preserve"> </w:t>
      </w:r>
      <w:r>
        <w:rPr>
          <w:rStyle w:val="VerbatimChar"/>
        </w:rPr>
        <w:t xml:space="preserve">C_i</w:t>
      </w:r>
      <w:r>
        <w:t xml:space="preserve"> </w:t>
      </w:r>
      <w:r>
        <w:t xml:space="preserve">is the class indicator, and</w:t>
      </w:r>
      <w:r>
        <w:t xml:space="preserve"> </w:t>
      </w:r>
      <w:r>
        <w:rPr>
          <w:rStyle w:val="VerbatimChar"/>
        </w:rPr>
        <w:t xml:space="preserve">X_i</w:t>
      </w:r>
      <w:r>
        <w:t xml:space="preserve"> </w:t>
      </w:r>
      <w:r>
        <w:t xml:space="preserve">is the same covariate vector as in the OLS form. The parameter of interest is</w:t>
      </w:r>
      <w:r>
        <w:t xml:space="preserve"> </w:t>
      </w:r>
      <w:r>
        <w:rPr>
          <w:rStyle w:val="VerbatimChar"/>
        </w:rPr>
        <w:t xml:space="preserve">δ</w:t>
      </w:r>
      <w:r>
        <w:t xml:space="preserve">, the log-odds shift in the period-by-period completion hazard traceable to the class label. Under the directional hypothesis,</w:t>
      </w:r>
      <w:r>
        <w:t xml:space="preserve"> </w:t>
      </w:r>
      <w:r>
        <w:rPr>
          <w:rStyle w:val="VerbatimChar"/>
        </w:rPr>
        <w:t xml:space="preserve">δ</w:t>
      </w:r>
      <w:r>
        <w:t xml:space="preserve"> </w:t>
      </w:r>
      <w:r>
        <w:t xml:space="preserve">runs negative: ISRU and nuclear milestones finish slower given baseline covariates and time elapsed since baseline. Estimation runs by maximum likelihood, with standard errors clustered at the program level.</w:t>
      </w:r>
    </w:p>
    <w:p>
      <w:pPr>
        <w:pStyle w:val="BodyText"/>
        <w:spacing w:line="480" w:lineRule="auto"/>
        <w:ind w:firstLine="720"/>
      </w:pPr>
      <w:r>
        <w:t xml:space="preserve">Two features of this specification earn comment. First, the discrete-time hazard handles right-censoring with no imputation. A milestone unfinished at the cutoff hands its observed</w:t>
      </w:r>
      <w:r>
        <w:t xml:space="preserve"> </w:t>
      </w:r>
      <w:r>
        <w:rPr>
          <w:rStyle w:val="VerbatimChar"/>
        </w:rPr>
        <w:t xml:space="preserve">y_{it} = 0</w:t>
      </w:r>
      <w:r>
        <w:t xml:space="preserve"> </w:t>
      </w:r>
      <w:r>
        <w:t xml:space="preserve">history to the likelihood and never drops out; it feeds the baseline hazard and the class coefficient through its surviving periods. That is the right treatment for a panel where the censoring mechanism plausibly carries information about the outcome. Second, the flexible baseline hazard</w:t>
      </w:r>
      <w:r>
        <w:t xml:space="preserve"> </w:t>
      </w:r>
      <w:r>
        <w:rPr>
          <w:rStyle w:val="VerbatimChar"/>
        </w:rPr>
        <w:t xml:space="preserve">λ_t</w:t>
      </w:r>
      <w:r>
        <w:t xml:space="preserve"> </w:t>
      </w:r>
      <w:r>
        <w:t xml:space="preserve">soaks up any secular structure in the time-to-completion distribution shared across the panel, so the class coefficient gets pinned off the differing shape of the hazard between ISRU and nuclear milestones and the baseline classes rather than off any one parametric guess about the survival function. A Cox proportional-hazards specification runs as a robustness check; the discrete-time form wins as primary estimator because the panel gets observed at annual steps in the GAO record, and a discrete-time model is the right likelihood for discrete-time observation.</w:t>
      </w:r>
    </w:p>
    <w:bookmarkEnd w:id="114"/>
    <w:bookmarkStart w:id="115" w:name="identification-strategy"/>
    <w:p>
      <w:pPr>
        <w:pStyle w:val="Heading2"/>
        <w:spacing w:line="480" w:lineRule="auto"/>
      </w:pPr>
      <w:r>
        <w:t xml:space="preserve">5.5 Identification Strategy</w:t>
      </w:r>
    </w:p>
    <w:p>
      <w:pPr>
        <w:pStyle w:val="FirstParagraph"/>
        <w:spacing w:line="480" w:lineRule="auto"/>
      </w:pPr>
      <w:r>
        <w:t xml:space="preserve">Pinning the class-level slip coefficient rests on a within-program contrast that holds program-level confounders fixed by construction.</w:t>
      </w:r>
    </w:p>
    <w:p>
      <w:pPr>
        <w:pStyle w:val="BodyText"/>
        <w:spacing w:line="480" w:lineRule="auto"/>
        <w:ind w:firstLine="720"/>
      </w:pPr>
      <w:r>
        <w:t xml:space="preserve">The argument runs in three steps.</w:t>
      </w:r>
    </w:p>
    <w:p>
      <w:pPr>
        <w:pStyle w:val="BodyText"/>
        <w:spacing w:line="480" w:lineRule="auto"/>
        <w:ind w:firstLine="720"/>
      </w:pPr>
      <w:r>
        <w:t xml:space="preserve">The first step fixes the counterfactual. The class coefficient reads as the average slip gap between an ISRU or nuclear milestone and a non-ISRU, non-nuclear milestone lodged in the same program, given baselined planned duration, calendar year of baseline, and baseline technology readiness. The counterfactual that matters is not</w:t>
      </w:r>
      <w:r>
        <w:t xml:space="preserve"> </w:t>
      </w:r>
      <w:r>
        <w:t xml:space="preserve">“what would this ISRU milestone have looked like in a different agency,”</w:t>
      </w:r>
      <w:r>
        <w:t xml:space="preserve"> </w:t>
      </w:r>
      <w:r>
        <w:t xml:space="preserve">which cannot be answered, but</w:t>
      </w:r>
      <w:r>
        <w:t xml:space="preserve"> </w:t>
      </w:r>
      <w:r>
        <w:t xml:space="preserve">“what does this ISRU milestone look like against the transportation, habitation, and avionics milestones inside the same program envelope.”</w:t>
      </w:r>
      <w:r>
        <w:t xml:space="preserve"> </w:t>
      </w:r>
      <w:r>
        <w:t xml:space="preserve">That counterfactual is the policy-relevant one for sequencing calls, since program managers meet the within-program contrast head-on when they decide which capability line to fund forward at another’s expense.</w:t>
      </w:r>
    </w:p>
    <w:p>
      <w:pPr>
        <w:pStyle w:val="BodyText"/>
        <w:spacing w:line="480" w:lineRule="auto"/>
        <w:ind w:firstLine="720"/>
      </w:pPr>
      <w:r>
        <w:t xml:space="preserve">The second step argues that the within-program contrast defuses the likeliest confounder, that immature-technology programs answer to looser sponsors. Program fixed effects soak up every program-level trait shared across every milestone inside a project: the sponsor, the budget cycle, the project office, the integration contractor, the calendar of major reviews, and the agency-wide management posture toward the project at the moment of baselining. None of these can drive the within-program class coefficient, since all of them get differenced out by</w:t>
      </w:r>
      <w:r>
        <w:t xml:space="preserve"> </w:t>
      </w:r>
      <w:r>
        <w:rPr>
          <w:rStyle w:val="VerbatimChar"/>
        </w:rPr>
        <w:t xml:space="preserve">α_p</w:t>
      </w:r>
      <w:r>
        <w:t xml:space="preserve">. What stays as a possible confounder is anything moving across milestones inside a program that also correlates with the class label, and the third step meets those residual worries head-on.</w:t>
      </w:r>
    </w:p>
    <w:p>
      <w:pPr>
        <w:pStyle w:val="BodyText"/>
        <w:spacing w:line="480" w:lineRule="auto"/>
        <w:ind w:firstLine="720"/>
      </w:pPr>
      <w:r>
        <w:t xml:space="preserve">The third step lists the residual within-program confounders and argues that the covariate vector and the cautious coding rules hem them in. Baseline planned duration controls for the mechanical tie between longer milestones and larger absolute slip. Baseline calendar year controls for any drift in baselining discipline across the life of a long program, which would otherwise load unevenly on the class label if ISRU and nuclear milestones get baselined late in the program timeline. The technology-readiness proxy controls for the maturity-confounding mechanism the second companion paper names as the leading rival reading, and the class coefficient gets reported both with and without the maturity proxy so readers can see how much of the class effect rides with the maturity story</w:t>
      </w:r>
      <w:r>
        <w:t xml:space="preserve"> </w:t>
      </w:r>
      <w:hyperlink w:anchor="ref-1">
        <w:r>
          <w:rPr>
            <w:rStyle w:val="Hyperlink"/>
          </w:rPr>
          <w:t xml:space="preserve">[1]</w:t>
        </w:r>
      </w:hyperlink>
      <w:r>
        <w:t xml:space="preserve">. After conditioning on these three covariates inside the within-program design, the residual identification assumption is that ISRU and nuclear milestones are not unevenly exposed to within-program shocks the analyst never observes. That assumption gets defended, not assumed, in Section 5.6.</w:t>
      </w:r>
    </w:p>
    <w:bookmarkEnd w:id="115"/>
    <w:bookmarkStart w:id="116"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Four validity threats get met by design rather than by assumption. Each gets named, the mechanism by which it could bias the class coefficient gets stated, the mitigation gets fixed, and the residual risk gets hemmed in.</w:t>
      </w:r>
    </w:p>
    <w:p>
      <w:pPr>
        <w:pStyle w:val="BodyText"/>
        <w:spacing w:line="480" w:lineRule="auto"/>
        <w:ind w:firstLine="720"/>
      </w:pPr>
      <w:r>
        <w:rPr>
          <w:b/>
          <w:bCs/>
        </w:rPr>
        <w:t xml:space="preserve">Rebaselining censorship.</w:t>
      </w:r>
      <w:r>
        <w:t xml:space="preserve"> </w:t>
      </w:r>
      <w:r>
        <w:t xml:space="preserve">Programs that rebaseline reset the committed target date and, along the way, can leave historical slip invisible to a researcher anchoring the outcome to the most recent baseline. The bias runs against finding a class effect, since the lines likeliest to slip are the ones likeliest to get rebaselined. The mitigation anchors the outcome variable to the earliest publicly baselined target date on hand in the GAO record or its predecessors, so rebaselining reads as slip rather than vanishing. The residual risk is that some ISRU or nuclear milestones predate the GAO record and their original baselines have to come from NASA requirements documents or requests for information, the same provenance route published deployment forecasts take when they source their fission-surface-power requirement to a NASA RFI</w:t>
      </w:r>
      <w:r>
        <w:t xml:space="preserve"> </w:t>
      </w:r>
      <w:hyperlink w:anchor="ref-1">
        <w:r>
          <w:rPr>
            <w:rStyle w:val="Hyperlink"/>
          </w:rPr>
          <w:t xml:space="preserve">[1]</w:t>
        </w:r>
      </w:hyperlink>
      <w:r>
        <w:t xml:space="preserve">. Every milestone’s baseline date carries a document-level citation in the panel construction record so the rebuild can be audited.</w:t>
      </w:r>
    </w:p>
    <w:p>
      <w:pPr>
        <w:pStyle w:val="BodyText"/>
        <w:spacing w:line="480" w:lineRule="auto"/>
        <w:ind w:firstLine="720"/>
      </w:pPr>
      <w:r>
        <w:rPr>
          <w:b/>
          <w:bCs/>
        </w:rPr>
        <w:t xml:space="preserve">Classification leakage.</w:t>
      </w:r>
      <w:r>
        <w:t xml:space="preserve"> </w:t>
      </w:r>
      <w:r>
        <w:t xml:space="preserve">Hybrid milestones, a lander carrying an ISRU demonstration payload say, or a power milestone bundling a radioisotope generator with a conventional photovoltaic array, smear the class boundary. Code these as ISRU or nuclear and the class coefficient picks up transportation and conventional-power slip; code them as baseline and the class flag misses real ISRU and nuclear schedule risk. The mitigation is a cautious primary coding rule, where a milestone reads ISRU or nuclear only where that capability is its chief deliverable, paired with a sensitivity analysis under an inclusive rule. The residual risk is that the cautious rule pushes the class coefficient toward zero by holding hybrid ISRU and nuclear content out of the treatment cell. That bias gets owned and sized: if the cautious class coefficient sits statistically indistinguishable from zero and the inclusive class coefficient also sits indistinguishable from zero, the class hypothesis fails under both codings; if the two codings split, the split is itself the finding.</w:t>
      </w:r>
    </w:p>
    <w:p>
      <w:pPr>
        <w:pStyle w:val="BodyText"/>
        <w:spacing w:line="480" w:lineRule="auto"/>
        <w:ind w:firstLine="720"/>
      </w:pPr>
      <w:r>
        <w:rPr>
          <w:b/>
          <w:bCs/>
        </w:rPr>
        <w:t xml:space="preserve">Maturity confounding.</w:t>
      </w:r>
      <w:r>
        <w:t xml:space="preserve"> </w:t>
      </w:r>
      <w:r>
        <w:t xml:space="preserve">ISRU and nuclear milestones may slip not for their class but because they enter the baseline at lower technology readiness. This is the confounder the second companion paper finds leading, the maturity coefficient carrying the explanatory signal and the class coefficient caving to zero once readiness sits in the model</w:t>
      </w:r>
      <w:r>
        <w:t xml:space="preserve"> </w:t>
      </w:r>
      <w:hyperlink w:anchor="ref-1">
        <w:r>
          <w:rPr>
            <w:rStyle w:val="Hyperlink"/>
          </w:rPr>
          <w:t xml:space="preserve">[1]</w:t>
        </w:r>
      </w:hyperlink>
      <w:r>
        <w:t xml:space="preserve">. The mitigation folds the technology-readiness proxy in as a covariate and reports the class coefficient both with and without it. The residual risk is that the readiness proxy is itself an agency judgment prone to optimism at the moment of baselining, so its measured tie to slip gets attenuated. That attenuation works against the maturity-confounding reading rather than for it, which means the maturity coefficient as fitted is a lower bound on the true maturity effect; the policy lesson, that buying down readiness before baseline commitment is the leading slip-cutting lever, gets strengthened, not weakened, by the attenuation</w:t>
      </w:r>
      <w:r>
        <w:t xml:space="preserve"> </w:t>
      </w:r>
      <w:hyperlink w:anchor="ref-1">
        <w:r>
          <w:rPr>
            <w:rStyle w:val="Hyperlink"/>
          </w:rPr>
          <w:t xml:space="preserve">[1]</w:t>
        </w:r>
      </w:hyperlink>
      <w:r>
        <w:t xml:space="preserve">.</w:t>
      </w:r>
    </w:p>
    <w:p>
      <w:pPr>
        <w:pStyle w:val="BodyText"/>
        <w:spacing w:line="480" w:lineRule="auto"/>
        <w:ind w:firstLine="720"/>
      </w:pPr>
      <w:r>
        <w:rPr>
          <w:b/>
          <w:bCs/>
        </w:rPr>
        <w:t xml:space="preserve">Small-sample and censoring fragility.</w:t>
      </w:r>
      <w:r>
        <w:t xml:space="preserve"> </w:t>
      </w:r>
      <w:r>
        <w:t xml:space="preserve">The lunar ISRU and fission cells run small and many of the relevant milestones sit right-censored. With small cells, the class coefficient can get pinned off a handful of milestones whose one-off histories drive the result. The discrete-time hazard specification is the primary defense against the censoring part of this threat, since it lets censored milestones into the likelihood through their surviving-period contribution rather than dropping them. The small-cell part gets met by a pre-registered minimum-cell-count rule: the class coefficient gets reported only where the treatment cell holds at least eight milestones, the threshold the first companion paper’s panel of twenty-eight milestones with eight ISRU and nuclear rows reaches</w:t>
      </w:r>
      <w:r>
        <w:t xml:space="preserve"> </w:t>
      </w:r>
      <w:hyperlink w:anchor="ref-1">
        <w:r>
          <w:rPr>
            <w:rStyle w:val="Hyperlink"/>
          </w:rPr>
          <w:t xml:space="preserve">[1]</w:t>
        </w:r>
      </w:hyperlink>
      <w:r>
        <w:t xml:space="preserve">. The residual risk is that even an eight-milestone cell runs small for fixed-effects estimation, and the dissertation reports confidence intervals and prediction intervals around the class coefficient outright rather than leaning on point estimates. Failing to reject the null is not the same as evidence for equality, a caveat the first companion paper records on the same dataset</w:t>
      </w:r>
      <w:r>
        <w:t xml:space="preserve"> </w:t>
      </w:r>
      <w:hyperlink w:anchor="ref-1">
        <w:r>
          <w:rPr>
            <w:rStyle w:val="Hyperlink"/>
          </w:rPr>
          <w:t xml:space="preserve">[1]</w:t>
        </w:r>
      </w:hyperlink>
      <w:r>
        <w:t xml:space="preserve">.</w:t>
      </w:r>
    </w:p>
    <w:p>
      <w:pPr>
        <w:pStyle w:val="BodyText"/>
        <w:spacing w:line="480" w:lineRule="auto"/>
        <w:ind w:firstLine="720"/>
      </w:pPr>
      <w:r>
        <w:t xml:space="preserve">Two further threats, both real but secondary, get met in Chapter 6 alongside the empirical results. First is the chance that the GAO record itself carries a shifting definition of what counts as a major project, so the makeup of the comparison set moves across the panel; the calendar-year covariate is the primary bound on that worry, with a robustness check holding the sample to projects entering the GAO record under one methodology. Second is ISRU’s reliance on enabling systems maturing alongside it, the nuclear power a lunar megawatt of ISRU demand has been argued to need among them</w:t>
      </w:r>
      <w:r>
        <w:t xml:space="preserve"> </w:t>
      </w:r>
      <w:hyperlink w:anchor="ref-2">
        <w:r>
          <w:rPr>
            <w:rStyle w:val="Hyperlink"/>
          </w:rPr>
          <w:t xml:space="preserve">[2]</w:t>
        </w:r>
      </w:hyperlink>
      <w:r>
        <w:t xml:space="preserve">, which means ISRU slip runs mechanically coupled to nuclear slip in ways the class flag pools rather than splits. A specification that breaks the class flag into an ISRU-only and a nuclear-only dummy runs as a disaggregated check, and the coupling itself gets recorded as a finding rather than a nuisance.</w:t>
      </w:r>
    </w:p>
    <w:bookmarkEnd w:id="116"/>
    <w:bookmarkStart w:id="117" w:name="X9f75de391e6534c313021e4a7aec1bc8ec1e7e7"/>
    <w:p>
      <w:pPr>
        <w:pStyle w:val="Heading2"/>
        <w:spacing w:line="480" w:lineRule="auto"/>
      </w:pPr>
      <w:r>
        <w:t xml:space="preserve">5.7 What the Estimators Can and Cannot Deliver</w:t>
      </w:r>
    </w:p>
    <w:p>
      <w:pPr>
        <w:pStyle w:val="FirstParagraph"/>
        <w:spacing w:line="480" w:lineRule="auto"/>
      </w:pPr>
      <w:r>
        <w:t xml:space="preserve">Built to hand back a class-level slip coefficient with a sign, a magnitude in months of slip per planned month, and a confidence interval, the estimators are not built to pin the causal mechanism by which ISRU and nuclear milestones do or do not slip faster. The maturity-confounding result the companion papers report is itself an associational finding inside a small cross-section</w:t>
      </w:r>
      <w:r>
        <w:t xml:space="preserve"> </w:t>
      </w:r>
      <w:hyperlink w:anchor="ref-1">
        <w:r>
          <w:rPr>
            <w:rStyle w:val="Hyperlink"/>
          </w:rPr>
          <w:t xml:space="preserve">[1]</w:t>
        </w:r>
      </w:hyperlink>
      <w:r>
        <w:t xml:space="preserve">, and the dissertation promises no more than the panel can bear. What the dissertation does promise is a falsification test of the directional hypothesis at three levels of analysis, the validity threats hemmed in by design choices documented ahead of estimation rather than picked once the result is known. Whether the answer comes back a class premium, a class discount, or a class null, it is one answer reached under one set of evidentiary rules, and that discipline is the chapter’s central methodological contribution.</w:t>
      </w:r>
    </w:p>
    <w:bookmarkEnd w:id="117"/>
    <w:bookmarkEnd w:id="118"/>
    <w:bookmarkStart w:id="135" w:name="chapter-6.-results"/>
    <w:p>
      <w:pPr>
        <w:pStyle w:val="Heading1"/>
        <w:spacing w:line="480" w:lineRule="auto"/>
      </w:pPr>
      <w:r>
        <w:t xml:space="preserve">Chapter 6. Results</w:t>
      </w:r>
    </w:p>
    <w:p>
      <w:pPr>
        <w:pStyle w:val="FirstParagraph"/>
        <w:spacing w:line="480" w:lineRule="auto"/>
      </w:pPr>
      <w:r>
        <w:t xml:space="preserve">This chapter lays out the empirical results of the two paired studies that carry the dissertation’s central question into estimation: whether in-situ resource utilization (ISRU) and surface nuclear milestones in lunar architectures run later than the architectural baseline once observable program covariates are folded in. Paper 1 fits the relationship at milestone level across a panel of twenty-eight NASA major-project milestones drawn from the GAO Assessments of Major Projects series, NASA Office of Inspector General audits, and program documentation</w:t>
      </w:r>
      <w:r>
        <w:t xml:space="preserve"> </w:t>
      </w:r>
      <w:hyperlink w:anchor="ref-13">
        <w:r>
          <w:rPr>
            <w:rStyle w:val="Hyperlink"/>
          </w:rPr>
          <w:t xml:space="preserve">[13]</w:t>
        </w:r>
      </w:hyperlink>
      <w:r>
        <w:t xml:space="preserve">[14][15][16]. Paper 2 fits the same relationship at project level across a thirty-project cross-section that adds project scale and crew involvement as covariates and takes cumulative cancellation- or readiness-truncated slip, rather than milestone-normalized slip, as its dependent variable. Both estimators are ordinary least squares with heteroskedasticity-robust (HC1) standard errors, a call Chapter 5 grounded in the uneven error variance you expect when long-duration flagship lines and short-duration smallsats share one specification. The two runs land on the same substantive verdict, yet they get there from different sample frames and with wildly different statistical power, and the split in fit between them is itself part of the result this chapter has to explain.</w:t>
      </w:r>
    </w:p>
    <w:p>
      <w:pPr>
        <w:pStyle w:val="BodyText"/>
        <w:spacing w:line="480" w:lineRule="auto"/>
        <w:ind w:firstLine="720"/>
      </w:pPr>
      <w:r>
        <w:t xml:space="preserve">What follows reports exact coefficient estimates, robust standard errors, p-values, and the global fit statistics each estimator returns. Tables, formulas, and pictures of the underlying distributions live in Appendix A and get no second airing in prose. The discussion stays on what each coefficient means inside the architecture under study and on whether the two papers, read side by side, back the hypothesis that ISRU and nuclear milestones carry a slip premium of their own class.</w:t>
      </w:r>
    </w:p>
    <w:bookmarkStart w:id="124" w:name="paper-1-milestone-level-normalized-slip"/>
    <w:p>
      <w:pPr>
        <w:pStyle w:val="Heading2"/>
        <w:spacing w:line="480" w:lineRule="auto"/>
      </w:pPr>
      <w:r>
        <w:t xml:space="preserve">6.1 Paper 1: Milestone-Level Normalized Slip</w:t>
      </w:r>
    </w:p>
    <w:p>
      <w:pPr>
        <w:pStyle w:val="FirstParagraph"/>
        <w:spacing w:line="480" w:lineRule="auto"/>
      </w:pPr>
      <w:r>
        <w:t xml:space="preserve">Paper 1 regresses normalized milestone slip, set as months of slip from the earliest baselined target date over baselined planned duration, on an ISRU and surface-nuclear class flag beside three controls: baselined planned duration in months, the calendar year of the earliest baseline, and a coarse technology-readiness proxy at baseline on the standard nine-point scale. The sample runs to twenty-eight milestones, eight of them in the ISRU and nuclear class, the rest spread across the Artemis transportation stack, ground systems, habitation and surface mobility lines, and a science-mission comparison set</w:t>
      </w:r>
      <w:r>
        <w:t xml:space="preserve"> </w:t>
      </w:r>
      <w:hyperlink w:anchor="ref-13">
        <w:r>
          <w:rPr>
            <w:rStyle w:val="Hyperlink"/>
          </w:rPr>
          <w:t xml:space="preserve">[13]</w:t>
        </w:r>
      </w:hyperlink>
      <w:r>
        <w:t xml:space="preserve">[14][15].</w:t>
      </w:r>
    </w:p>
    <w:bookmarkStart w:id="119" w:name="global-fit"/>
    <w:p>
      <w:pPr>
        <w:pStyle w:val="Heading3"/>
        <w:spacing w:line="480" w:lineRule="auto"/>
      </w:pPr>
      <w:r>
        <w:t xml:space="preserve">6.1.1 Global fit</w:t>
      </w:r>
    </w:p>
    <w:p>
      <w:pPr>
        <w:pStyle w:val="FirstParagraph"/>
        <w:spacing w:line="480" w:lineRule="auto"/>
      </w:pPr>
      <w:r>
        <w:t xml:space="preserve">The specification fits weakly, and plainly so.</w:t>
      </w:r>
    </w:p>
    <w:p>
      <w:pPr>
        <w:pStyle w:val="BodyText"/>
        <w:spacing w:line="480" w:lineRule="auto"/>
        <w:ind w:firstLine="720"/>
      </w:pPr>
      <w:r>
        <w:t xml:space="preserve">The unadjusted R-squared is 0.123, so the four right-hand-side variables together account for a touch over twelve percent of the variance in normalized slip across the twenty-eight milestones. Once the model is docked for the four degrees of freedom it eats, the adjusted R-squared drops to negative 0.029, a sign that the in-sample gain over an intercept-only model does not clear the small-sample adjustment. The F-statistic of 1.235 carries a p-value of 0.324 against the joint null that every slope coefficient is zero, so the specification as a whole cannot be told apart at any conventional level from a constant-only model. This is Paper 1’s first substantive finding and it has to ride forward into how the individual coefficients get read: the model, on its own, is no confident portrait of how normalized slip gets generated, and the individual coefficients should read as conditional descriptive ties rather than parameters pinned by a well-specified causal model.</w:t>
      </w:r>
    </w:p>
    <w:bookmarkEnd w:id="119"/>
    <w:bookmarkStart w:id="120" w:name="the-class-indicator"/>
    <w:p>
      <w:pPr>
        <w:pStyle w:val="Heading3"/>
        <w:spacing w:line="480" w:lineRule="auto"/>
      </w:pPr>
      <w:r>
        <w:t xml:space="preserve">6.1.2 The class indicator</w:t>
      </w:r>
    </w:p>
    <w:p>
      <w:pPr>
        <w:pStyle w:val="FirstParagraph"/>
        <w:spacing w:line="480" w:lineRule="auto"/>
      </w:pPr>
      <w:r>
        <w:t xml:space="preserve">Central interest rides on the coefficient for the ISRU and nuclear class flag. Its point estimate is negative 0.145, with a robust standard error of 0.200 and a two-sided p-value of 0.469. Three features of the estimate ask for care, starting with the sign, which comes out negative. Read straight, the point estimate says ISRU and nuclear milestones run roughly fifteen one-hundredths of their planned duration less late than the architectural baseline once planned duration, baseline year, and baseline readiness are held fixed. That flips the directional call in H1, which forecast a positive class premium in line with the qualitative literature casting ISRU and fission surface power as low-maturity, elicitation-forecast capabilities parked at requirements definition rather than flight demonstration</w:t>
      </w:r>
      <w:r>
        <w:t xml:space="preserve"> </w:t>
      </w:r>
      <w:hyperlink w:anchor="ref-1">
        <w:r>
          <w:rPr>
            <w:rStyle w:val="Hyperlink"/>
          </w:rPr>
          <w:t xml:space="preserve">[1]</w:t>
        </w:r>
      </w:hyperlink>
      <w:r>
        <w:t xml:space="preserve">[2][8].</w:t>
      </w:r>
    </w:p>
    <w:p>
      <w:pPr>
        <w:pStyle w:val="BodyText"/>
        <w:spacing w:line="480" w:lineRule="auto"/>
        <w:ind w:firstLine="720"/>
      </w:pPr>
      <w:r>
        <w:t xml:space="preserve">Second, the point estimate is small in substance. Normalized slip is unitless: a value of 0.145 works out to roughly fifteen percent of a milestone’s planned duration. For a typical lunar architecture milestone planned at thirty-six months, a class effect of negative 0.145 would come to roughly five months of slip dodged, well inside the noise of any one program’s rebaselining cycle. The point estimate, then, is not merely statistically indistinguishable from zero; it is also modest in substance against the slip values it is meant to explain.</w:t>
      </w:r>
    </w:p>
    <w:p>
      <w:pPr>
        <w:pStyle w:val="BodyText"/>
        <w:spacing w:line="480" w:lineRule="auto"/>
        <w:ind w:firstLine="720"/>
      </w:pPr>
      <w:r>
        <w:t xml:space="preserve">Third, the standard error of 0.200 runs large next to the point estimate. The ratio of point estimate to standard error is roughly 0.725 in absolute value, nowhere near any conventional significance threshold, and the implied 95 percent confidence interval easily spans both directionally large positive and directionally large negative class effects. Read honestly, the milestone-level data square with a wide band of class effects, and that band centers very close to zero. This is the disciplined null Chapter 4 foresaw as one of the two outcomes the falsifiability commitment allows. It is not the same as evidence for equality, and Section 6.4 comes back to the inferential limits the distinction imposes.</w:t>
      </w:r>
    </w:p>
    <w:bookmarkEnd w:id="120"/>
    <w:bookmarkStart w:id="121" w:name="the-maturity-proxy"/>
    <w:p>
      <w:pPr>
        <w:pStyle w:val="Heading3"/>
        <w:spacing w:line="480" w:lineRule="auto"/>
      </w:pPr>
      <w:r>
        <w:t xml:space="preserve">6.1.3 The maturity proxy</w:t>
      </w:r>
    </w:p>
    <w:p>
      <w:pPr>
        <w:pStyle w:val="FirstParagraph"/>
        <w:spacing w:line="480" w:lineRule="auto"/>
      </w:pPr>
      <w:r>
        <w:t xml:space="preserve">Of every coefficient in Paper 1, the coarse technology-readiness proxy at baseline alone edges toward conventional significance. Its point estimate is negative 0.148, with a robust standard error of 0.0794 and a p-value of 0.0628. The sign reads intuitively and squares with the maturity-confounding mechanism flagged in Chapter 2: each added level of demonstrated readiness at the moment a baseline is locked ties to roughly fifteen one-hundredths of a unit less normalized slip. For a thirty-six-month milestone, a one-level gain in baseline readiness comes to roughly five months of slip dodged, and a three-level gain, the span from a level-four flight-environment laboratory demonstration to a level-seven flight-prototype demonstration, would come to roughly fifteen months dodged.</w:t>
      </w:r>
    </w:p>
    <w:p>
      <w:pPr>
        <w:pStyle w:val="BodyText"/>
        <w:spacing w:line="480" w:lineRule="auto"/>
        <w:ind w:firstLine="720"/>
      </w:pPr>
      <w:r>
        <w:t xml:space="preserve">The p-value of 0.0628 sits a hair above the conventional five-percent threshold and reads best as marginal. The standard error of 0.0794 runs small next to the point estimate, the ratio of estimate to standard error reaching roughly 1.86 in absolute value, well above the standard error ratio on any other coefficient in the run. In that sense the maturity proxy is the one variable in Paper 1 pulling real weight, and the meager twelve-percent explained variance the model musters bunches almost wholly on this single covariate. The pattern squares with the literature framing in the prospectus, where ISRU and fission surface power get flagged as low-readiness capabilities forecast by expert elicitation rather than flight heritage</w:t>
      </w:r>
      <w:r>
        <w:t xml:space="preserve"> </w:t>
      </w:r>
      <w:hyperlink w:anchor="ref-1">
        <w:r>
          <w:rPr>
            <w:rStyle w:val="Hyperlink"/>
          </w:rPr>
          <w:t xml:space="preserve">[1]</w:t>
        </w:r>
      </w:hyperlink>
      <w:r>
        <w:t xml:space="preserve">, and where the technical hybridization inside ISRU plant designs drives home that readiness itself stays unsettled before any baseline is locked</w:t>
      </w:r>
      <w:r>
        <w:t xml:space="preserve"> </w:t>
      </w:r>
      <w:hyperlink w:anchor="ref-4">
        <w:r>
          <w:rPr>
            <w:rStyle w:val="Hyperlink"/>
          </w:rPr>
          <w:t xml:space="preserve">[4]</w:t>
        </w:r>
      </w:hyperlink>
      <w:r>
        <w:t xml:space="preserve">. Both papers cite the same prior in this register, yet they reach the verdict through their own coefficients rather than by importing it.</w:t>
      </w:r>
    </w:p>
    <w:bookmarkEnd w:id="121"/>
    <w:bookmarkStart w:id="122" w:name="the-remaining-controls"/>
    <w:p>
      <w:pPr>
        <w:pStyle w:val="Heading3"/>
        <w:spacing w:line="480" w:lineRule="auto"/>
      </w:pPr>
      <w:r>
        <w:t xml:space="preserve">6.1.4 The remaining controls</w:t>
      </w:r>
    </w:p>
    <w:p>
      <w:pPr>
        <w:pStyle w:val="FirstParagraph"/>
        <w:spacing w:line="480" w:lineRule="auto"/>
      </w:pPr>
      <w:r>
        <w:t xml:space="preserve">The baselined planned duration carries a coefficient of negative 0.0034 with a robust standard error of 0.0049 and a p-value of 0.488. Read straight, the point estimate says each added month of planned duration ties to a three-thousandths-of-a-unit drop in normalized slip, small in size, indistinguishable from zero in significance, and in keeping with the normalization having largely done its job of clearing the mechanical scale dependence that drove dividing slip by planned duration to begin with. Had the normalization fallen short, the planned-duration coefficient would likely have swept up heavy residual variance one way or the other. Its near-zero estimate is therefore a quiet but handy scrap of construct validation for the dependent variable, even if the imprecision on it caps how hard that reading can be leaned on.</w:t>
      </w:r>
    </w:p>
    <w:p>
      <w:pPr>
        <w:pStyle w:val="BodyText"/>
        <w:spacing w:line="480" w:lineRule="auto"/>
        <w:ind w:firstLine="720"/>
      </w:pPr>
      <w:r>
        <w:t xml:space="preserve">The calendar year of the earliest baseline carries a coefficient of negative 0.0375 with a robust standard error of 0.041 and a p-value of 0.360. Each added calendar year of baseline date ties to a three-and-three-quarters-of-a-percent drop in normalized slip, again imprecise and not tellable from zero. The intercept, fitted at 77.06 with a robust standard error of 83.28 and a p-value of 0.355, is a byproduct of leaving baseline year on its natural calendar scale rather than centering it, and it carries no substantive reading. The constant appears here for completeness alone.</w:t>
      </w:r>
    </w:p>
    <w:bookmarkEnd w:id="122"/>
    <w:bookmarkStart w:id="123" w:name="what-paper-1-establishes"/>
    <w:p>
      <w:pPr>
        <w:pStyle w:val="Heading3"/>
        <w:spacing w:line="480" w:lineRule="auto"/>
      </w:pPr>
      <w:r>
        <w:t xml:space="preserve">6.1.5 What Paper 1 establishes</w:t>
      </w:r>
    </w:p>
    <w:p>
      <w:pPr>
        <w:pStyle w:val="FirstParagraph"/>
        <w:spacing w:line="480" w:lineRule="auto"/>
      </w:pPr>
      <w:r>
        <w:t xml:space="preserve">Taken together, the Paper 1 estimates back a narrow but disciplined verdict. The class flag comes out small, wrong-signed against the directional hypothesis, and statistically indistinguishable from zero with a wide confidence band. The maturity proxy carries a marginally significant negative coefficient whose size is policy-relevant: each added readiness level at baseline ties to roughly fifteen percent of a milestone’s planned duration in dodged slip. The remaining controls do nothing the model can catch. H1 goes unbacked on this estimator and this sample. The data square with two readings the milestone-level evidence cannot pull apart: either ISRU and nuclear milestones truly carry no class premium of their own and the apparent fragility of these lines is wholly a maturity story, or the sample runs too small and the class cell too thin to catch a class premium that does exist. Paper 2 is built to throw more statistical power at exactly that split.</w:t>
      </w:r>
    </w:p>
    <w:bookmarkEnd w:id="123"/>
    <w:bookmarkEnd w:id="124"/>
    <w:bookmarkStart w:id="132" w:name="paper-2-project-level-cumulative-slip"/>
    <w:p>
      <w:pPr>
        <w:pStyle w:val="Heading2"/>
        <w:spacing w:line="480" w:lineRule="auto"/>
      </w:pPr>
      <w:r>
        <w:t xml:space="preserve">6.2 Paper 2: Project-Level Cumulative Slip</w:t>
      </w:r>
    </w:p>
    <w:p>
      <w:pPr>
        <w:pStyle w:val="FirstParagraph"/>
        <w:spacing w:line="480" w:lineRule="auto"/>
      </w:pPr>
      <w:r>
        <w:t xml:space="preserve">Paper 2 regresses cumulative project-level schedule slip in months on a frontier flag set to one where a project’s critical milestone is an ISRU, fission, or radioisotope surface-power capability, together with three controls: technology readiness level at baseline, life-cycle cost in billions of dollars as a complexity proxy, and a binary flag for crew involvement. The sample runs to thirty NASA development projects spanning lunar surface systems, the Artemis transportation stack, planetary science, and Earth science, its slip values drawn from the GAO Assessments of Major Projects series, NASA Office of Inspector General reports, and agency mission announcements</w:t>
      </w:r>
      <w:r>
        <w:t xml:space="preserve"> </w:t>
      </w:r>
      <w:hyperlink w:anchor="ref-13">
        <w:r>
          <w:rPr>
            <w:rStyle w:val="Hyperlink"/>
          </w:rPr>
          <w:t xml:space="preserve">[13]</w:t>
        </w:r>
      </w:hyperlink>
      <w:r>
        <w:t xml:space="preserve">[14][15][16].</w:t>
      </w:r>
    </w:p>
    <w:bookmarkStart w:id="125" w:name="global-fit-1"/>
    <w:p>
      <w:pPr>
        <w:pStyle w:val="Heading3"/>
        <w:spacing w:line="480" w:lineRule="auto"/>
      </w:pPr>
      <w:r>
        <w:t xml:space="preserve">6.2.1 Global fit</w:t>
      </w:r>
    </w:p>
    <w:p>
      <w:pPr>
        <w:pStyle w:val="FirstParagraph"/>
        <w:spacing w:line="480" w:lineRule="auto"/>
      </w:pPr>
      <w:r>
        <w:t xml:space="preserve">Swapping a milestone-normalized outcome for a project-level cumulative one, and folding in life-cycle cost and crew involvement as covariates, transforms how much the specification explains. The unadjusted R-squared climbs to 0.671, so the four right-hand-side variables together account for roughly two-thirds of the variance in cumulative project slip across the thirty rows. The adjusted R-squared is 0.618, well clear of zero, confirming the in-sample fit is no small-sample artifact and that the specification spends degrees of freedom in step with the variance it truly explains. The F-statistic of 28.82 carries a p-value of roughly 4.88 by ten to the negative ninth power against the joint null that every slope coefficient is zero, so the specification as a whole stands overwhelmingly apart from a constant-only model. This is the chapter’s second substantive finding and it carries straight into how the individual coefficients get read: at project level the specification pulls real weight and the individual coefficients can be read with more confidence than the Paper 1 estimates allow.</w:t>
      </w:r>
    </w:p>
    <w:bookmarkEnd w:id="125"/>
    <w:bookmarkStart w:id="126" w:name="the-frontier-indicator"/>
    <w:p>
      <w:pPr>
        <w:pStyle w:val="Heading3"/>
        <w:spacing w:line="480" w:lineRule="auto"/>
      </w:pPr>
      <w:r>
        <w:t xml:space="preserve">6.2.2 The frontier indicator</w:t>
      </w:r>
    </w:p>
    <w:p>
      <w:pPr>
        <w:pStyle w:val="FirstParagraph"/>
        <w:spacing w:line="480" w:lineRule="auto"/>
      </w:pPr>
      <w:r>
        <w:t xml:space="preserve">Standing as the project-level analog of Paper 1’s class flag, the frontier flag is the parameter the dissertation’s falsifiability commitment rides on above all. Its point estimate is negative 2.946 months of slip, with a robust standard error of 8.4927 and a two-sided p-value of 0.7287. Read straight, the point estimate says projects whose critical milestone is an ISRU or nuclear capability pile up roughly three months less cumulative slip than projects in the comparison set, once technology readiness at baseline, life-cycle cost, and crew involvement are held fixed. The estimate comes out small, wrong-signed against the directional hypothesis in H1, and statistically indistinguishable from zero by a wide margin. The standard error runs nearly three times the size of the point estimate, and the implied 95 percent confidence interval spans roughly twenty months of class premium either way, more than enough room for any substantively meaningful directional effect the literature would forecast.</w:t>
      </w:r>
    </w:p>
    <w:p>
      <w:pPr>
        <w:pStyle w:val="BodyText"/>
        <w:spacing w:line="480" w:lineRule="auto"/>
        <w:ind w:firstLine="720"/>
      </w:pPr>
      <w:r>
        <w:t xml:space="preserve">Three features of the estimate sharpen the verdict. First, the sign agreement with Paper 1 matters. The two papers carry the class through different flags (milestone-level class against project-level frontier), take different dependent variables (normalized milestone slip against cumulative project slip in months), and draw on partly separate samples; yet both return negative point estimates small in size and statistically indistinguishable from zero. That agreement cuts the odds the Paper 1 null is a small-sample artifact peculiar to the milestone panel. Second, the point estimate is substantively negligible. Three months of slip sits well inside the rebaselining cycle of any flagship lunar architecture line and gets dwarfed by the project-level cost coefficient below. Third, the p-value of 0.7287 is the largest in the run and rests nearer one than any conventional significance threshold; the frontier flag does essentially no detectable work in the model.</w:t>
      </w:r>
    </w:p>
    <w:p>
      <w:pPr>
        <w:pStyle w:val="BodyText"/>
        <w:spacing w:line="480" w:lineRule="auto"/>
        <w:ind w:firstLine="720"/>
      </w:pPr>
      <w:r>
        <w:t xml:space="preserve">This is the same disciplined null as Paper 1, only reached with far more statistical power and inside a specification whose global fit is strongly significant. What follows is that the frontier label, once a project’s readiness at baseline, its scale, and its crew status are folded in, does not forecast cumulative slip. The fragility ISRU and nuclear projects show in the raw record gets caught by the covariates ringing the frontier flag, not by the flag itself. The next two subsections say which covariates pull the weight.</w:t>
      </w:r>
    </w:p>
    <w:bookmarkEnd w:id="126"/>
    <w:bookmarkStart w:id="127" w:name="baseline-technology-readiness"/>
    <w:p>
      <w:pPr>
        <w:pStyle w:val="Heading3"/>
        <w:spacing w:line="480" w:lineRule="auto"/>
      </w:pPr>
      <w:r>
        <w:t xml:space="preserve">6.2.3 Baseline technology readiness</w:t>
      </w:r>
    </w:p>
    <w:p>
      <w:pPr>
        <w:pStyle w:val="FirstParagraph"/>
        <w:spacing w:line="480" w:lineRule="auto"/>
      </w:pPr>
      <w:r>
        <w:t xml:space="preserve">The coefficient on baseline technology readiness level is negative 12.1675 months per readiness level, with a robust standard error of 3.3696 and a p-value of 0.0003.</w:t>
      </w:r>
    </w:p>
    <w:p>
      <w:pPr>
        <w:pStyle w:val="BodyText"/>
        <w:spacing w:line="480" w:lineRule="auto"/>
        <w:ind w:firstLine="720"/>
      </w:pPr>
      <w:r>
        <w:t xml:space="preserve">This is the most strongly significant coefficient in the run and the chapter’s most policy-relevant finding. Each added level of demonstrated readiness at the moment a project’s baseline is locked ties to roughly a year of dodged cumulative slip, on a tightly bounded standard error. The ratio of point estimate to standard error is roughly 3.61 in absolute value, far above any conventional threshold, and the p-value lands the result well inside the one-in-a-thousand band.</w:t>
      </w:r>
    </w:p>
    <w:p>
      <w:pPr>
        <w:pStyle w:val="BodyText"/>
        <w:spacing w:line="480" w:lineRule="auto"/>
        <w:ind w:firstLine="720"/>
      </w:pPr>
      <w:r>
        <w:t xml:space="preserve">Striking is the size in substance. Weigh what two readiness levels buy. A project entering its committed baseline at readiness level four rather than level six piles up, on these estimates, roughly twenty-four months of added slip on average, holding cost, crew involvement, and the frontier label fixed. For a typical lunar architecture commitment with a planned launch readiness near the end of the decade, that is the gap between meeting the baseline and slipping two years past it. The coefficient carries into practice, at project level, the maturity-confounding mechanism Paper 1 caught only at the edge of significance: the variable that truly forecasts slip is the readiness of the underlying technology at the moment the baseline is locked, whether that technology happens to be ISRU, nuclear, or any other class.</w:t>
      </w:r>
    </w:p>
    <w:p>
      <w:pPr>
        <w:pStyle w:val="BodyText"/>
        <w:spacing w:line="480" w:lineRule="auto"/>
        <w:ind w:firstLine="720"/>
      </w:pPr>
      <w:r>
        <w:t xml:space="preserve">The finding squares with the qualitative literature framing of ISRU as a capability leaning on planetary-surface processes that resist ground analog validation</w:t>
      </w:r>
      <w:r>
        <w:t xml:space="preserve"> </w:t>
      </w:r>
      <w:hyperlink w:anchor="ref-2">
        <w:r>
          <w:rPr>
            <w:rStyle w:val="Hyperlink"/>
          </w:rPr>
          <w:t xml:space="preserve">[2]</w:t>
        </w:r>
      </w:hyperlink>
      <w:r>
        <w:t xml:space="preserve">[8] and forecast by expert elicitation rather than flight heritage</w:t>
      </w:r>
      <w:r>
        <w:t xml:space="preserve"> </w:t>
      </w:r>
      <w:hyperlink w:anchor="ref-1">
        <w:r>
          <w:rPr>
            <w:rStyle w:val="Hyperlink"/>
          </w:rPr>
          <w:t xml:space="preserve">[1]</w:t>
        </w:r>
      </w:hyperlink>
      <w:r>
        <w:t xml:space="preserve">. It also squares with the parallel framing of fission and radioisotope surface power as capabilities still at the prototype-to-flight transition where schedule risk bunches</w:t>
      </w:r>
      <w:r>
        <w:t xml:space="preserve"> </w:t>
      </w:r>
      <w:hyperlink w:anchor="ref-9">
        <w:r>
          <w:rPr>
            <w:rStyle w:val="Hyperlink"/>
          </w:rPr>
          <w:t xml:space="preserve">[9]</w:t>
        </w:r>
      </w:hyperlink>
      <w:r>
        <w:t xml:space="preserve">. The Paper 2 coefficient prices the schedule consequence of that framing rather than merely echoing it: each unit of readiness at baseline is worth roughly twelve months of cumulative slip dodged.</w:t>
      </w:r>
    </w:p>
    <w:bookmarkEnd w:id="127"/>
    <w:bookmarkStart w:id="128" w:name="life-cycle-cost-as-complexity-proxy"/>
    <w:p>
      <w:pPr>
        <w:pStyle w:val="Heading3"/>
        <w:spacing w:line="480" w:lineRule="auto"/>
      </w:pPr>
      <w:r>
        <w:t xml:space="preserve">6.2.4 Life-cycle cost as complexity proxy</w:t>
      </w:r>
    </w:p>
    <w:p>
      <w:pPr>
        <w:pStyle w:val="FirstParagraph"/>
        <w:spacing w:line="480" w:lineRule="auto"/>
      </w:pPr>
      <w:r>
        <w:t xml:space="preserve">The cost coefficient is positive 1.3042 months of slip per billion dollars of life-cycle cost, with a robust standard error of 0.4014 and a p-value of 0.0012.</w:t>
      </w:r>
    </w:p>
    <w:p>
      <w:pPr>
        <w:pStyle w:val="BodyText"/>
        <w:spacing w:line="480" w:lineRule="auto"/>
        <w:ind w:firstLine="720"/>
      </w:pPr>
      <w:r>
        <w:t xml:space="preserve">The ratio of point estimate to standard error is roughly 3.25 in absolute value, again well inside conventional significance, and the p-value lands the result inside the one-in-a-thousand band. Larger projects slip more, and the tie runs roughly linear over the cost range the sample holds. A five-billion-dollar project carries an expected six-and-a-half months of added slip against an otherwise comparable one-billion-dollar project, and a ten-billion-dollar flagship carries roughly thirteen months of added slip against that same baseline.</w:t>
      </w:r>
    </w:p>
    <w:p>
      <w:pPr>
        <w:pStyle w:val="BodyText"/>
        <w:spacing w:line="480" w:lineRule="auto"/>
        <w:ind w:firstLine="720"/>
      </w:pPr>
      <w:r>
        <w:t xml:space="preserve">The reading is that life-cycle cost in this run does the scale-and-complexity proxy work the prospectus set aside for it. Larger lunar architecture commitments drag in more integration interfaces, more parallel subsystem development tracks, and more program-management coordination overhead, all of which widen the surface where slip can pile up. The cost coefficient does not unseat the readiness coefficient; the two enter the run at comparable statistical strength but catch separate mechanisms. Readiness catches how mature the underlying technology is when the baseline is locked; cost catches how much architectural surface the project signs up to integrate. Together they account for the bulk of the explained variance in cumulative slip. The frontier label accounts for none of it.</w:t>
      </w:r>
    </w:p>
    <w:bookmarkEnd w:id="128"/>
    <w:bookmarkStart w:id="129" w:name="crew-involvement"/>
    <w:p>
      <w:pPr>
        <w:pStyle w:val="Heading3"/>
        <w:spacing w:line="480" w:lineRule="auto"/>
      </w:pPr>
      <w:r>
        <w:t xml:space="preserve">6.2.5 Crew involvement</w:t>
      </w:r>
    </w:p>
    <w:p>
      <w:pPr>
        <w:pStyle w:val="FirstParagraph"/>
        <w:spacing w:line="480" w:lineRule="auto"/>
      </w:pPr>
      <w:r>
        <w:t xml:space="preserve">The crew-involvement flag carries a coefficient of negative 11.2079 months, with a robust standard error of 7.22 and a p-value of 0.1206. The point estimate hints that crewed projects pile up roughly eleven months less cumulative slip than uncrewed projects of comparable readiness, cost, and frontier status, but the p-value lands the estimate above any conventional significance threshold and the standard error runs large next to the point estimate. The ratio of point estimate to standard error is roughly 1.55 in absolute value.</w:t>
      </w:r>
    </w:p>
    <w:p>
      <w:pPr>
        <w:pStyle w:val="BodyText"/>
        <w:spacing w:line="480" w:lineRule="auto"/>
        <w:ind w:firstLine="720"/>
      </w:pPr>
      <w:r>
        <w:t xml:space="preserve">Two readings square with the estimate. One holds that crew involvement fires a higher pitch of program-management discipline, oversight intensity, and reserve commitment on account of the human-safety stakes riding on the milestone, and that this discipline yields marginally less slip than uncrewed projects of equal nominal complexity. The other holds that the sample carries too few crewed projects against uncrewed ones to catch a true crew effect with any precision, and the negative point estimate squares with no effect at all once sample uncertainty is folded in. The marginal p-value grants no confident pick between the two. The estimate appears here as suggestive and in keeping with operational expectations, but no falsifiable claim rides on it.</w:t>
      </w:r>
    </w:p>
    <w:bookmarkEnd w:id="129"/>
    <w:bookmarkStart w:id="130" w:name="intercept"/>
    <w:p>
      <w:pPr>
        <w:pStyle w:val="Heading3"/>
        <w:spacing w:line="480" w:lineRule="auto"/>
      </w:pPr>
      <w:r>
        <w:t xml:space="preserve">6.2.6 Intercept</w:t>
      </w:r>
    </w:p>
    <w:p>
      <w:pPr>
        <w:pStyle w:val="FirstParagraph"/>
        <w:spacing w:line="480" w:lineRule="auto"/>
      </w:pPr>
      <w:r>
        <w:t xml:space="preserve">The constant is fitted at 90.2152 months with a robust standard error of 23.3763 and a p-value of 0.0001. Read straight, the intercept stands for the forecast cumulative slip of a hypothetical project at the model’s reference values: a non-frontier, uncrewed project with zero life-cycle cost and a baseline readiness level of zero. None of those reference values can be reached in practice, so the intercept carries no substantive reading as a quantity of expected slip. Its statistical significance mirrors the strong overall fit of the run rather than any policy-relevant baseline.</w:t>
      </w:r>
    </w:p>
    <w:bookmarkEnd w:id="130"/>
    <w:bookmarkStart w:id="131" w:name="what-paper-2-establishes"/>
    <w:p>
      <w:pPr>
        <w:pStyle w:val="Heading3"/>
        <w:spacing w:line="480" w:lineRule="auto"/>
      </w:pPr>
      <w:r>
        <w:t xml:space="preserve">6.2.7 What Paper 2 establishes</w:t>
      </w:r>
    </w:p>
    <w:p>
      <w:pPr>
        <w:pStyle w:val="FirstParagraph"/>
        <w:spacing w:line="480" w:lineRule="auto"/>
      </w:pPr>
      <w:r>
        <w:t xml:space="preserve">Paper 2 confirms the Paper 1 null on the class hypothesis with far more statistical power and inside a specification whose global fit is strongly significant. The frontier flag comes out statistically indistinguishable from zero at a p-value of 0.7287 and a point estimate small in size and wrong-signed against H1. What forecasts cumulative slip in this sample is baseline technology readiness, at a strongly significant coefficient of negative 12.1675 months per readiness level, and project scale, at a strongly significant coefficient of positive 1.3042 months per billion dollars of life-cycle cost. Crew involvement enters with a directionally plausible but imprecisely fitted negative coefficient. The pattern holds steady across the two papers despite their splits in unit of analysis, dependent variable, and sample frame.</w:t>
      </w:r>
    </w:p>
    <w:bookmarkEnd w:id="131"/>
    <w:bookmarkEnd w:id="132"/>
    <w:bookmarkStart w:id="133" w:name="cross-paper-synthesis"/>
    <w:p>
      <w:pPr>
        <w:pStyle w:val="Heading2"/>
        <w:spacing w:line="480" w:lineRule="auto"/>
      </w:pPr>
      <w:r>
        <w:t xml:space="preserve">6.3 Cross-Paper Synthesis</w:t>
      </w:r>
    </w:p>
    <w:p>
      <w:pPr>
        <w:pStyle w:val="FirstParagraph"/>
        <w:spacing w:line="480" w:lineRule="auto"/>
      </w:pPr>
      <w:r>
        <w:t xml:space="preserve">Read side by side, the two papers tell one steady story. The class flag and its project-level analog, the frontier flag, carry no slip premia of their own once readiness, scale, and crew involvement are folded in. Both point estimates come out small, both wrong-signed against the directional hypothesis in H1, and both at p-values that leave the null comfortable. Maturity is the exception. That proxy carries a negative and policy-relevant coefficient in both runs, marginally significant in Paper 1 and strongly significant in Paper 2. The project-level cost coefficient throws in a second strongly significant mechanism Paper 1 was never built to catch. What comes of it is a disciplined refutation of H1 paired with priced evidence for the maturity-confounding alternative the literature review foresaw.</w:t>
      </w:r>
    </w:p>
    <w:p>
      <w:pPr>
        <w:pStyle w:val="BodyText"/>
        <w:spacing w:line="480" w:lineRule="auto"/>
        <w:ind w:firstLine="720"/>
      </w:pPr>
      <w:r>
        <w:t xml:space="preserve">The agreement is not mechanical. The two papers carry the class differently, take different outcomes, and draw on partly separate samples. The Paper 1 outcome gets normalized by planned duration to clear scale dependence; the Paper 2 outcome sits in months of cumulative slip unnormalized, scale instead handled by the cost covariate. The Paper 1 sample is panel-friendly at milestone level and supports within-program comparisons in principle, though the small cell blocks fixed-effects identification on the present data. The Paper 2 sample is cross-sectional at project level and brings the added structural covariates of life-cycle cost and crew status to bear. That the two estimators return sign-agreeing class results across these splits firms up the inference: the missing class premium is no artifact of either run’s particular build choices.</w:t>
      </w:r>
    </w:p>
    <w:p>
      <w:pPr>
        <w:pStyle w:val="BodyText"/>
        <w:spacing w:line="480" w:lineRule="auto"/>
        <w:ind w:firstLine="720"/>
      </w:pPr>
      <w:r>
        <w:t xml:space="preserve">What the two papers cannot do is rule out a class premium that is real yet smaller than these samples can resolve. The Paper 1 confidence interval on the class flag spans both directionally large positive and directionally large negative values, and the Paper 2 confidence interval on the frontier flag spans roughly twenty months of premium either way. The disciplined inference, then, is that the data square with no class premium, and square with class premia far smaller than the maturity effect, yet stay too blunt to certify equality. That distinction matters for the policy reading Chapter 7 builds, since it settles whether the recommended management lever is to strip class-specific oversight regimes outright or to keep the class label as a handy but secondary cue once readiness has been measured straight.</w:t>
      </w:r>
    </w:p>
    <w:bookmarkEnd w:id="133"/>
    <w:bookmarkStart w:id="134" w:name="limits-carried-into-chapter-7"/>
    <w:p>
      <w:pPr>
        <w:pStyle w:val="Heading2"/>
        <w:spacing w:line="480" w:lineRule="auto"/>
      </w:pPr>
      <w:r>
        <w:t xml:space="preserve">6.4 Limits Carried Into Chapter 7</w:t>
      </w:r>
    </w:p>
    <w:p>
      <w:pPr>
        <w:pStyle w:val="FirstParagraph"/>
        <w:spacing w:line="480" w:lineRule="auto"/>
      </w:pPr>
      <w:r>
        <w:t xml:space="preserve">Three limitations frame the reading the discussion chapter will chase. First, the milestone sample at twenty-eight rows and the project sample at thirty rows both run modest, and the ISRU and nuclear cells inside each run smaller still. Failing to reject the null is not the same as evidence for equality, and the confidence intervals on both class coefficients run wide. Second, the readiness proxy runs coarse, leaning on the standard nine-point scale as agency documentation records it, and is itself an agency judgment prone to baseline optimism</w:t>
      </w:r>
      <w:r>
        <w:t xml:space="preserve"> </w:t>
      </w:r>
      <w:hyperlink w:anchor="ref-12">
        <w:r>
          <w:rPr>
            <w:rStyle w:val="Hyperlink"/>
          </w:rPr>
          <w:t xml:space="preserve">[12]</w:t>
        </w:r>
      </w:hyperlink>
      <w:r>
        <w:t xml:space="preserve">. A finer or independently audited maturity gauge might sharpen the readiness coefficient and, in doing so, shift explanatory weight toward or away from the class flag. Third, cancellation-truncated slip values in Paper 2 undersell the eventual schedule cost of killed projects, and the milestone-level censoring Chapter 5 takes up goes unmet by the OLS estimator in Paper 1. The companion discrete-time hazard specification the prospectus proposes meets that censoring head-on but goes unfit on the present data.</w:t>
      </w:r>
    </w:p>
    <w:p>
      <w:pPr>
        <w:pStyle w:val="BodyText"/>
        <w:spacing w:line="480" w:lineRule="auto"/>
        <w:ind w:firstLine="720"/>
      </w:pPr>
      <w:r>
        <w:t xml:space="preserve">Within these limits, the chapter fixes a clear empirical pattern. The variable the qualitative literature on lunar architecture flags as theoretically suspect, the ISRU and nuclear class, does not forecast slip once readiness is controlled. The variable the same literature flags as the underlying mechanism, immaturity at baseline, does. Cumulative slip also climbs with project scale and gets weakly pulled down by crew involvement. This pattern, with its specific sizes and standard errors, is the empirical substance Chapter 7 will read against the load-bearing sequencing concerns the cislunar economic roadmaps raise</w:t>
      </w:r>
      <w:r>
        <w:t xml:space="preserve"> </w:t>
      </w:r>
      <w:hyperlink w:anchor="ref-6">
        <w:r>
          <w:rPr>
            <w:rStyle w:val="Hyperlink"/>
          </w:rPr>
          <w:t xml:space="preserve">[6]</w:t>
        </w:r>
      </w:hyperlink>
      <w:r>
        <w:t xml:space="preserve">[7] and against the architectural sustainability arguments the lunar growth and traffic management literature advances</w:t>
      </w:r>
      <w:r>
        <w:t xml:space="preserve"> </w:t>
      </w:r>
      <w:hyperlink w:anchor="ref-5">
        <w:r>
          <w:rPr>
            <w:rStyle w:val="Hyperlink"/>
          </w:rPr>
          <w:t xml:space="preserve">[5]</w:t>
        </w:r>
      </w:hyperlink>
      <w:r>
        <w:t xml:space="preserve">[24].</w:t>
      </w:r>
    </w:p>
    <w:bookmarkEnd w:id="134"/>
    <w:bookmarkEnd w:id="135"/>
    <w:bookmarkStart w:id="142" w:name="X21322cb5e29cbf4eb576afddcad42f86ace4e0d"/>
    <w:p>
      <w:pPr>
        <w:pStyle w:val="Heading1"/>
        <w:spacing w:line="480" w:lineRule="auto"/>
      </w:pPr>
      <w:r>
        <w:t xml:space="preserve">Chapter 7. Discussion and Governance Implications</w:t>
      </w:r>
    </w:p>
    <w:bookmarkStart w:id="136" w:name="restating-the-empirical-verdict"/>
    <w:p>
      <w:pPr>
        <w:pStyle w:val="Heading2"/>
        <w:spacing w:line="480" w:lineRule="auto"/>
      </w:pPr>
      <w:r>
        <w:t xml:space="preserve">7.1 Restating the Empirical Verdict</w:t>
      </w:r>
    </w:p>
    <w:p>
      <w:pPr>
        <w:pStyle w:val="FirstParagraph"/>
        <w:spacing w:line="480" w:lineRule="auto"/>
      </w:pPr>
      <w:r>
        <w:t xml:space="preserve">The two empirical papers anchoring this dissertation meet on one disciplined finding. Across a cross-project regression of twenty-eight NASA major-project milestones and a companion thirty-project life-cycle slip model, the In-Situ Resource Utilization and surface-nuclear class flag shows no statistically tellable tie to normalized schedule slip once baseline technology readiness is held fixed. The cross-project run returns a class coefficient of negative 0.145 with a robust standard error of 0.200, indistinguishable from zero at any conventional level, while the life-cycle run returns a frontier coefficient of roughly negative three months against a standard error near eight and a half months. Neither run lets the class flag survive a maturity proxy, and in both the technology-readiness coefficient shoulders the interpretive weight: a one-level rise in baseline readiness ties to roughly 0.148 less normalized slip in the milestone regression and to roughly twelve months less cumulative slip in the project regression. The signs read intuitively, the sizes bear on policy, and the inferential message holds across both cuts of the record.</w:t>
      </w:r>
    </w:p>
    <w:p>
      <w:pPr>
        <w:pStyle w:val="BodyText"/>
        <w:spacing w:line="480" w:lineRule="auto"/>
        <w:ind w:firstLine="720"/>
      </w:pPr>
      <w:r>
        <w:t xml:space="preserve">The hypothesis the prospectus opened with, that ISRU and surface-nuclear milestones run later than the architectural baseline for something peculiar to those technology classes, goes unbacked by the evidence gathered here. What the evidence does back is a maturity story. The slip ISRU and fission-power milestones show in the raw record rides with their low readiness at baseline, not with their class tag. An ISRU oxygen pilot baselined at readiness level four behaves, in schedule terms, like any other level-four milestone of like scale and committed duration. As the second paper phrased it, the frontier label marks low maturity rather than a risk factor of its own once maturity gets measured straight. This is the disciplined null the design was built to yield, and reading it is what this chapter takes up.</w:t>
      </w:r>
    </w:p>
    <w:bookmarkEnd w:id="136"/>
    <w:bookmarkStart w:id="137" w:name="X6e1084945db181964fd115364ca365d1cf7845b"/>
    <w:p>
      <w:pPr>
        <w:pStyle w:val="Heading2"/>
        <w:spacing w:line="480" w:lineRule="auto"/>
      </w:pPr>
      <w:r>
        <w:t xml:space="preserve">7.2 What the Finding Means for NASA Program Management</w:t>
      </w:r>
    </w:p>
    <w:p>
      <w:pPr>
        <w:pStyle w:val="FirstParagraph"/>
        <w:spacing w:line="480" w:lineRule="auto"/>
      </w:pPr>
      <w:r>
        <w:t xml:space="preserve">A first lesson for NASA program management is that the lever which truly moves the schedule sits earlier in the life cycle than today’s oversight regimes usually reach. The maturity coefficient, marginal at conventional thresholds yet steady across both runs, places the controllable share of slip at the moment a milestone enters a committed baseline rather than at the moment it gets executed. By the time a project has crossed Key Decision Point C and entered formal implementation, the readiness level at baseline is already written into the schedule, and downstream management is left to absorb the slip low readiness implies. That squares with the wider pattern the Government Accountability Office’s recurring assessments of NASA major projects record, which keep naming pre-baseline maturity as the variable dividing projects that hold their schedules from those that do not</w:t>
      </w:r>
      <w:r>
        <w:t xml:space="preserve"> </w:t>
      </w:r>
      <w:hyperlink w:anchor="ref-13">
        <w:r>
          <w:rPr>
            <w:rStyle w:val="Hyperlink"/>
          </w:rPr>
          <w:t xml:space="preserve">[13]</w:t>
        </w:r>
      </w:hyperlink>
      <w:r>
        <w:t xml:space="preserve">. The finding here sharpens the point: across the milestones examined, the readiness coefficient is the one covariate edging toward statistical significance, and it edges there in the forecast direction.</w:t>
      </w:r>
    </w:p>
    <w:p>
      <w:pPr>
        <w:pStyle w:val="BodyText"/>
        <w:spacing w:line="480" w:lineRule="auto"/>
        <w:ind w:firstLine="720"/>
      </w:pPr>
      <w:r>
        <w:t xml:space="preserve">Read for practice, buying down technology readiness ahead of baseline commitment, rather than hauling low-readiness work into a committed schedule and trusting focused execution to claw it back, is the most efficient schedule-realism spend NASA can make. The point estimates suggest that holding baseline commitment until an ISRU or fission-power capability has climbed one or two readiness levels would, on these data, strip out on the order of twelve to twenty-four months of expected slip. No plausible tweak to milestone-specific oversight, reserve depth, or earned-value reporting cadence yields an effect that size in the regressions fitted here. The maturity-at-baseline call rules, and everything downstream is cleanup beside it.</w:t>
      </w:r>
    </w:p>
    <w:p>
      <w:pPr>
        <w:pStyle w:val="BodyText"/>
        <w:spacing w:line="480" w:lineRule="auto"/>
        <w:ind w:firstLine="720"/>
      </w:pPr>
      <w:r>
        <w:t xml:space="preserve">A second lesson bears on the architectural firewall question. Had the class coefficient come out positive and significant, the policy answer would have run class-specific: separate oversight cadences for ISRU and surface power, dedicated schedule reserves for those lines, or architectural decoupling so a slipping ISRU pilot would not haul a lander manifest down with it. The evidence warrants no such answer. Setting ISRU and nuclear milestones apart as a management category of their own, split off from the rest of the architecture, would load on coordination costs without touching the maturity mechanism the data name as the real driver. The same maturity discipline that governs a science instrument governs a regolith electrolyzer, and the management regime ought to mirror that symmetry.</w:t>
      </w:r>
    </w:p>
    <w:p>
      <w:pPr>
        <w:pStyle w:val="BodyText"/>
        <w:spacing w:line="480" w:lineRule="auto"/>
        <w:ind w:firstLine="720"/>
      </w:pPr>
      <w:r>
        <w:t xml:space="preserve">A third lesson touches how schedule realism sits against probabilistic risk assessment as it spreads to the Artemis architecture. Recent work folding PRA methods into exploration-class programs casts first-of-kind systems as the leading source of programmatic uncertainty</w:t>
      </w:r>
      <w:r>
        <w:t xml:space="preserve"> </w:t>
      </w:r>
      <w:hyperlink w:anchor="ref-12">
        <w:r>
          <w:rPr>
            <w:rStyle w:val="Hyperlink"/>
          </w:rPr>
          <w:t xml:space="preserve">[12]</w:t>
        </w:r>
      </w:hyperlink>
      <w:r>
        <w:t xml:space="preserve">, and the maturity coefficient here hands that intuition a quantitative peg: readiness at baseline maps straight onto realized slip, and PRA frameworks can fold that mapping in as a prior. A PRA that conditions schedule-margin requirements on baseline readiness, rather than on technology domain, would square with both literatures. The dissertation’s null on the class flag is itself useful information for such a framework, since it warns against double-counting the ISRU or nuclear label as a risk factor stacked atop the maturity variable that already carries the signal.</w:t>
      </w:r>
    </w:p>
    <w:p>
      <w:pPr>
        <w:pStyle w:val="BodyText"/>
        <w:spacing w:line="480" w:lineRule="auto"/>
        <w:ind w:firstLine="720"/>
      </w:pPr>
      <w:r>
        <w:t xml:space="preserve">A fourth lesson bears on the architectural coupling the lunar literature records yet the regressions cannot fully catch. The Delphi study the prospectus leans on fixed that ISRU deployment at a 2040 lunar outpost was expected by the elicited community to call for on the order of an added megawatt of power, lashing the resource line to the nuclear line and swelling the uncertainty in both</w:t>
      </w:r>
      <w:r>
        <w:t xml:space="preserve"> </w:t>
      </w:r>
      <w:hyperlink w:anchor="ref-1">
        <w:r>
          <w:rPr>
            <w:rStyle w:val="Hyperlink"/>
          </w:rPr>
          <w:t xml:space="preserve">[1]</w:t>
        </w:r>
      </w:hyperlink>
      <w:r>
        <w:t xml:space="preserve">. Integrated ISRU logistics studies press the same coupling point at the systems level, showing resource production nested in a web of elements maturing together whose joint readiness, not any one technology’s readiness, governs the line’s real schedule</w:t>
      </w:r>
      <w:r>
        <w:t xml:space="preserve"> </w:t>
      </w:r>
      <w:hyperlink w:anchor="ref-17">
        <w:r>
          <w:rPr>
            <w:rStyle w:val="Hyperlink"/>
          </w:rPr>
          <w:t xml:space="preserve">[17]</w:t>
        </w:r>
      </w:hyperlink>
      <w:r>
        <w:t xml:space="preserve">. The regressions here watch milestones one at a time and never gauge that coupling straight. For NASA program management the lesson is that even where within-milestone slip runs on maturity, the cross-milestone slip propagation through coupled lines is a separate matter the maturity-at-baseline lever does not settle on its own. Sequencing calls on the Artemis manifest still have to reckon that ISRU plant operations presuppose surface power, and surface power presupposes a lander campaign able to set kilowatt-class fission hardware down at a polar latitude. Maturity discipline at each baseline is necessary, yet it falls short of sufficient for architectural realism.</w:t>
      </w:r>
    </w:p>
    <w:bookmarkEnd w:id="137"/>
    <w:bookmarkStart w:id="138" w:name="X0d5cce8a2b11ad0dfb92df41335dc3eea7837fe"/>
    <w:p>
      <w:pPr>
        <w:pStyle w:val="Heading2"/>
        <w:spacing w:line="480" w:lineRule="auto"/>
      </w:pPr>
      <w:r>
        <w:t xml:space="preserve">7.3 What the Finding Means for JPL Decision-Making</w:t>
      </w:r>
    </w:p>
    <w:p>
      <w:pPr>
        <w:pStyle w:val="FirstParagraph"/>
        <w:spacing w:line="480" w:lineRule="auto"/>
      </w:pPr>
      <w:r>
        <w:t xml:space="preserve">For the Jet Propulsion Laboratory, the finding shifts register from agency-wide policy to institutional positioning. JPL’s competitive identity rests on the disciplined turn of low-readiness science instruments and mission concepts into committed, schedule-credible flight projects, and the recompete environment now facing the laboratory makes that discipline a strategic variable rather than a routine one. The maturity coefficient named here speaks straight to that variable.</w:t>
      </w:r>
    </w:p>
    <w:p>
      <w:pPr>
        <w:pStyle w:val="BodyText"/>
        <w:spacing w:line="480" w:lineRule="auto"/>
        <w:ind w:firstLine="720"/>
      </w:pPr>
      <w:r>
        <w:t xml:space="preserve">A first JPL-specific lesson is that the laboratory’s long emphasis on Pre-Phase A and Phase A maturation, which industry partners and academic collaborators sometimes read as a deliberate braking of the cadence to flight, is exactly the work the data suggest yields the largest schedule-realism returns. Where an industry partner might rather baseline early and eat slip in implementation, the maturity coefficient implies that JPL’s institutional habit of holding low-readiness work in formulation until it has climbed one or two levels is the schedule-efficient call on average. This is no case for endless formulation, but it is a defensible quantitative peg for the practice whenever sponsors or appropriators press on its cost.</w:t>
      </w:r>
    </w:p>
    <w:p>
      <w:pPr>
        <w:pStyle w:val="BodyText"/>
        <w:spacing w:line="480" w:lineRule="auto"/>
        <w:ind w:firstLine="720"/>
      </w:pPr>
      <w:r>
        <w:t xml:space="preserve">A second lesson is that JPL’s portfolio spread across lunar surface systems, planetary science, and Earth science can be read through a maturity lens rather than a domain lens. The frontier label dividing a lunar ISRU demonstration from a planetary science orbiter is, on this evidence, less telling for schedule planning than the readiness level each enters its baseline at. A JPL portfolio call between a low-readiness lunar instrument and a higher-readiness planetary science instrument carries a schedule-risk weight the maturity coefficient prices, and the dissertation’s class null warns against reading the lunar option as inherently riskier than the planetary one where their readiness levels match.</w:t>
      </w:r>
    </w:p>
    <w:p>
      <w:pPr>
        <w:pStyle w:val="BodyText"/>
        <w:spacing w:line="480" w:lineRule="auto"/>
        <w:ind w:firstLine="720"/>
      </w:pPr>
      <w:r>
        <w:t xml:space="preserve">A third lesson bears on JPL’s interface with NASA’s exploration directorates over ISRU and surface-power demonstration payloads. The probabilistic risk assessment framework spreading to Artemis</w:t>
      </w:r>
      <w:r>
        <w:t xml:space="preserve"> </w:t>
      </w:r>
      <w:hyperlink w:anchor="ref-12">
        <w:r>
          <w:rPr>
            <w:rStyle w:val="Hyperlink"/>
          </w:rPr>
          <w:t xml:space="preserve">[12]</w:t>
        </w:r>
      </w:hyperlink>
      <w:r>
        <w:t xml:space="preserve"> </w:t>
      </w:r>
      <w:r>
        <w:t xml:space="preserve">and the FLARE-style flexible-architecture treatments that stress enabling-technology readiness as the leading programmatic driver</w:t>
      </w:r>
      <w:r>
        <w:t xml:space="preserve"> </w:t>
      </w:r>
      <w:hyperlink w:anchor="ref-20">
        <w:r>
          <w:rPr>
            <w:rStyle w:val="Hyperlink"/>
          </w:rPr>
          <w:t xml:space="preserve">[20]</w:t>
        </w:r>
      </w:hyperlink>
      <w:r>
        <w:t xml:space="preserve"> </w:t>
      </w:r>
      <w:r>
        <w:t xml:space="preserve">both back a JPL posture where payload baseline commitments get sequenced behind documented readiness gates rather than ahead of them. The dissertation’s evidence lays the empirical floor under that posture: across the milestones watched, the readiness coefficient is the variable that moves slip, and JPL’s bargaining stance with exploration sponsors gets firmer by pointing to that quantitative pattern rather than to qualitative engineering judgment alone.</w:t>
      </w:r>
    </w:p>
    <w:p>
      <w:pPr>
        <w:pStyle w:val="BodyText"/>
        <w:spacing w:line="480" w:lineRule="auto"/>
        <w:ind w:firstLine="720"/>
      </w:pPr>
      <w:r>
        <w:t xml:space="preserve">A fourth lesson touches JPL’s part in the integrated cis-lunar ecosystem the systems-level models in the literature now sketch</w:t>
      </w:r>
      <w:r>
        <w:t xml:space="preserve"> </w:t>
      </w:r>
      <w:hyperlink w:anchor="ref-18">
        <w:r>
          <w:rPr>
            <w:rStyle w:val="Hyperlink"/>
          </w:rPr>
          <w:t xml:space="preserve">[18]</w:t>
        </w:r>
      </w:hyperlink>
      <w:r>
        <w:t xml:space="preserve">. Those models read resource extraction, surface power, and habitation as a coupled system whose joint maturity governs the real cadence of operations. JPL’s contribution to such a system reads most credible where the laboratory’s institutional discipline on baseline-readiness stands visible and quantifiable, since the cross-line slip propagation the systems models warn of can be managed only where each contributing institution holds its own baselines to a steady readiness standard. The dissertation’s finding hands JPL a defensible benchmark to point to when bargaining that standard with NASA Headquarters and with industry partners.</w:t>
      </w:r>
    </w:p>
    <w:p>
      <w:pPr>
        <w:pStyle w:val="BodyText"/>
        <w:spacing w:line="480" w:lineRule="auto"/>
        <w:ind w:firstLine="720"/>
      </w:pPr>
      <w:r>
        <w:t xml:space="preserve">A fifth lesson is reputational. The recompete environment puts JPL’s recent schedule performance under the glass, and the pull to lay slip at the inherent difficulty of frontier technologies is institutionally handy but, on this evidence, empirically thin. The data point to maturity at baseline as the variable that explains slip, and that variable is one JPL steers heavily through its formulation practices. Recasting the laboratory’s schedule narrative around demonstrable readiness discipline, rather than around the difficulty of the technologies themselves, squares with the empirical pattern and is, over the long run, the more credible institutional posture.</w:t>
      </w:r>
    </w:p>
    <w:bookmarkEnd w:id="138"/>
    <w:bookmarkStart w:id="139" w:name="limitations"/>
    <w:p>
      <w:pPr>
        <w:pStyle w:val="Heading2"/>
        <w:spacing w:line="480" w:lineRule="auto"/>
      </w:pPr>
      <w:r>
        <w:t xml:space="preserve">7.4 Limitations</w:t>
      </w:r>
    </w:p>
    <w:p>
      <w:pPr>
        <w:pStyle w:val="FirstParagraph"/>
        <w:spacing w:line="480" w:lineRule="auto"/>
      </w:pPr>
      <w:r>
        <w:t xml:space="preserve">Five limitations bound the claims above, and frank engagement with each is essential to the dissertation’s standing.</w:t>
      </w:r>
    </w:p>
    <w:p>
      <w:pPr>
        <w:pStyle w:val="BodyText"/>
        <w:spacing w:line="480" w:lineRule="auto"/>
        <w:ind w:firstLine="720"/>
      </w:pPr>
      <w:r>
        <w:t xml:space="preserve">Sample size comes first. Twenty-eight milestones in the primary regression and thirty projects in the life-cycle regression run modest by any econometric standard, and the ISRU and nuclear class cells inside those samples run smaller still, at eight milestones and a like handful of projects. Failing to reject the null on the class coefficient is not, and must never be reported as, evidence for equality between the classes. It is evidence that the data gathered here lack the power to catch a class effect of the size the literature speculates about. A larger panel, drawn from a longer historical run of GAO assessments and filled out with international lunar program records where comparable schedule data exist, would carry materially more inferential weight. For future work the lesson is that replication on a larger sample is the most direct way to firm up or overturn the present finding.</w:t>
      </w:r>
    </w:p>
    <w:p>
      <w:pPr>
        <w:pStyle w:val="BodyText"/>
        <w:spacing w:line="480" w:lineRule="auto"/>
        <w:ind w:firstLine="720"/>
      </w:pPr>
      <w:r>
        <w:t xml:space="preserve">The coarseness of the technology-readiness proxy is the second limitation. The nine-point readiness scale serving as the maturity covariate is itself an agency judgment, applied at the moment of baseline commitment and prone to the same optimism the engineering-economics literature records for cost and schedule estimates</w:t>
      </w:r>
      <w:r>
        <w:t xml:space="preserve"> </w:t>
      </w:r>
      <w:hyperlink w:anchor="ref-10">
        <w:r>
          <w:rPr>
            <w:rStyle w:val="Hyperlink"/>
          </w:rPr>
          <w:t xml:space="preserve">[10]</w:t>
        </w:r>
      </w:hyperlink>
      <w:r>
        <w:t xml:space="preserve">. Where readiness at baseline runs systematically overstated, the measured tie between readiness and slip gets attenuated, and the maturity coefficient reported here is, on that count, a lower bound on the true effect. A finer readiness gauge, built perhaps from independent technical assessments rather than program self-reports, would sharpen the maturity finding and could also move the size of the class coefficient by cutting the confounding between maturity and class the regression is built to control.</w:t>
      </w:r>
    </w:p>
    <w:p>
      <w:pPr>
        <w:pStyle w:val="BodyText"/>
        <w:spacing w:line="480" w:lineRule="auto"/>
        <w:ind w:firstLine="720"/>
      </w:pPr>
      <w:r>
        <w:t xml:space="preserve">Cancellation truncation is the third limitation. Milestones killed outright, the polar prospecting rover in the primary sample among them, enter the dataset at their pre-cancellation readiness and slip values and may undersell the schedule fragility of the lines they stand for. The companion survival specification in the second paper meets right-censoring head-on for milestones still in execution, but cancellation truncation is a separate matter: a cancelled milestone has, in a sense, slipped to infinity. The regression treats it as a finite row, and the resulting coefficient on the class flag runs, to that extent, optimistic about the classes that throw cancellations disproportionately. The lesson is that the null on the class coefficient should read as conservative against the chance that cancellation-prone classes carry hidden slip the observed data never catch.</w:t>
      </w:r>
    </w:p>
    <w:p>
      <w:pPr>
        <w:pStyle w:val="BodyText"/>
        <w:spacing w:line="480" w:lineRule="auto"/>
        <w:ind w:firstLine="720"/>
      </w:pPr>
      <w:r>
        <w:t xml:space="preserve">Illustrative-row exposure is the fourth limitation. Three of the twenty-eight milestones in the primary regression and four of the thirty projects in the life-cycle regression hand over values drawn from the published ISRU architecture literature rather than from documented program baselines, and both papers flag those rows in the source column. The illustrative shares run under eleven percent and fifteen percent, a minority of each sample yet not nothing, and the rows bunch in the ISRU class cell the regression cares most about. A sensitivity analysis dropping the illustrative rows would test how robust the class coefficient is to that exposure; the present results report the inclusive run because dropping the rows would shrink an already small class cell. Read honestly, the class coefficient gets fitted with the illustrative rows carrying a non-trivial share of the within-class variation, and future work with cleaner baseline records on the ISRU class would tighten the inference.</w:t>
      </w:r>
    </w:p>
    <w:p>
      <w:pPr>
        <w:pStyle w:val="BodyText"/>
        <w:spacing w:line="480" w:lineRule="auto"/>
        <w:ind w:firstLine="720"/>
      </w:pPr>
      <w:r>
        <w:t xml:space="preserve">What the within-milestone design cannot see is the fifth limitation. The regressions fit the slip premium traceable to a milestone’s class given observable covariates, but they never catch the cross-milestone slip propagation the systems-level lunar literature records as a defining feature of ISRU and surface-power architecture</w:t>
      </w:r>
      <w:r>
        <w:t xml:space="preserve"> </w:t>
      </w:r>
      <w:hyperlink w:anchor="ref-17">
        <w:r>
          <w:rPr>
            <w:rStyle w:val="Hyperlink"/>
          </w:rPr>
          <w:t xml:space="preserve">[17]</w:t>
        </w:r>
      </w:hyperlink>
      <w:r>
        <w:t xml:space="preserve">[18]. A milestone slipping on its own schedule can haul downstream milestones with it, and how large that propagation runs turns on the architectural coupling between lines rather than any one milestone’s class. The dissertation’s null on the class coefficient does not, and cannot, break the hypothesis that ISRU and nuclear lines carry propagation effects of their own through the rest of the architecture. That hypothesis calls for a different research design, and it is one of the principal future-research directions the next section names.</w:t>
      </w:r>
    </w:p>
    <w:bookmarkEnd w:id="139"/>
    <w:bookmarkStart w:id="140" w:name="future-research"/>
    <w:p>
      <w:pPr>
        <w:pStyle w:val="Heading2"/>
        <w:spacing w:line="480" w:lineRule="auto"/>
      </w:pPr>
      <w:r>
        <w:t xml:space="preserve">7.5 Future Research</w:t>
      </w:r>
    </w:p>
    <w:p>
      <w:pPr>
        <w:pStyle w:val="FirstParagraph"/>
        <w:spacing w:line="480" w:lineRule="auto"/>
      </w:pPr>
      <w:r>
        <w:t xml:space="preserve">Taken together, the findings and limitations point to six future research directions that would carry the dissertation’s contribution further and meet the questions it could not settle.</w:t>
      </w:r>
    </w:p>
    <w:p>
      <w:pPr>
        <w:pStyle w:val="BodyText"/>
        <w:spacing w:line="480" w:lineRule="auto"/>
        <w:ind w:firstLine="720"/>
      </w:pPr>
      <w:r>
        <w:t xml:space="preserve">First is panel extension. The most direct replication path stretches the milestone panel back through earlier GAO Assessments of Major Projects and forward as fresh annual editions land</w:t>
      </w:r>
      <w:r>
        <w:t xml:space="preserve"> </w:t>
      </w:r>
      <w:hyperlink w:anchor="ref-13">
        <w:r>
          <w:rPr>
            <w:rStyle w:val="Hyperlink"/>
          </w:rPr>
          <w:t xml:space="preserve">[13]</w:t>
        </w:r>
      </w:hyperlink>
      <w:r>
        <w:t xml:space="preserve">[14], and folds in analogous schedule baselines from international lunar programs where comparable documentation exists. A panel of one hundred to two hundred milestones would, on conventional statistical-power grounds, let class effects far smaller than the present sample can resolve be caught, and would also carry program fixed effects that soak up the likeliest sources of confounding the current sample’s within-program variation cannot fully clear.</w:t>
      </w:r>
    </w:p>
    <w:p>
      <w:pPr>
        <w:pStyle w:val="BodyText"/>
        <w:spacing w:line="480" w:lineRule="auto"/>
        <w:ind w:firstLine="720"/>
      </w:pPr>
      <w:r>
        <w:t xml:space="preserve">Second is propagation analysis. The within-milestone design used here stays mute on cross-milestone slip propagation, and the lunar systems literature reads that propagation as a defining feature of ISRU and surface-power architecture</w:t>
      </w:r>
      <w:r>
        <w:t xml:space="preserve"> </w:t>
      </w:r>
      <w:hyperlink w:anchor="ref-17">
        <w:r>
          <w:rPr>
            <w:rStyle w:val="Hyperlink"/>
          </w:rPr>
          <w:t xml:space="preserve">[17]</w:t>
        </w:r>
      </w:hyperlink>
      <w:r>
        <w:t xml:space="preserve">[18]. A future study that built a dependency graph tying ISRU plant operations to surface power, surface power to lander campaigns, and lander campaigns to gateway and habitation elements, and that fitted the propagation of slip through that graph, would meet the architectural-coupling question the regression cannot reach. Such a design would also engage straight with the cislunar-ecosystem framing the economic literature on lunar mining and Artemis infrastructure has begun to build</w:t>
      </w:r>
      <w:r>
        <w:t xml:space="preserve"> </w:t>
      </w:r>
      <w:hyperlink w:anchor="ref-6">
        <w:r>
          <w:rPr>
            <w:rStyle w:val="Hyperlink"/>
          </w:rPr>
          <w:t xml:space="preserve">[6]</w:t>
        </w:r>
      </w:hyperlink>
      <w:r>
        <w:t xml:space="preserve">[7], and would speak to the sequencing calls the policy reading in Section 7.2 names as the residual worry once the maturity lever is pulled.</w:t>
      </w:r>
    </w:p>
    <w:p>
      <w:pPr>
        <w:pStyle w:val="BodyText"/>
        <w:spacing w:line="480" w:lineRule="auto"/>
        <w:ind w:firstLine="720"/>
      </w:pPr>
      <w:r>
        <w:t xml:space="preserve">Third is finer maturity measurement. The coarse readiness proxy is the largest source of measurement noise in the present runs, and building an independent maturity assessment off the technical content of NASA requests for information</w:t>
      </w:r>
      <w:r>
        <w:t xml:space="preserve"> </w:t>
      </w:r>
      <w:hyperlink w:anchor="ref-1">
        <w:r>
          <w:rPr>
            <w:rStyle w:val="Hyperlink"/>
          </w:rPr>
          <w:t xml:space="preserve">[1]</w:t>
        </w:r>
      </w:hyperlink>
      <w:r>
        <w:t xml:space="preserve">, off comparative ISRU plant trade studies</w:t>
      </w:r>
      <w:r>
        <w:t xml:space="preserve"> </w:t>
      </w:r>
      <w:hyperlink w:anchor="ref-4">
        <w:r>
          <w:rPr>
            <w:rStyle w:val="Hyperlink"/>
          </w:rPr>
          <w:t xml:space="preserve">[4]</w:t>
        </w:r>
      </w:hyperlink>
      <w:r>
        <w:t xml:space="preserve">[11], off the regolith-simulant and Raman-characterization literature that records the underlying scientific readiness</w:t>
      </w:r>
      <w:r>
        <w:t xml:space="preserve"> </w:t>
      </w:r>
      <w:hyperlink w:anchor="ref-2">
        <w:r>
          <w:rPr>
            <w:rStyle w:val="Hyperlink"/>
          </w:rPr>
          <w:t xml:space="preserve">[2]</w:t>
        </w:r>
      </w:hyperlink>
      <w:r>
        <w:t xml:space="preserve">[8], and off the radioisotope and fission generator development records</w:t>
      </w:r>
      <w:r>
        <w:t xml:space="preserve"> </w:t>
      </w:r>
      <w:hyperlink w:anchor="ref-9">
        <w:r>
          <w:rPr>
            <w:rStyle w:val="Hyperlink"/>
          </w:rPr>
          <w:t xml:space="preserve">[9]</w:t>
        </w:r>
      </w:hyperlink>
      <w:r>
        <w:t xml:space="preserve">[19] would sharpen the maturity finding. A two-stage design that instruments the agency’s readiness judgment with these independent gauges would, in principle, recover an unbiased maturity coefficient and settle the lower-bound caveat noted above.</w:t>
      </w:r>
    </w:p>
    <w:p>
      <w:pPr>
        <w:pStyle w:val="BodyText"/>
        <w:spacing w:line="480" w:lineRule="auto"/>
        <w:ind w:firstLine="720"/>
      </w:pPr>
      <w:r>
        <w:t xml:space="preserve">Fourth is institutional comparison. The dissertation pools NASA milestones across centers and across acquisition partners, and the within-program fixed-effects design soaks up institutional differences rather than naming them. A future study that squarely compared schedule slip on ISRU and nuclear milestones run through different institutional vehicles, JPL as a federally funded research and development center, NASA centers as direct operators, industry partners under fixed-price contracts, and international partners under cooperative agreements among them, would meet whether the maturity discipline the regression names as the leading lever is itself unevenly spread across institutions. This is the question bearing most directly on the JPL-specific lessons drawn in Section 7.3.</w:t>
      </w:r>
    </w:p>
    <w:p>
      <w:pPr>
        <w:pStyle w:val="BodyText"/>
        <w:spacing w:line="480" w:lineRule="auto"/>
        <w:ind w:firstLine="720"/>
      </w:pPr>
      <w:r>
        <w:t xml:space="preserve">Fifth is governance integration. The probabilistic risk assessment framework spreading to Artemis</w:t>
      </w:r>
      <w:r>
        <w:t xml:space="preserve"> </w:t>
      </w:r>
      <w:hyperlink w:anchor="ref-12">
        <w:r>
          <w:rPr>
            <w:rStyle w:val="Hyperlink"/>
          </w:rPr>
          <w:t xml:space="preserve">[12]</w:t>
        </w:r>
      </w:hyperlink>
      <w:r>
        <w:t xml:space="preserve"> </w:t>
      </w:r>
      <w:r>
        <w:t xml:space="preserve">is the natural vehicle for folding the maturity coefficient in as a quantitative prior on schedule-margin requirements. A future study that wove the dissertation’s empirical estimates into a PRA-based schedule-margin model, and that ran the resulting margin recommendations against the Artemis manifest and against the cislunar space-traffic and surface-operations governance frameworks rising in the literature</w:t>
      </w:r>
      <w:r>
        <w:t xml:space="preserve"> </w:t>
      </w:r>
      <w:hyperlink w:anchor="ref-5">
        <w:r>
          <w:rPr>
            <w:rStyle w:val="Hyperlink"/>
          </w:rPr>
          <w:t xml:space="preserve">[5]</w:t>
        </w:r>
      </w:hyperlink>
      <w:r>
        <w:t xml:space="preserve">[24], would turn the empirical finding into an operational decision tool. Such work would also engage the wider sustainability and traffic-management literature on lunar growth</w:t>
      </w:r>
      <w:r>
        <w:t xml:space="preserve"> </w:t>
      </w:r>
      <w:hyperlink w:anchor="ref-5">
        <w:r>
          <w:rPr>
            <w:rStyle w:val="Hyperlink"/>
          </w:rPr>
          <w:t xml:space="preserve">[5]</w:t>
        </w:r>
      </w:hyperlink>
      <w:r>
        <w:t xml:space="preserve"> </w:t>
      </w:r>
      <w:r>
        <w:t xml:space="preserve">and would tie schedule realism to the broader governance agenda lunar program management is increasingly made to face.</w:t>
      </w:r>
    </w:p>
    <w:p>
      <w:pPr>
        <w:pStyle w:val="BodyText"/>
        <w:spacing w:line="480" w:lineRule="auto"/>
        <w:ind w:firstLine="720"/>
      </w:pPr>
      <w:r>
        <w:t xml:space="preserve">Sixth is qualitative complement. The dissertation is, by design, a quantitative test of one hypothesis, and its disciplined null on the class coefficient leaves open the qualitative question of why the lunar community keeps reading ISRU and surface-nuclear milestones as distinctively risky despite no evidence for a class-specific schedule premium. A companion qualitative study, drawing on interviews with program managers, technical leads, and sponsor representatives at NASA Headquarters, JPL, and partner organizations, would meet whether the persistent class-specific intuition mirrors a real risk the panel data miss, a heuristic shorthand for the underlying maturity mechanism, or an artifact of the rhetorical framing through which lunar architecture calls get justified in public. Pairing such a study with the quantitative findings reported here would yield a fuller account of schedule realism in lunar programs than either method alone can give.</w:t>
      </w:r>
    </w:p>
    <w:bookmarkEnd w:id="140"/>
    <w:bookmarkStart w:id="141" w:name="closing-position"/>
    <w:p>
      <w:pPr>
        <w:pStyle w:val="Heading2"/>
        <w:spacing w:line="480" w:lineRule="auto"/>
      </w:pPr>
      <w:r>
        <w:t xml:space="preserve">7.6 Closing Position</w:t>
      </w:r>
    </w:p>
    <w:p>
      <w:pPr>
        <w:pStyle w:val="FirstParagraph"/>
        <w:spacing w:line="480" w:lineRule="auto"/>
      </w:pPr>
      <w:r>
        <w:t xml:space="preserve">A falsifiable contribution opened the dissertation: a class-level slip coefficient with a sign and a magnitude. That contribution survives. The coefficient comes out small, statistically indistinguishable from zero, and signed the opposite way from the founding intuition once technology readiness at baseline is held fixed. The intuition that ISRU and surface-nuclear milestones run later than the architectural baseline for something peculiar to their class goes unbacked by the evidence. What the evidence does back is a maturity story: slip rides with readiness at baseline, and the management lever that moves slip sits at the formulation-to-baseline boundary rather than the implementation-to-delivery boundary.</w:t>
      </w:r>
    </w:p>
    <w:p>
      <w:pPr>
        <w:pStyle w:val="BodyText"/>
        <w:spacing w:line="480" w:lineRule="auto"/>
        <w:ind w:firstLine="720"/>
      </w:pPr>
      <w:r>
        <w:t xml:space="preserve">For NASA program management, the lesson is that schedule-realism spend pays off most when aimed at pre-baseline maturity discipline and at architectural decoupling of load-bearing lines, rather than at class-specific oversight regimes the data do not warrant. For JPL decision-making, the lesson is that the laboratory’s institutional habit of holding low-readiness work in formulation is the schedule-efficient call on average, and that the recompete-era narrative around schedule performance gets firmer by pointing to the maturity discipline the data name as the real driver. For the wider lunar enterprise, the lesson is that the rhetorical split between frontier and conventional projects, handy as it may be for advocacy, does not survive contact with the empirical record once maturity gets measured. The architecture stands or falls on the readiness at which its milestones are committed, and the policy posture that follows from that finding is the posture this dissertation defends.</w:t>
      </w:r>
    </w:p>
    <w:bookmarkEnd w:id="141"/>
    <w:bookmarkEnd w:id="142"/>
    <w:bookmarkStart w:id="208" w:name="chapter-8.-conclusion"/>
    <w:p>
      <w:pPr>
        <w:pStyle w:val="Heading1"/>
        <w:spacing w:line="480" w:lineRule="auto"/>
      </w:pPr>
      <w:r>
        <w:t xml:space="preserve">Chapter 8. Conclusion</w:t>
      </w:r>
    </w:p>
    <w:bookmarkStart w:id="143" w:name="the-argument-in-summary"/>
    <w:p>
      <w:pPr>
        <w:pStyle w:val="Heading2"/>
        <w:spacing w:line="480" w:lineRule="auto"/>
      </w:pPr>
      <w:r>
        <w:t xml:space="preserve">8.1 The Argument in Summary</w:t>
      </w:r>
    </w:p>
    <w:p>
      <w:pPr>
        <w:pStyle w:val="FirstParagraph"/>
        <w:spacing w:line="480" w:lineRule="auto"/>
      </w:pPr>
      <w:r>
        <w:t xml:space="preserve">This dissertation opened on a question the lunar exploration community has asserted far more often than tested: do in-situ resource utilization and surface nuclear power milestones run later than the rest of the architecture they are lodged in, The intuition driving the question was reasonable and broadly shared. ISRU and fission surface power get forecast by expert elicitation rather than flight heritage, structured Delphi instruments filling in for the demonstrated performance more mature capability lines enjoy</w:t>
      </w:r>
      <w:r>
        <w:t xml:space="preserve"> </w:t>
      </w:r>
      <w:hyperlink w:anchor="ref-1">
        <w:r>
          <w:rPr>
            <w:rStyle w:val="Hyperlink"/>
          </w:rPr>
          <w:t xml:space="preserve">[1]</w:t>
        </w:r>
      </w:hyperlink>
      <w:r>
        <w:t xml:space="preserve">. Their underlying processes, whether reducing regolith for oxygen, printing structural elements from simulants, or fabricating photobioreactors in place, sit at the laboratory or simulant-validation stage</w:t>
      </w:r>
      <w:r>
        <w:t xml:space="preserve"> </w:t>
      </w:r>
      <w:hyperlink w:anchor="ref-2">
        <w:r>
          <w:rPr>
            <w:rStyle w:val="Hyperlink"/>
          </w:rPr>
          <w:t xml:space="preserve">[2]</w:t>
        </w:r>
      </w:hyperlink>
      <w:r>
        <w:t xml:space="preserve">[3]. Among reduction pathways for an ISRU oxygen plant the choice has yet to settle, carbothermal and water-extraction routes still weighed against each other in comparative trade studies</w:t>
      </w:r>
      <w:r>
        <w:t xml:space="preserve"> </w:t>
      </w:r>
      <w:hyperlink w:anchor="ref-4">
        <w:r>
          <w:rPr>
            <w:rStyle w:val="Hyperlink"/>
          </w:rPr>
          <w:t xml:space="preserve">[4]</w:t>
        </w:r>
      </w:hyperlink>
      <w:r>
        <w:t xml:space="preserve">. Surface power holds a like spot, radioisotope Stirling concepts for mobility systems still crossing the prototype-to-flight transition</w:t>
      </w:r>
      <w:r>
        <w:t xml:space="preserve"> </w:t>
      </w:r>
      <w:hyperlink w:anchor="ref-9">
        <w:r>
          <w:rPr>
            <w:rStyle w:val="Hyperlink"/>
          </w:rPr>
          <w:t xml:space="preserve">[9]</w:t>
        </w:r>
      </w:hyperlink>
      <w:r>
        <w:t xml:space="preserve">. Against that backdrop, and with ISRU and lunar mining cast as load-bearing to the cislunar economic architectures planners are now drafting</w:t>
      </w:r>
      <w:r>
        <w:t xml:space="preserve"> </w:t>
      </w:r>
      <w:hyperlink w:anchor="ref-6">
        <w:r>
          <w:rPr>
            <w:rStyle w:val="Hyperlink"/>
          </w:rPr>
          <w:t xml:space="preserve">[6]</w:t>
        </w:r>
      </w:hyperlink>
      <w:r>
        <w:t xml:space="preserve">[7], the suspicion that frontier milestones carry a schedule penalty of their own held standing as a working hypothesis.</w:t>
      </w:r>
    </w:p>
    <w:p>
      <w:pPr>
        <w:pStyle w:val="BodyText"/>
        <w:spacing w:line="480" w:lineRule="auto"/>
        <w:ind w:firstLine="720"/>
      </w:pPr>
      <w:r>
        <w:t xml:space="preserve">Put straight to the test, that hypothesis fell to the empirical work in this dissertation. Paper 1 gathered a panel of twenty-eight NASA major-project milestones, formed a duration-normalized slip measure for each, and fitted the conditional tie between an ISRU or nuclear class flag and realized slip after controlling for planned duration, baseline calendar year, and a coarse technology-maturity proxy. The class coefficient came out small, statistically indistinguishable from zero, and signed the opposite way from the directional hypothesis. What did carry signal was the maturity proxy, whose coefficient implied that each added level of technology readiness at baseline tied to a meaningful drop in normalized slip. Paper 2 widened the lens to thirty NASA development projects, swapped normalized milestone slip for cumulative project-level slip in months, added cost and crew controls, and put the same question to a different cut of the portfolio. The result matched in structure and firmed up in precision. The frontier coefficient came out small, insignificant, and again wrong-signed for the hypothesis, while the maturity coefficient came out large, negative, and significant at conventional levels, each added readiness level at baseline tied to roughly a year less cumulative slip.</w:t>
      </w:r>
    </w:p>
    <w:p>
      <w:pPr>
        <w:pStyle w:val="BodyText"/>
        <w:spacing w:line="480" w:lineRule="auto"/>
        <w:ind w:firstLine="720"/>
      </w:pPr>
      <w:r>
        <w:t xml:space="preserve">Convergence of the two papers is the spine of the argument.</w:t>
      </w:r>
    </w:p>
    <w:p>
      <w:pPr>
        <w:pStyle w:val="BodyText"/>
        <w:spacing w:line="480" w:lineRule="auto"/>
        <w:ind w:firstLine="720"/>
      </w:pPr>
      <w:r>
        <w:t xml:space="preserve">Two independent samples, two different outcome builds, two distinct unit-of-analysis calls, and two different control sets all handed back one answer. The label</w:t>
      </w:r>
      <w:r>
        <w:t xml:space="preserve"> </w:t>
      </w:r>
      <w:r>
        <w:t xml:space="preserve">“ISRU”</w:t>
      </w:r>
      <w:r>
        <w:t xml:space="preserve"> </w:t>
      </w:r>
      <w:r>
        <w:t xml:space="preserve">or</w:t>
      </w:r>
      <w:r>
        <w:t xml:space="preserve"> </w:t>
      </w:r>
      <w:r>
        <w:t xml:space="preserve">“nuclear”</w:t>
      </w:r>
      <w:r>
        <w:t xml:space="preserve"> </w:t>
      </w:r>
      <w:r>
        <w:t xml:space="preserve">does not, on its own, forecast schedule slip once the maturity of the underlying capability at baseline commitment is measured. What forecasts slip is immaturity. Immaturity is a trait of when a program books its baseline rather than of which capability the program chases. Frontier milestones in the lunar architecture run late because they are immature when committed, not because they are frontier.</w:t>
      </w:r>
    </w:p>
    <w:bookmarkEnd w:id="143"/>
    <w:bookmarkStart w:id="144" w:name="contribution-to-knowledge"/>
    <w:p>
      <w:pPr>
        <w:pStyle w:val="Heading2"/>
        <w:spacing w:line="480" w:lineRule="auto"/>
      </w:pPr>
      <w:r>
        <w:t xml:space="preserve">8.2 Contribution to Knowledge</w:t>
      </w:r>
    </w:p>
    <w:p>
      <w:pPr>
        <w:pStyle w:val="FirstParagraph"/>
        <w:spacing w:line="480" w:lineRule="auto"/>
      </w:pPr>
      <w:r>
        <w:t xml:space="preserve">Narrower than a verdict on lunar program management and more disciplined than a slogan about technology readiness, the contribution of this dissertation rests on four distinct moves that, together, carry the comparative-schedule literature past where the retrieved sources left it.</w:t>
      </w:r>
    </w:p>
    <w:p>
      <w:pPr>
        <w:pStyle w:val="BodyText"/>
        <w:spacing w:line="480" w:lineRule="auto"/>
        <w:ind w:firstLine="720"/>
      </w:pPr>
      <w:r>
        <w:t xml:space="preserve">First is the reframing of the question itself. The literature retrieved at this project’s outset fixed three facts: that ISRU and fission surface power sit at low demonstrated maturity and get forecast by elicitation</w:t>
      </w:r>
      <w:r>
        <w:t xml:space="preserve"> </w:t>
      </w:r>
      <w:hyperlink w:anchor="ref-1">
        <w:r>
          <w:rPr>
            <w:rStyle w:val="Hyperlink"/>
          </w:rPr>
          <w:t xml:space="preserve">[1]</w:t>
        </w:r>
      </w:hyperlink>
      <w:r>
        <w:t xml:space="preserve">[2][8], that the technical hybridization inside ISRU plant design and surface power stays unsettled</w:t>
      </w:r>
      <w:r>
        <w:t xml:space="preserve"> </w:t>
      </w:r>
      <w:hyperlink w:anchor="ref-4">
        <w:r>
          <w:rPr>
            <w:rStyle w:val="Hyperlink"/>
          </w:rPr>
          <w:t xml:space="preserve">[4]</w:t>
        </w:r>
      </w:hyperlink>
      <w:r>
        <w:t xml:space="preserve">[9], and that ISRU and lunar mining run economically load-bearing to the cislunar architectures planners are drafting</w:t>
      </w:r>
      <w:r>
        <w:t xml:space="preserve"> </w:t>
      </w:r>
      <w:hyperlink w:anchor="ref-6">
        <w:r>
          <w:rPr>
            <w:rStyle w:val="Hyperlink"/>
          </w:rPr>
          <w:t xml:space="preserve">[6]</w:t>
        </w:r>
      </w:hyperlink>
      <w:r>
        <w:t xml:space="preserve">[7]. What the literature never did was gauge schedule slip comparatively across technology classes within a lunar architecture, or size the slip of immature classes against the slip of the baseline lines ringing them. The Delphi forecast of ISRU deployment handed over a timeline yet never tested it against realized milestones</w:t>
      </w:r>
      <w:r>
        <w:t xml:space="preserve"> </w:t>
      </w:r>
      <w:hyperlink w:anchor="ref-1">
        <w:r>
          <w:rPr>
            <w:rStyle w:val="Hyperlink"/>
          </w:rPr>
          <w:t xml:space="preserve">[1]</w:t>
        </w:r>
      </w:hyperlink>
      <w:r>
        <w:t xml:space="preserve">. The ISRU plant trade studies perfected design yet stayed mute on schedule realism</w:t>
      </w:r>
      <w:r>
        <w:t xml:space="preserve"> </w:t>
      </w:r>
      <w:hyperlink w:anchor="ref-4">
        <w:r>
          <w:rPr>
            <w:rStyle w:val="Hyperlink"/>
          </w:rPr>
          <w:t xml:space="preserve">[4]</w:t>
        </w:r>
      </w:hyperlink>
      <w:r>
        <w:t xml:space="preserve">. Economic roadmaps proclaimed load-bearing status without ever pricing the schedule risk the dependency drags in</w:t>
      </w:r>
      <w:r>
        <w:t xml:space="preserve"> </w:t>
      </w:r>
      <w:hyperlink w:anchor="ref-6">
        <w:r>
          <w:rPr>
            <w:rStyle w:val="Hyperlink"/>
          </w:rPr>
          <w:t xml:space="preserve">[6]</w:t>
        </w:r>
      </w:hyperlink>
      <w:r>
        <w:t xml:space="preserve">. By recasting the schedule-realism question as a comparative one and anchoring the comparison inside the program rather than across unrelated programs, this dissertation moves the conversation from technology-class advocacy to architectural accounting.</w:t>
      </w:r>
    </w:p>
    <w:p>
      <w:pPr>
        <w:pStyle w:val="BodyText"/>
        <w:spacing w:line="480" w:lineRule="auto"/>
        <w:ind w:firstLine="720"/>
      </w:pPr>
      <w:r>
        <w:t xml:space="preserve">Second is a methodological contribution. The within-program design of Paper 1, milestone-level data with a class flag fitted against sibling lines under one sponsor and budget world, is, to the best of my reading, new to the lunar-schedule literature. Existing treatments either roll slip up at the program level, which buries the class-level question, or study one technology line in isolation, which blocks the comparison. The duration-normalized outcome build, which clears the mechanical confound between absolute slip sizes and baseline durations, lends the class coefficient a scale-invariant reading that carries into future panels without re-anchoring. The discrete-time hazard companion specification the prospectus notes meets right-censoring where completed-only regressions cannot. None of these moves is novel on its own in econometric practice. Their combination, run on a lunar architecture panel, is a methodological template later investigators can carry forward.</w:t>
      </w:r>
    </w:p>
    <w:p>
      <w:pPr>
        <w:pStyle w:val="BodyText"/>
        <w:spacing w:line="480" w:lineRule="auto"/>
        <w:ind w:firstLine="720"/>
      </w:pPr>
      <w:r>
        <w:t xml:space="preserve">Third is a substantive contribution consisting in the maturity-confounding finding itself. The pair of papers does not just fail to confirm a class-level slip premium for ISRU and nuclear milestones. It names the variable that does carry the signal and prices its tie. In Paper 1 the maturity proxy edged toward conventional significance and was the one coefficient in the model that did. In Paper 2 the maturity coefficient came out large, signed as forecast, and significant well below the conventional threshold, a one-level rise in baseline readiness tied to roughly a year less cumulative slip. Both papers therefore meet on one testable, policy-bearing claim: schedule realism in lunar programs gets bought at the baseline-commitment decision, and the variable to watch is the readiness level at which an architecture line enters its committed baseline. That claim is not merely in keeping with the data gathered here. It is the only claim the data back.</w:t>
      </w:r>
    </w:p>
    <w:p>
      <w:pPr>
        <w:pStyle w:val="BodyText"/>
        <w:spacing w:line="480" w:lineRule="auto"/>
        <w:ind w:firstLine="720"/>
      </w:pPr>
      <w:r>
        <w:t xml:space="preserve">Fourth is the negative result itself, taken as a deliverable rather than a letdown. The prospectus pledged ahead of time to publish the class coefficient at whatever sign and magnitude it carried, on the plain ground that a null or negative coefficient would itself be a publishable correction to a belief widely assumed yet untested. The two papers keep that pledge. The community’s working assumption that ISRU and nuclear milestones run distinctively later than the rest of the architecture goes, on the comparative evidence on hand, unbacked. That correction carries program-management consequences a confirmation never would have. Were the schedule risk in ISRU and nuclear lines a class effect, the fit answer would be class-specific oversight, separate reserves, and architectural firewalls around the resource and power lines. The maturity-confounded finding turns the answer toward a uniform readiness discipline applied to every architecture line, the most consequential call being when, not what, to baseline.</w:t>
      </w:r>
    </w:p>
    <w:bookmarkEnd w:id="144"/>
    <w:bookmarkStart w:id="145" w:name="implications-for-practice"/>
    <w:p>
      <w:pPr>
        <w:pStyle w:val="Heading2"/>
        <w:spacing w:line="480" w:lineRule="auto"/>
      </w:pPr>
      <w:r>
        <w:t xml:space="preserve">8.3 Implications for Practice</w:t>
      </w:r>
    </w:p>
    <w:p>
      <w:pPr>
        <w:pStyle w:val="FirstParagraph"/>
        <w:spacing w:line="480" w:lineRule="auto"/>
      </w:pPr>
      <w:r>
        <w:t xml:space="preserve">Turning the empirical finding into practice runs direct. The lever is readiness, and it is pulled at the baseline.</w:t>
      </w:r>
    </w:p>
    <w:p>
      <w:pPr>
        <w:pStyle w:val="BodyText"/>
        <w:spacing w:line="480" w:lineRule="auto"/>
        <w:ind w:firstLine="720"/>
      </w:pPr>
      <w:r>
        <w:t xml:space="preserve">Program managers working against integrated master schedules that bundle transportation, habitation, avionics, surface power, and resource extraction into one committed baseline now hold a quantitative reason to resist class-specific scheduling regimes for the frontier lines. The estimates here warrant no treating of ISRU and nuclear milestones as carrying inherent schedule penalties that demand separate budgetary or oversight handling. They do warrant treating the readiness level at which any line, frontier or conventional, enters the committed baseline as the primary lever for schedule realism. Holding committed baselines until enabling capabilities have climbed one or two readiness levels would, on the Paper 2 estimates, strip out on the order of twelve to twenty-four months of expected slip, a larger effect than any plausible tweak to the milestone’s domain classification.</w:t>
      </w:r>
    </w:p>
    <w:p>
      <w:pPr>
        <w:pStyle w:val="BodyText"/>
        <w:spacing w:line="480" w:lineRule="auto"/>
        <w:ind w:firstLine="720"/>
      </w:pPr>
      <w:r>
        <w:t xml:space="preserve">Sponsors and appropriators meet a parallel lesson. The recurring pull in lunar program budgeting is to fund optimistic baselines for frontier capabilities and eat the resulting slip as the cost of doing frontier business. The evidence here suggests the slip is not peculiar to frontier business and is no fixed cost of chasing ISRU or nuclear capability. It runs as a function of the maturity bar set at baseline. Raising that bar, evenly across the architecture, is a more efficient route to schedule realism than budgeting frontier reserves against a class-effect risk the data do not back. For the economic-architecture community that has built cislunar value chains around the load-bearing standing of ISRU and surface power</w:t>
      </w:r>
      <w:r>
        <w:t xml:space="preserve"> </w:t>
      </w:r>
      <w:hyperlink w:anchor="ref-4">
        <w:r>
          <w:rPr>
            <w:rStyle w:val="Hyperlink"/>
          </w:rPr>
          <w:t xml:space="preserve">[4]</w:t>
        </w:r>
      </w:hyperlink>
      <w:r>
        <w:t xml:space="preserve">[6][7], the practical lesson runs similarly disciplined. The schedule risk propagating through those value chains is real, but its source is the readiness level at which the load-bearing lines are committed, not the fact of their being ISRU or nuclear. Hedging strategies for cislunar economic timelines should therefore key to readiness rather than to class.</w:t>
      </w:r>
    </w:p>
    <w:p>
      <w:pPr>
        <w:pStyle w:val="BodyText"/>
        <w:spacing w:line="480" w:lineRule="auto"/>
        <w:ind w:firstLine="720"/>
      </w:pPr>
      <w:r>
        <w:t xml:space="preserve">For the surface-traffic-management and lunar-growth literatures now under draft</w:t>
      </w:r>
      <w:r>
        <w:t xml:space="preserve"> </w:t>
      </w:r>
      <w:hyperlink w:anchor="ref-5">
        <w:r>
          <w:rPr>
            <w:rStyle w:val="Hyperlink"/>
          </w:rPr>
          <w:t xml:space="preserve">[5]</w:t>
        </w:r>
      </w:hyperlink>
      <w:r>
        <w:t xml:space="preserve">, the wider architectural lesson is that the schedule realism of the enabling lines on which surface activity will one day rest turns on a management discipline that is not technology-specific. The same lever that keeps a lander on schedule, a serious readiness bar at baseline commitment, keeps an ISRU oxygen pilot or a fission surface-power demonstration on schedule. That symmetry is the dissertation’s practical message.</w:t>
      </w:r>
    </w:p>
    <w:bookmarkEnd w:id="145"/>
    <w:bookmarkStart w:id="146" w:name="limits-of-the-claim"/>
    <w:p>
      <w:pPr>
        <w:pStyle w:val="Heading2"/>
        <w:spacing w:line="480" w:lineRule="auto"/>
      </w:pPr>
      <w:r>
        <w:t xml:space="preserve">8.4 Limits of the Claim</w:t>
      </w:r>
    </w:p>
    <w:p>
      <w:pPr>
        <w:pStyle w:val="FirstParagraph"/>
        <w:spacing w:line="480" w:lineRule="auto"/>
      </w:pPr>
      <w:r>
        <w:t xml:space="preserve">Bounded in ways flagged throughout, the claim advanced here bears restating at the close. The samples gathered in both papers run modest by the standards of cost-and-schedule econometrics. Twenty-eight milestones in Paper 1 and thirty projects in Paper 2 give the central coefficients wide confidence intervals, and failing to reject the null on the class flag is not the same as evidence for its equality with zero. The maturity proxy is a coarse instrument, anchored to the agency’s own readiness judgments, which carry optimism bias of their own. The right-censoring of milestones unfinished at the observation cutoff gets partly met by the survival specification yet stays a constraint on what a cross-sectional regression can say. The illustrative rows used where a documented baseline duration simply could not be had seed measurement noise into both papers’ dependent variables, though they run a minority of each sample and get flagged plainly in the source columns. None of these limits overturns the agreement between the two papers on the substantive finding. What they do is hold the strength of the claim to descriptive association rather than causal identification, and they argue for replication on a larger panel with project fixed effects rather than for tossing the central result.</w:t>
      </w:r>
    </w:p>
    <w:p>
      <w:pPr>
        <w:pStyle w:val="BodyText"/>
        <w:spacing w:line="480" w:lineRule="auto"/>
        <w:ind w:firstLine="720"/>
      </w:pPr>
      <w:r>
        <w:t xml:space="preserve">Conceptual is the second-order limit. The dissertation tests whether ISRU and nuclear milestones run later than the architectural baseline, given observable covariates. It never tests whether the architectural baseline itself is well calibrated, or whether the readiness-level scale in the maturity proxy gets applied steadily across the agency’s project portfolio. Both stay open questions for follow-on work. A finer maturity instrument, run on a deeper milestone panel folding in the GAO assessment series across many reporting years, would sharpen or qualify the marginal maturity finding in Paper 1 and the more precisely fitted maturity coefficient in Paper 2. The discrete-time hazard model the prospectus foresaw would carry the analysis past completed milestones to the censored frontier of milestones still under way, where the policy stakes arguably run highest.</w:t>
      </w:r>
    </w:p>
    <w:bookmarkEnd w:id="146"/>
    <w:bookmarkStart w:id="147" w:name="closing-statement"/>
    <w:p>
      <w:pPr>
        <w:pStyle w:val="Heading2"/>
        <w:spacing w:line="480" w:lineRule="auto"/>
      </w:pPr>
      <w:r>
        <w:t xml:space="preserve">8.5 Closing Statement</w:t>
      </w:r>
    </w:p>
    <w:p>
      <w:pPr>
        <w:pStyle w:val="FirstParagraph"/>
        <w:spacing w:line="480" w:lineRule="auto"/>
      </w:pPr>
      <w:r>
        <w:t xml:space="preserve">The lunar exploration community has built much of its forward planning around the proposition that ISRU and surface nuclear power are the architectural lines likeliest to slip, and around the corollary that special vigilance is owed those lines for what they are. This dissertation has put that proposition to two samples of NASA development data under two distinct empirical specifications and has found it does not survive the test. The lines slip, and they slip materially, but they slip because they are immature when committed, not because they are ISRU or nuclear. The readiness level at which an architecture line enters its committed baseline is the variable that carries the signal, and it carries it whether the line at hand is a frontier line or a conventional one. For the program manager the lesson is that schedule realism gets bought at the moment of baseline commitment and gets bought by readiness discipline applied evenly across the architecture. For the sponsor the lesson is that frontier reserves built on a class-effect assumption are misspent, and that the same dollars aimed at readiness buy-down before commitment would do more for the schedule than they do as contingency against an effect the data never detect. For the cislunar economic architectures that now cast ISRU and surface power as load-bearing</w:t>
      </w:r>
      <w:r>
        <w:t xml:space="preserve"> </w:t>
      </w:r>
      <w:hyperlink w:anchor="ref-6">
        <w:r>
          <w:rPr>
            <w:rStyle w:val="Hyperlink"/>
          </w:rPr>
          <w:t xml:space="preserve">[6]</w:t>
        </w:r>
      </w:hyperlink>
      <w:r>
        <w:t xml:space="preserve">[7], the lesson is that the timelines those architectures rest on run as functions of when the enabling lines are committed, not of which lines they are.</w:t>
      </w:r>
    </w:p>
    <w:p>
      <w:pPr>
        <w:pStyle w:val="BodyText"/>
        <w:spacing w:line="480" w:lineRule="auto"/>
        <w:ind w:firstLine="720"/>
      </w:pPr>
      <w:r>
        <w:t xml:space="preserve">The dissertation makes no claim that ISRU and nuclear capability are easy, nor that the engineering challenges of lunar oxygen production, regolith additive manufacture, or fission surface power can be willed away by sober scheduling</w:t>
      </w:r>
      <w:r>
        <w:t xml:space="preserve"> </w:t>
      </w:r>
      <w:hyperlink w:anchor="ref-2">
        <w:r>
          <w:rPr>
            <w:rStyle w:val="Hyperlink"/>
          </w:rPr>
          <w:t xml:space="preserve">[2]</w:t>
        </w:r>
      </w:hyperlink>
      <w:r>
        <w:t xml:space="preserve">[3][4][9]. It claims only that the schedule penalty those capabilities show in the historical record is, on the comparative evidence gathered here, a maturity penalty wearing a class label. Stripping the label and meeting the maturity is the most efficient route to the schedule realism the next phase of lunar exploration depends on. That is the substantive finding the dissertation contributes, the methodological template by which it was reached, and the discipline it commends to the community that will commit the baselines the architecture of the lunar return is now being drawn on.</w:t>
      </w:r>
    </w:p>
    <w:bookmarkEnd w:id="147"/>
    <w:bookmarkStart w:id="207" w:name="references"/>
    <w:p>
      <w:pPr>
        <w:pStyle w:val="Heading2"/>
        <w:spacing w:line="480" w:lineRule="auto"/>
      </w:pPr>
      <w:r>
        <w:t xml:space="preserve">References</w:t>
      </w:r>
    </w:p>
    <w:p>
      <w:pPr>
        <w:pStyle w:val="FirstParagraph"/>
        <w:spacing w:line="480" w:lineRule="auto"/>
      </w:pPr>
      <w:bookmarkStart w:id="148" w:name="ref-1"/>
      <w:bookmarkEnd w:id="148"/>
      <w:r>
        <w:t xml:space="preserve">1.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149">
        <w:r>
          <w:rPr>
            <w:rStyle w:val="Hyperlink"/>
          </w:rPr>
          <w:t xml:space="preserve">10.1016/j.actaastro.2021.01.009</w:t>
        </w:r>
      </w:hyperlink>
    </w:p>
    <w:p>
      <w:pPr>
        <w:pStyle w:val="BodyText"/>
        <w:spacing w:line="480" w:lineRule="auto"/>
        <w:ind w:firstLine="720"/>
      </w:pPr>
      <w:bookmarkStart w:id="150" w:name="ref-2"/>
      <w:bookmarkEnd w:id="150"/>
      <w:r>
        <w:t xml:space="preserve">2. A. D. Aiyeki, A. A. Tikhonov, and S. Chugunov,</w:t>
      </w:r>
      <w:r>
        <w:t xml:space="preserve"> </w:t>
      </w:r>
      <w:r>
        <w:t xml:space="preserve">“Improved additive manufacturing of lunar regolith simulant via digital light processing for in-situ resource utilization on the moon,”</w:t>
      </w:r>
      <w:r>
        <w:t xml:space="preserve"> </w:t>
      </w:r>
      <w:r>
        <w:t xml:space="preserve">Acta Astronautica, vol. 232, 2025. doi:</w:t>
      </w:r>
      <w:r>
        <w:t xml:space="preserve"> </w:t>
      </w:r>
      <w:hyperlink r:id="rId151">
        <w:r>
          <w:rPr>
            <w:rStyle w:val="Hyperlink"/>
          </w:rPr>
          <w:t xml:space="preserve">10.1016/j.actaastro.2025.04.009</w:t>
        </w:r>
      </w:hyperlink>
    </w:p>
    <w:p>
      <w:pPr>
        <w:pStyle w:val="BodyText"/>
        <w:spacing w:line="480" w:lineRule="auto"/>
        <w:ind w:firstLine="720"/>
      </w:pPr>
      <w:bookmarkStart w:id="152" w:name="ref-3"/>
      <w:bookmarkEnd w:id="152"/>
      <w:r>
        <w:t xml:space="preserve">3. L. Salman, F. J. Guerrero-Gonzalez, R. Ubiennyh, G. Detrell, and P. Reiss,</w:t>
      </w:r>
      <w:r>
        <w:t xml:space="preserve"> </w:t>
      </w:r>
      <w:r>
        <w:t xml:space="preserve">“In-situ manufacturing of photobioreactors on the Moon using local resources,”</w:t>
      </w:r>
      <w:r>
        <w:t xml:space="preserve"> </w:t>
      </w:r>
      <w:r>
        <w:t xml:space="preserve">Acta Astronautica, vol. 236, 2025. doi:</w:t>
      </w:r>
      <w:r>
        <w:t xml:space="preserve"> </w:t>
      </w:r>
      <w:hyperlink r:id="rId153">
        <w:r>
          <w:rPr>
            <w:rStyle w:val="Hyperlink"/>
          </w:rPr>
          <w:t xml:space="preserve">10.1016/j.actaastro.2025.07.033</w:t>
        </w:r>
      </w:hyperlink>
    </w:p>
    <w:p>
      <w:pPr>
        <w:pStyle w:val="BodyText"/>
        <w:spacing w:line="480" w:lineRule="auto"/>
        <w:ind w:firstLine="720"/>
      </w:pPr>
      <w:bookmarkStart w:id="154" w:name="ref-4"/>
      <w:bookmarkEnd w:id="154"/>
      <w:r>
        <w:t xml:space="preserve">4. K. Ikeya, F. J. Guerrero-Gonzalez, L. Kiewiet, M. Cardin, J. J. Cilliers, S. Starr, and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155">
        <w:r>
          <w:rPr>
            <w:rStyle w:val="Hyperlink"/>
          </w:rPr>
          <w:t xml:space="preserve">10.1016/j.actaastro.2025.02.004</w:t>
        </w:r>
      </w:hyperlink>
    </w:p>
    <w:p>
      <w:pPr>
        <w:pStyle w:val="BodyText"/>
        <w:spacing w:line="480" w:lineRule="auto"/>
        <w:ind w:firstLine="720"/>
      </w:pPr>
      <w:bookmarkStart w:id="156" w:name="ref-5"/>
      <w:bookmarkEnd w:id="156"/>
      <w:r>
        <w:t xml:space="preserve">5.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(AMOS) Conference, 2024. doi:</w:t>
      </w:r>
      <w:r>
        <w:t xml:space="preserve"> </w:t>
      </w:r>
      <w:hyperlink r:id="rId157">
        <w:r>
          <w:rPr>
            <w:rStyle w:val="Hyperlink"/>
          </w:rPr>
          <w:t xml:space="preserve">10.64861/RBTM5104</w:t>
        </w:r>
      </w:hyperlink>
    </w:p>
    <w:p>
      <w:pPr>
        <w:pStyle w:val="BodyText"/>
        <w:spacing w:line="480" w:lineRule="auto"/>
        <w:ind w:firstLine="720"/>
      </w:pPr>
      <w:bookmarkStart w:id="158" w:name="ref-6"/>
      <w:bookmarkEnd w:id="158"/>
      <w:r>
        <w:t xml:space="preserve">6.</w:t>
      </w:r>
      <w:r>
        <w:t xml:space="preserve"> </w:t>
      </w:r>
      <w:r>
        <w:t xml:space="preserve">“Roadmap: Australia Economic-Technological Renaissance in Space”</w:t>
      </w:r>
      <w:r>
        <w:t xml:space="preserve"> </w:t>
      </w:r>
      <w:r>
        <w:t xml:space="preserve">(Space Economy Papers corpus, source key SD16), Lunar Mining and Artemis Infrastructure section.</w:t>
      </w:r>
    </w:p>
    <w:p>
      <w:pPr>
        <w:pStyle w:val="BodyText"/>
        <w:spacing w:line="480" w:lineRule="auto"/>
        <w:ind w:firstLine="720"/>
      </w:pPr>
      <w:bookmarkStart w:id="159" w:name="ref-7"/>
      <w:bookmarkEnd w:id="159"/>
      <w:r>
        <w:t xml:space="preserve">7.</w:t>
      </w:r>
      <w:r>
        <w:t xml:space="preserve"> </w:t>
      </w:r>
      <w:r>
        <w:t xml:space="preserve">“OCEA Forecasting the Space Economy”</w:t>
      </w:r>
      <w:r>
        <w:t xml:space="preserve"> </w:t>
      </w:r>
      <w:r>
        <w:t xml:space="preserve">(Space Economy Papers corpus, source key SD08), cislunar economy and lunar water resource extraction section.</w:t>
      </w:r>
    </w:p>
    <w:p>
      <w:pPr>
        <w:pStyle w:val="BodyText"/>
        <w:spacing w:line="480" w:lineRule="auto"/>
        <w:ind w:firstLine="720"/>
      </w:pPr>
      <w:bookmarkStart w:id="160" w:name="ref-8"/>
      <w:bookmarkEnd w:id="160"/>
      <w:r>
        <w:t xml:space="preserve">8. E. Tucker, M. N. Abedin, R. A. Wincheski, and D. L. Rickman,</w:t>
      </w:r>
      <w:r>
        <w:t xml:space="preserve"> </w:t>
      </w:r>
      <w:r>
        <w:t xml:space="preserve">“Raman characterization of lunar highlands simulants for in-situ resource utilization in a lunar setting,”</w:t>
      </w:r>
      <w:r>
        <w:t xml:space="preserve"> </w:t>
      </w:r>
      <w:r>
        <w:t xml:space="preserve">Acta Astronautica, vol. 225, 2024. doi:</w:t>
      </w:r>
      <w:r>
        <w:t xml:space="preserve"> </w:t>
      </w:r>
      <w:hyperlink r:id="rId161">
        <w:r>
          <w:rPr>
            <w:rStyle w:val="Hyperlink"/>
          </w:rPr>
          <w:t xml:space="preserve">10.1016/j.actaastro.2024.09.016</w:t>
        </w:r>
      </w:hyperlink>
    </w:p>
    <w:p>
      <w:pPr>
        <w:pStyle w:val="BodyText"/>
        <w:spacing w:line="480" w:lineRule="auto"/>
        <w:ind w:firstLine="720"/>
      </w:pPr>
      <w:bookmarkStart w:id="162" w:name="ref-9"/>
      <w:bookmarkEnd w:id="162"/>
      <w:r>
        <w:t xml:space="preserve">9. R. Mesalam, P. Schmitz, H. Sargeant, E. Turnbull, A. Barco, S. D. Wilson, J. Stuck, E. J. Watkinson, S. R. Oleson, and R. Ambrosi,</w:t>
      </w:r>
      <w:r>
        <w:t xml:space="preserve"> </w:t>
      </w:r>
      <w:r>
        <w:t xml:space="preserve">“Americium fuelled radioisotope stirling generator for lunar surface mobility systems,”</w:t>
      </w:r>
      <w:r>
        <w:t xml:space="preserve"> </w:t>
      </w:r>
      <w:r>
        <w:t xml:space="preserve">Acta Astronautica, vol. 228, 2024. doi:</w:t>
      </w:r>
      <w:r>
        <w:t xml:space="preserve"> </w:t>
      </w:r>
      <w:hyperlink r:id="rId163">
        <w:r>
          <w:rPr>
            <w:rStyle w:val="Hyperlink"/>
          </w:rPr>
          <w:t xml:space="preserve">10.1016/j.actaastro.2024.12.001</w:t>
        </w:r>
      </w:hyperlink>
    </w:p>
    <w:p>
      <w:pPr>
        <w:pStyle w:val="BodyText"/>
        <w:spacing w:line="480" w:lineRule="auto"/>
        <w:ind w:firstLine="720"/>
      </w:pPr>
      <w:bookmarkStart w:id="164" w:name="ref-10"/>
      <w:bookmarkEnd w:id="164"/>
      <w:r>
        <w:t xml:space="preserve">10. R. L. McNutt et al.,</w:t>
      </w:r>
      <w:r>
        <w:t xml:space="preserve"> </w:t>
      </w:r>
      <w:r>
        <w:t xml:space="preserve">“Interstellar probe – Destination: Universe!,”</w:t>
      </w:r>
      <w:r>
        <w:t xml:space="preserve"> </w:t>
      </w:r>
      <w:r>
        <w:t xml:space="preserve">Acta Astronautica, vol. 196, 2022. doi:</w:t>
      </w:r>
      <w:r>
        <w:t xml:space="preserve"> </w:t>
      </w:r>
      <w:hyperlink r:id="rId165">
        <w:r>
          <w:rPr>
            <w:rStyle w:val="Hyperlink"/>
          </w:rPr>
          <w:t xml:space="preserve">10.1016/j.actaastro.2022.04.001</w:t>
        </w:r>
      </w:hyperlink>
    </w:p>
    <w:p>
      <w:pPr>
        <w:pStyle w:val="BodyText"/>
        <w:spacing w:line="480" w:lineRule="auto"/>
        <w:ind w:firstLine="720"/>
      </w:pPr>
      <w:bookmarkStart w:id="166" w:name="ref-11"/>
      <w:bookmarkEnd w:id="166"/>
      <w:r>
        <w:t xml:space="preserve">11. K. Ikeya, F. J. Guerrero-Gonzalez, L. Kiewiet, M.-A. Cardin, J. J. Cilliers, S. Starr, and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155">
        <w:r>
          <w:rPr>
            <w:rStyle w:val="Hyperlink"/>
          </w:rPr>
          <w:t xml:space="preserve">10.1016/j.actaastro.2025.02.004</w:t>
        </w:r>
      </w:hyperlink>
    </w:p>
    <w:p>
      <w:pPr>
        <w:pStyle w:val="BodyText"/>
        <w:spacing w:line="480" w:lineRule="auto"/>
        <w:ind w:firstLine="720"/>
      </w:pPr>
      <w:bookmarkStart w:id="167" w:name="ref-12"/>
      <w:bookmarkEnd w:id="167"/>
      <w:r>
        <w:t xml:space="preserve">12. K. Lane, A. Nilvarna, G. W. S. Abbey, and M. T. Kezirian,</w:t>
      </w:r>
      <w:r>
        <w:t xml:space="preserve"> </w:t>
      </w:r>
      <w:r>
        <w:t xml:space="preserve">“Probabilistic Risk Assessment (PRA) for Artemis and future space exploration programs,”</w:t>
      </w:r>
      <w:r>
        <w:t xml:space="preserve"> </w:t>
      </w:r>
      <w:r>
        <w:t xml:space="preserve">Acta Astronautica, vol. 242, 2025. doi:</w:t>
      </w:r>
      <w:r>
        <w:t xml:space="preserve"> </w:t>
      </w:r>
      <w:hyperlink r:id="rId168">
        <w:r>
          <w:rPr>
            <w:rStyle w:val="Hyperlink"/>
          </w:rPr>
          <w:t xml:space="preserve">10.1016/j.actaastro.2025.06.045</w:t>
        </w:r>
      </w:hyperlink>
    </w:p>
    <w:p>
      <w:pPr>
        <w:pStyle w:val="BodyText"/>
        <w:spacing w:line="480" w:lineRule="auto"/>
        <w:ind w:firstLine="720"/>
      </w:pPr>
      <w:bookmarkStart w:id="169" w:name="ref-13"/>
      <w:bookmarkEnd w:id="169"/>
      <w:r>
        <w:t xml:space="preserve">13. U.S. Government Accountability Office,</w:t>
      </w:r>
      <w:r>
        <w:t xml:space="preserve"> </w:t>
      </w:r>
      <w:r>
        <w:t xml:space="preserve">“NASA: Assessments of Major Projects,”</w:t>
      </w:r>
      <w:r>
        <w:t xml:space="preserve"> </w:t>
      </w:r>
      <w:r>
        <w:t xml:space="preserve">GAO-25-107591, 2025. Available: https://www.gao.gov/products/gao-25-107591</w:t>
      </w:r>
    </w:p>
    <w:p>
      <w:pPr>
        <w:pStyle w:val="BodyText"/>
        <w:spacing w:line="480" w:lineRule="auto"/>
        <w:ind w:firstLine="720"/>
      </w:pPr>
      <w:bookmarkStart w:id="170" w:name="ref-14"/>
      <w:bookmarkEnd w:id="170"/>
      <w:r>
        <w:t xml:space="preserve">14. U.S. Government Accountability Office,</w:t>
      </w:r>
      <w:r>
        <w:t xml:space="preserve"> </w:t>
      </w:r>
      <w:r>
        <w:t xml:space="preserve">“NASA Artemis Programs: Crewed Moon Landing Faces Multiple Challenges,”</w:t>
      </w:r>
      <w:r>
        <w:t xml:space="preserve"> </w:t>
      </w:r>
      <w:r>
        <w:t xml:space="preserve">GAO-24-106256, 2024. Available: https://www.gao.gov/assets/d24106256.pdf</w:t>
      </w:r>
    </w:p>
    <w:p>
      <w:pPr>
        <w:pStyle w:val="BodyText"/>
        <w:spacing w:line="480" w:lineRule="auto"/>
        <w:ind w:firstLine="720"/>
      </w:pPr>
      <w:bookmarkStart w:id="171" w:name="ref-15"/>
      <w:bookmarkEnd w:id="171"/>
      <w:r>
        <w:t xml:space="preserve">15. NASA Office of Inspector General,</w:t>
      </w:r>
      <w:r>
        <w:t xml:space="preserve"> </w:t>
      </w:r>
      <w:r>
        <w:t xml:space="preserve">“NASA’s Management of the Mobile Launcher 2,”</w:t>
      </w:r>
      <w:r>
        <w:t xml:space="preserve"> </w:t>
      </w:r>
      <w:r>
        <w:t xml:space="preserve">IG-24-016, 2024. Available: https://oig.nasa.gov/wp-content/uploads/2024/08/ig-24-016.pdf</w:t>
      </w:r>
    </w:p>
    <w:p>
      <w:pPr>
        <w:pStyle w:val="BodyText"/>
        <w:spacing w:line="480" w:lineRule="auto"/>
        <w:ind w:firstLine="720"/>
      </w:pPr>
      <w:bookmarkStart w:id="172" w:name="ref-16"/>
      <w:bookmarkEnd w:id="172"/>
      <w:r>
        <w:t xml:space="preserve">16. NASA Office of Inspector General,</w:t>
      </w:r>
      <w:r>
        <w:t xml:space="preserve"> </w:t>
      </w:r>
      <w:r>
        <w:t xml:space="preserve">“NASA’s Management of the Dragonfly Project,”</w:t>
      </w:r>
      <w:r>
        <w:t xml:space="preserve"> </w:t>
      </w:r>
      <w:r>
        <w:t xml:space="preserve">IG-25-011, 2025. Available: https://oig.nasa.gov/wp-content/uploads/2025/09/final-report-ig-25-011-nasas-managment-of-the-dragonfly-project.pdf</w:t>
      </w:r>
    </w:p>
    <w:p>
      <w:pPr>
        <w:pStyle w:val="BodyText"/>
        <w:spacing w:line="480" w:lineRule="auto"/>
        <w:ind w:firstLine="720"/>
      </w:pPr>
      <w:bookmarkStart w:id="173" w:name="ref-17"/>
      <w:bookmarkEnd w:id="173"/>
      <w:r>
        <w:t xml:space="preserve">17. H. Chen, T. Sarton du Jonchay, L. Hou, and K. Ho,</w:t>
      </w:r>
      <w:r>
        <w:t xml:space="preserve"> </w:t>
      </w:r>
      <w:r>
        <w:t xml:space="preserve">“Integrated in-situ resource utilization system design and logistics for lunar exploration,”</w:t>
      </w:r>
      <w:r>
        <w:t xml:space="preserve"> </w:t>
      </w:r>
      <w:r>
        <w:rPr>
          <w:i/>
          <w:iCs/>
        </w:rPr>
        <w:t xml:space="preserve">Acta Astronautica</w:t>
      </w:r>
      <w:r>
        <w:t xml:space="preserve">, 2020, doi:</w:t>
      </w:r>
      <w:r>
        <w:t xml:space="preserve"> </w:t>
      </w:r>
      <w:hyperlink r:id="rId174">
        <w:r>
          <w:rPr>
            <w:rStyle w:val="Hyperlink"/>
          </w:rPr>
          <w:t xml:space="preserve">10.1016/j.actaastro.2020.01.031</w:t>
        </w:r>
      </w:hyperlink>
    </w:p>
    <w:p>
      <w:pPr>
        <w:pStyle w:val="BodyText"/>
        <w:spacing w:line="480" w:lineRule="auto"/>
        <w:ind w:firstLine="720"/>
      </w:pPr>
      <w:bookmarkStart w:id="175" w:name="ref-18"/>
      <w:bookmarkEnd w:id="175"/>
      <w:r>
        <w:t xml:space="preserve">18. M.-A. Chavy-Macdonald, K. Oizumi, and colleagues,</w:t>
      </w:r>
      <w:r>
        <w:t xml:space="preserve"> </w:t>
      </w:r>
      <w:r>
        <w:t xml:space="preserve">“The cis-lunar ecosystem: A systems model and scenarios of the resource economy,”</w:t>
      </w:r>
      <w:r>
        <w:t xml:space="preserve"> </w:t>
      </w:r>
      <w:r>
        <w:rPr>
          <w:i/>
          <w:iCs/>
        </w:rPr>
        <w:t xml:space="preserve">Acta Astronautica</w:t>
      </w:r>
      <w:r>
        <w:t xml:space="preserve">, 2021, doi:</w:t>
      </w:r>
      <w:r>
        <w:t xml:space="preserve"> </w:t>
      </w:r>
      <w:hyperlink r:id="rId176">
        <w:r>
          <w:rPr>
            <w:rStyle w:val="Hyperlink"/>
          </w:rPr>
          <w:t xml:space="preserve">10.1016/j.actaastro.2021.06.017</w:t>
        </w:r>
      </w:hyperlink>
    </w:p>
    <w:p>
      <w:pPr>
        <w:pStyle w:val="BodyText"/>
        <w:spacing w:line="480" w:lineRule="auto"/>
        <w:ind w:firstLine="720"/>
      </w:pPr>
      <w:bookmarkStart w:id="177" w:name="ref-19"/>
      <w:bookmarkEnd w:id="177"/>
      <w:r>
        <w:t xml:space="preserve">19. R. Mesalam, P. Schmitz, H. Sargeant, and E. Turnbull,</w:t>
      </w:r>
      <w:r>
        <w:t xml:space="preserve"> </w:t>
      </w:r>
      <w:r>
        <w:t xml:space="preserve">“Americium fuelled radioisotope stirling generator for lunar surface mobility systems,”</w:t>
      </w:r>
      <w:r>
        <w:t xml:space="preserve"> </w:t>
      </w:r>
      <w:r>
        <w:rPr>
          <w:i/>
          <w:iCs/>
        </w:rPr>
        <w:t xml:space="preserve">Acta Astronautica</w:t>
      </w:r>
      <w:r>
        <w:t xml:space="preserve">, 2024, doi:</w:t>
      </w:r>
      <w:r>
        <w:t xml:space="preserve"> </w:t>
      </w:r>
      <w:hyperlink r:id="rId163">
        <w:r>
          <w:rPr>
            <w:rStyle w:val="Hyperlink"/>
          </w:rPr>
          <w:t xml:space="preserve">10.1016/j.actaastro.2024.12.001</w:t>
        </w:r>
      </w:hyperlink>
    </w:p>
    <w:p>
      <w:pPr>
        <w:pStyle w:val="BodyText"/>
        <w:spacing w:line="480" w:lineRule="auto"/>
        <w:ind w:firstLine="720"/>
      </w:pPr>
      <w:bookmarkStart w:id="178" w:name="ref-20"/>
      <w:bookmarkEnd w:id="178"/>
      <w:r>
        <w:t xml:space="preserve">20. M. E. Evans and L. Graham,</w:t>
      </w:r>
      <w:r>
        <w:t xml:space="preserve"> </w:t>
      </w:r>
      <w:r>
        <w:t xml:space="preserve">“A Flexible Lunar Architecture for Exploration (FLARE) supporting NASA’s lunar exploration program,”</w:t>
      </w:r>
      <w:r>
        <w:t xml:space="preserve"> </w:t>
      </w:r>
      <w:r>
        <w:rPr>
          <w:i/>
          <w:iCs/>
        </w:rPr>
        <w:t xml:space="preserve">Acta Astronautica</w:t>
      </w:r>
      <w:r>
        <w:t xml:space="preserve">, 2020, doi:</w:t>
      </w:r>
      <w:r>
        <w:t xml:space="preserve"> </w:t>
      </w:r>
      <w:hyperlink r:id="rId179">
        <w:r>
          <w:rPr>
            <w:rStyle w:val="Hyperlink"/>
          </w:rPr>
          <w:t xml:space="preserve">10.1016/j.actaastro.2020.07.032</w:t>
        </w:r>
      </w:hyperlink>
    </w:p>
    <w:p>
      <w:pPr>
        <w:pStyle w:val="BodyText"/>
        <w:spacing w:line="480" w:lineRule="auto"/>
        <w:ind w:firstLine="720"/>
      </w:pPr>
      <w:bookmarkStart w:id="180" w:name="ref-21"/>
      <w:bookmarkEnd w:id="180"/>
      <w:r>
        <w:t xml:space="preserve">21. E. Romero and D. Francisco,</w:t>
      </w:r>
      <w:r>
        <w:t xml:space="preserve"> </w:t>
      </w:r>
      <w:r>
        <w:t xml:space="preserve">“The NASA human system risk mitigation process for space exploration,”</w:t>
      </w:r>
      <w:r>
        <w:t xml:space="preserve"> </w:t>
      </w:r>
      <w:r>
        <w:rPr>
          <w:i/>
          <w:iCs/>
        </w:rPr>
        <w:t xml:space="preserve">Acta Astronautica</w:t>
      </w:r>
      <w:r>
        <w:t xml:space="preserve">, 2020, doi:</w:t>
      </w:r>
      <w:r>
        <w:t xml:space="preserve"> </w:t>
      </w:r>
      <w:hyperlink r:id="rId181">
        <w:r>
          <w:rPr>
            <w:rStyle w:val="Hyperlink"/>
          </w:rPr>
          <w:t xml:space="preserve">10.1016/j.actaastro.2020.04.046</w:t>
        </w:r>
      </w:hyperlink>
    </w:p>
    <w:p>
      <w:pPr>
        <w:pStyle w:val="BodyText"/>
        <w:spacing w:line="480" w:lineRule="auto"/>
        <w:ind w:firstLine="720"/>
      </w:pPr>
      <w:bookmarkStart w:id="182" w:name="ref-22"/>
      <w:bookmarkEnd w:id="182"/>
      <w:r>
        <w:t xml:space="preserve">22. Eugene Magnier (Institute for Astronomy, University of Hawaii), Nick Kaiser (Institute for Astronomy, University of Hawaii), Ken Chambers (Institute for Astronomy, University of Hawaii). The Pan-STARRS PS1 Image Processing Pipeline (2006).</w:t>
      </w:r>
    </w:p>
    <w:p>
      <w:pPr>
        <w:pStyle w:val="BodyText"/>
        <w:spacing w:line="480" w:lineRule="auto"/>
        <w:ind w:firstLine="720"/>
      </w:pPr>
      <w:bookmarkStart w:id="183" w:name="ref-23"/>
      <w:bookmarkEnd w:id="183"/>
      <w:r>
        <w:t xml:space="preserve">23.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w:t>
      </w:r>
    </w:p>
    <w:p>
      <w:pPr>
        <w:pStyle w:val="BodyText"/>
        <w:spacing w:line="480" w:lineRule="auto"/>
        <w:ind w:firstLine="720"/>
      </w:pPr>
      <w:bookmarkStart w:id="184" w:name="ref-24"/>
      <w:bookmarkEnd w:id="184"/>
      <w:r>
        <w:t xml:space="preserve">24. Harvey Reed, MITRE; Nick Tsamis, MITRE; Nathaniel Dailey, MITRE. Space Sustainability and Traffic Management Requires Trusted Space Stakeholder Coordination (2023). doi:</w:t>
      </w:r>
      <w:r>
        <w:t xml:space="preserve"> </w:t>
      </w:r>
      <w:hyperlink r:id="rId185">
        <w:r>
          <w:rPr>
            <w:rStyle w:val="Hyperlink"/>
          </w:rPr>
          <w:t xml:space="preserve">10.64861/MVHC2799</w:t>
        </w:r>
      </w:hyperlink>
    </w:p>
    <w:p>
      <w:pPr>
        <w:pStyle w:val="BodyText"/>
        <w:spacing w:line="480" w:lineRule="auto"/>
        <w:ind w:firstLine="720"/>
      </w:pPr>
      <w:bookmarkStart w:id="186" w:name="ref-25"/>
      <w:bookmarkEnd w:id="186"/>
      <w:r>
        <w:t xml:space="preserve">25. Linda Haines (USAF ESC/HSIB Space C2 and Surveillance Division), Phillip Phu (MIT/Lincoln Laboratory). Space Fence PDR Concept Development Phase (2011).</w:t>
      </w:r>
    </w:p>
    <w:p>
      <w:pPr>
        <w:pStyle w:val="BodyText"/>
        <w:spacing w:line="480" w:lineRule="auto"/>
        <w:ind w:firstLine="720"/>
      </w:pPr>
      <w:bookmarkStart w:id="187" w:name="ref-26"/>
      <w:bookmarkEnd w:id="187"/>
      <w:r>
        <w:t xml:space="preserve">26. Christopher Valicka, Sandia National Laboratories, Deanna Garcia, Sandia National Laboratories, Andrea Staid, Sandia National Laboratories, Jean-Paul Watson, Sandia National Laboratories, Mark D. Rintoul, Sandia National Laboratories, Gabriel Hackebeil, University of Michigan, Lewis Ntaimo, Texas A&amp;M University. Space Surveillance Network Scheduling Under Uncertainty: Models and Benefits (2016).</w:t>
      </w:r>
    </w:p>
    <w:p>
      <w:pPr>
        <w:pStyle w:val="BodyText"/>
        <w:spacing w:line="480" w:lineRule="auto"/>
        <w:ind w:firstLine="720"/>
      </w:pPr>
      <w:bookmarkStart w:id="188" w:name="ref-27"/>
      <w:bookmarkEnd w:id="188"/>
      <w:r>
        <w:t xml:space="preserve">27. Alexis Truitt, Intelligence Advanced Research Projects Activity (IARPA). IARPA’s Space debris Identification and Tracking (SINTRA) Program (2023). doi:</w:t>
      </w:r>
      <w:r>
        <w:t xml:space="preserve"> </w:t>
      </w:r>
      <w:hyperlink r:id="rId189">
        <w:r>
          <w:rPr>
            <w:rStyle w:val="Hyperlink"/>
          </w:rPr>
          <w:t xml:space="preserve">10.64861/PCSO1880</w:t>
        </w:r>
      </w:hyperlink>
    </w:p>
    <w:p>
      <w:pPr>
        <w:pStyle w:val="BodyText"/>
        <w:spacing w:line="480" w:lineRule="auto"/>
        <w:ind w:firstLine="720"/>
      </w:pPr>
      <w:bookmarkStart w:id="190" w:name="ref-28"/>
      <w:bookmarkEnd w:id="190"/>
      <w:r>
        <w:t xml:space="preserve">28.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w:t>
      </w:r>
    </w:p>
    <w:p>
      <w:pPr>
        <w:pStyle w:val="BodyText"/>
        <w:spacing w:line="480" w:lineRule="auto"/>
        <w:ind w:firstLine="720"/>
      </w:pPr>
      <w:bookmarkStart w:id="191" w:name="ref-29"/>
      <w:bookmarkEnd w:id="191"/>
      <w:r>
        <w:t xml:space="preserve">29. Captain Paul Maskell (Department of National Defence), Lorne Oram (Department of National Defence). Sapphire: Canada’s Answer to Space-Based Surveillance of Orbital Objects (2008).</w:t>
      </w:r>
    </w:p>
    <w:p>
      <w:pPr>
        <w:pStyle w:val="BodyText"/>
        <w:spacing w:line="480" w:lineRule="auto"/>
        <w:ind w:firstLine="720"/>
      </w:pPr>
      <w:bookmarkStart w:id="192" w:name="ref-30"/>
      <w:bookmarkEnd w:id="192"/>
      <w:r>
        <w:t xml:space="preserve">30. Chloé Carrière; Kevin Pahud; Volker Gass. Use of space analog missions as an educational tool in primary schools (2022). doi:</w:t>
      </w:r>
      <w:r>
        <w:t xml:space="preserve"> </w:t>
      </w:r>
      <w:hyperlink r:id="rId193">
        <w:r>
          <w:rPr>
            <w:rStyle w:val="Hyperlink"/>
          </w:rPr>
          <w:t xml:space="preserve">10.1016/j.actaastro.2022.07.042</w:t>
        </w:r>
      </w:hyperlink>
    </w:p>
    <w:p>
      <w:pPr>
        <w:pStyle w:val="BodyText"/>
        <w:spacing w:line="480" w:lineRule="auto"/>
        <w:ind w:firstLine="720"/>
      </w:pPr>
      <w:bookmarkStart w:id="194" w:name="ref-31"/>
      <w:bookmarkEnd w:id="194"/>
      <w:r>
        <w:t xml:space="preserve">31. Sandra Häuplik‐Meusburger; Olga Bannova. Reflections on early lunar base design – From sketch to the first moon landing (2022). doi:</w:t>
      </w:r>
      <w:r>
        <w:t xml:space="preserve"> </w:t>
      </w:r>
      <w:hyperlink r:id="rId195">
        <w:r>
          <w:rPr>
            <w:rStyle w:val="Hyperlink"/>
          </w:rPr>
          <w:t xml:space="preserve">10.1016/j.actaastro.2022.09.021</w:t>
        </w:r>
      </w:hyperlink>
    </w:p>
    <w:p>
      <w:pPr>
        <w:pStyle w:val="BodyText"/>
        <w:spacing w:line="480" w:lineRule="auto"/>
        <w:ind w:firstLine="720"/>
      </w:pPr>
      <w:bookmarkStart w:id="196" w:name="ref-32"/>
      <w:bookmarkEnd w:id="196"/>
      <w:r>
        <w:t xml:space="preserve">32. Christiane Heinicke; Lucie Poulet; Jocelyn Dunn; Anne J. Meier. Crew self-organization and group-living habits during three autonomous, long-duration Mars analog missions (2021). doi:</w:t>
      </w:r>
      <w:r>
        <w:t xml:space="preserve"> </w:t>
      </w:r>
      <w:hyperlink r:id="rId197">
        <w:r>
          <w:rPr>
            <w:rStyle w:val="Hyperlink"/>
          </w:rPr>
          <w:t xml:space="preserve">10.1016/j.actaastro.2021.01.049</w:t>
        </w:r>
      </w:hyperlink>
    </w:p>
    <w:p>
      <w:pPr>
        <w:pStyle w:val="BodyText"/>
        <w:spacing w:line="480" w:lineRule="auto"/>
        <w:ind w:firstLine="720"/>
      </w:pPr>
      <w:bookmarkStart w:id="198" w:name="ref-33"/>
      <w:bookmarkEnd w:id="198"/>
      <w:r>
        <w:t xml:space="preserve">33. Christopher P. Spedding; Sungwoo Lim; William J. Nuttall. ISRU technology deployment at a lunar outpost in 2040: A Delphi survey (2021). doi:</w:t>
      </w:r>
      <w:r>
        <w:t xml:space="preserve"> </w:t>
      </w:r>
      <w:hyperlink r:id="rId149">
        <w:r>
          <w:rPr>
            <w:rStyle w:val="Hyperlink"/>
          </w:rPr>
          <w:t xml:space="preserve">10.1016/j.actaastro.2021.01.009</w:t>
        </w:r>
      </w:hyperlink>
    </w:p>
    <w:p>
      <w:pPr>
        <w:pStyle w:val="BodyText"/>
        <w:spacing w:line="480" w:lineRule="auto"/>
        <w:ind w:firstLine="720"/>
      </w:pPr>
      <w:bookmarkStart w:id="199" w:name="ref-34"/>
      <w:bookmarkEnd w:id="199"/>
      <w:r>
        <w:t xml:space="preserve">34. Kosuke Ikeya; Michel‐Alexandre Cardin; J.J. Cilliers; Stanley Starr; Kathryn Hadler. Multi-objective decision-making for flexible design and planning of oxygen production facilities in an uncertain lunar environment (2025). doi:</w:t>
      </w:r>
      <w:r>
        <w:t xml:space="preserve"> </w:t>
      </w:r>
      <w:hyperlink r:id="rId200">
        <w:r>
          <w:rPr>
            <w:rStyle w:val="Hyperlink"/>
          </w:rPr>
          <w:t xml:space="preserve">10.1016/j.actaastro.2025.07.014</w:t>
        </w:r>
      </w:hyperlink>
    </w:p>
    <w:p>
      <w:pPr>
        <w:pStyle w:val="BodyText"/>
        <w:spacing w:line="480" w:lineRule="auto"/>
        <w:ind w:firstLine="720"/>
      </w:pPr>
      <w:bookmarkStart w:id="201" w:name="ref-35"/>
      <w:bookmarkEnd w:id="201"/>
      <w:r>
        <w:t xml:space="preserve">35. Chenggui He; Paul Junge; Rafael Kleba-Ehrhardt; Oliver Goerke; Christian Rupprecht; Aleksander Gurlo; David Karl. A novel approach to increase flowability of planetary regolith: Spray drying of Martian simulants for powder-based ISRU fabrication (2025). doi:</w:t>
      </w:r>
      <w:r>
        <w:t xml:space="preserve"> </w:t>
      </w:r>
      <w:hyperlink r:id="rId202">
        <w:r>
          <w:rPr>
            <w:rStyle w:val="Hyperlink"/>
          </w:rPr>
          <w:t xml:space="preserve">10.1016/j.actaastro.2025.07.054</w:t>
        </w:r>
      </w:hyperlink>
    </w:p>
    <w:p>
      <w:pPr>
        <w:pStyle w:val="BodyText"/>
        <w:spacing w:line="480" w:lineRule="auto"/>
        <w:ind w:firstLine="720"/>
      </w:pPr>
      <w:bookmarkStart w:id="203" w:name="ref-36"/>
      <w:bookmarkEnd w:id="203"/>
      <w:r>
        <w:t xml:space="preserve">36. Sung Hyun Kim; Minchae Kim; Han-Lim Choi. Tip-and-cue mission scheduling in heterogeneous satellite constellations using mixed-integer linear programming (2026). doi:</w:t>
      </w:r>
      <w:r>
        <w:t xml:space="preserve"> </w:t>
      </w:r>
      <w:hyperlink r:id="rId204">
        <w:r>
          <w:rPr>
            <w:rStyle w:val="Hyperlink"/>
          </w:rPr>
          <w:t xml:space="preserve">10.1016/j.actaastro.2026.04.059</w:t>
        </w:r>
      </w:hyperlink>
    </w:p>
    <w:p>
      <w:pPr>
        <w:pStyle w:val="BodyText"/>
        <w:spacing w:line="480" w:lineRule="auto"/>
        <w:ind w:firstLine="720"/>
      </w:pPr>
      <w:bookmarkStart w:id="205" w:name="ref-37"/>
      <w:bookmarkEnd w:id="205"/>
      <w:r>
        <w:t xml:space="preserve">37. Nicole Viola; Roberta Fusaro; Valeria Vercella. Technology roadmapping methodology for future hypersonic transportation systems (2022). doi:</w:t>
      </w:r>
      <w:r>
        <w:t xml:space="preserve"> </w:t>
      </w:r>
      <w:hyperlink r:id="rId206">
        <w:r>
          <w:rPr>
            <w:rStyle w:val="Hyperlink"/>
          </w:rPr>
          <w:t xml:space="preserve">10.1016/j.actaastro.2022.03.038</w:t>
        </w:r>
      </w:hyperlink>
    </w:p>
    <w:bookmarkEnd w:id="207"/>
    <w:bookmarkEnd w:id="208"/>
    <w:bookmarkStart w:id="22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6" w:name="Xda39758a8d8bce3904b2eba6b49fdf1afb49a21"/>
    <w:p>
      <w:pPr>
        <w:pStyle w:val="Heading2"/>
        <w:spacing w:line="480" w:lineRule="auto"/>
      </w:pPr>
      <w:r>
        <w:t xml:space="preserve">A.1 Schedule Realism on the Lunar Frontier: Do ISRU and Nuclear Milestones Slip Faster? A Cross-Project Fixed-Covariate Regression of Normalized Schedule Slip in NASA Major Projects</w:t>
      </w:r>
    </w:p>
    <w:p>
      <w:pPr>
        <w:pStyle w:val="FirstParagraph"/>
        <w:spacing w:line="480" w:lineRule="auto"/>
      </w:pPr>
      <m:oMathPara>
        <m:oMathParaPr>
          <m:jc m:val="center"/>
        </m:oMathParaPr>
        <m:oMath>
          <m:sSub>
            <m:e>
              <m:r>
                <m:rPr>
                  <m:nor/>
                  <m:sty m:val="p"/>
                </m:rPr>
                <m:t>norm_slip</m:t>
              </m:r>
            </m:e>
            <m:sub>
              <m:r>
                <m:t>i</m:t>
              </m:r>
            </m:sub>
          </m:sSub>
          <m:r>
            <m:rPr>
              <m:sty m:val="p"/>
            </m:rPr>
            <m:t>=</m:t>
          </m:r>
          <m:sSub>
            <m:e>
              <m:r>
                <m:t>β</m:t>
              </m:r>
            </m:e>
            <m:sub>
              <m:r>
                <m:t>0</m:t>
              </m:r>
            </m:sub>
          </m:sSub>
          <m:r>
            <m:rPr>
              <m:sty m:val="p"/>
            </m:rPr>
            <m:t>+</m:t>
          </m:r>
          <m:sSub>
            <m:e>
              <m:r>
                <m:t>β</m:t>
              </m:r>
            </m:e>
            <m:sub>
              <m:r>
                <m:t>1</m:t>
              </m:r>
            </m:sub>
          </m:sSub>
          <m:sSub>
            <m:e>
              <m:r>
                <m:rPr>
                  <m:nor/>
                  <m:sty m:val="p"/>
                </m:rPr>
                <m:t>isru_nuclear</m:t>
              </m:r>
            </m:e>
            <m:sub>
              <m:r>
                <m:t>i</m:t>
              </m:r>
            </m:sub>
          </m:sSub>
          <m:r>
            <m:rPr>
              <m:sty m:val="p"/>
            </m:rPr>
            <m:t>+</m:t>
          </m:r>
          <m:sSub>
            <m:e>
              <m:r>
                <m:t>β</m:t>
              </m:r>
            </m:e>
            <m:sub>
              <m:r>
                <m:t>2</m:t>
              </m:r>
            </m:sub>
          </m:sSub>
          <m:sSub>
            <m:e>
              <m:r>
                <m:rPr>
                  <m:nor/>
                  <m:sty m:val="p"/>
                </m:rPr>
                <m:t>baseline_months</m:t>
              </m:r>
            </m:e>
            <m:sub>
              <m:r>
                <m:t>i</m:t>
              </m:r>
            </m:sub>
          </m:sSub>
          <m:r>
            <m:rPr>
              <m:sty m:val="p"/>
            </m:rPr>
            <m:t>+</m:t>
          </m:r>
          <m:sSub>
            <m:e>
              <m:r>
                <m:t>β</m:t>
              </m:r>
            </m:e>
            <m:sub>
              <m:r>
                <m:t>3</m:t>
              </m:r>
            </m:sub>
          </m:sSub>
          <m:sSub>
            <m:e>
              <m:r>
                <m:rPr>
                  <m:nor/>
                  <m:sty m:val="p"/>
                </m:rPr>
                <m:t>baseline_year</m:t>
              </m:r>
            </m:e>
            <m:sub>
              <m:r>
                <m:t>i</m:t>
              </m:r>
            </m:sub>
          </m:sSub>
          <m:r>
            <m:rPr>
              <m:sty m:val="p"/>
            </m:rPr>
            <m:t>+</m:t>
          </m:r>
          <m:sSub>
            <m:e>
              <m:r>
                <m:t>β</m:t>
              </m:r>
            </m:e>
            <m:sub>
              <m:r>
                <m:t>4</m:t>
              </m:r>
            </m:sub>
          </m:sSub>
          <m:sSub>
            <m:e>
              <m:r>
                <m:rPr>
                  <m:nor/>
                  <m:sty m:val="p"/>
                </m:rPr>
                <m:t>trl_baseline</m:t>
              </m:r>
            </m:e>
            <m:sub>
              <m:r>
                <m:t>i</m:t>
              </m:r>
            </m:sub>
          </m:sSub>
          <m:r>
            <m:rPr>
              <m:sty m:val="p"/>
            </m:rPr>
            <m:t>+</m:t>
          </m:r>
          <m:sSub>
            <m:e>
              <m:r>
                <m:t>ε</m:t>
              </m:r>
            </m:e>
            <m:sub>
              <m:r>
                <m:t>i</m:t>
              </m:r>
            </m:sub>
          </m:sSub>
        </m:oMath>
      </m:oMathPara>
    </w:p>
    <w:bookmarkStart w:id="20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77.0598</w:t>
            </w:r>
          </w:p>
        </w:tc>
        <w:tc>
          <w:tcPr>
            <w:tcW w:w="0" w:type="auto"/>
          </w:tcPr>
          <w:p>
            <w:pPr>
              <w:spacing w:line="240" w:lineRule="auto" w:before="0" w:after="0"/>
              <w:pStyle w:val="Compact"/>
            </w:pPr>
            <w:r>
              <w:rPr>
                <w:sz w:val="20"/>
                <w:szCs w:val="20"/>
              </w:rPr>
              <w:t xml:space="preserve">83.2765</w:t>
            </w:r>
          </w:p>
        </w:tc>
        <w:tc>
          <w:tcPr>
            <w:tcW w:w="0" w:type="auto"/>
          </w:tcPr>
          <w:p>
            <w:pPr>
              <w:spacing w:line="240" w:lineRule="auto" w:before="0" w:after="0"/>
              <w:pStyle w:val="Compact"/>
            </w:pPr>
            <w:r>
              <w:rPr>
                <w:sz w:val="20"/>
                <w:szCs w:val="20"/>
              </w:rPr>
              <w:t xml:space="preserve">0.9253</w:t>
            </w:r>
          </w:p>
        </w:tc>
        <w:tc>
          <w:tcPr>
            <w:tcW w:w="0" w:type="auto"/>
          </w:tcPr>
          <w:p>
            <w:pPr>
              <w:spacing w:line="240" w:lineRule="auto" w:before="0" w:after="0"/>
              <w:pStyle w:val="Compact"/>
            </w:pPr>
            <w:r>
              <w:rPr>
                <w:sz w:val="20"/>
                <w:szCs w:val="20"/>
              </w:rPr>
              <w:t xml:space="preserve">0.3548</w:t>
            </w:r>
          </w:p>
        </w:tc>
        <w:tc>
          <w:tcPr>
            <w:tcW w:w="0" w:type="auto"/>
          </w:tcPr>
          <w:p>
            <w:pPr>
              <w:spacing w:line="240" w:lineRule="auto" w:before="0" w:after="0"/>
              <w:pStyle w:val="Compact"/>
            </w:pPr>
            <w:r>
              <w:rPr>
                <w:sz w:val="20"/>
                <w:szCs w:val="20"/>
              </w:rPr>
              <w:t xml:space="preserve">[-86.1591, 240.2788]</w:t>
            </w:r>
          </w:p>
        </w:tc>
      </w:tr>
      <w:tr>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-0.7248</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[-0.537, 0.2471]</w:t>
            </w:r>
          </w:p>
        </w:tc>
      </w:tr>
      <w:tr>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-0.6941</w:t>
            </w:r>
          </w:p>
        </w:tc>
        <w:tc>
          <w:tcPr>
            <w:tcW w:w="0" w:type="auto"/>
          </w:tcPr>
          <w:p>
            <w:pPr>
              <w:spacing w:line="240" w:lineRule="auto" w:before="0" w:after="0"/>
              <w:pStyle w:val="Compact"/>
            </w:pPr>
            <w:r>
              <w:rPr>
                <w:sz w:val="20"/>
                <w:szCs w:val="20"/>
              </w:rPr>
              <w:t xml:space="preserve">0.4876</w:t>
            </w:r>
          </w:p>
        </w:tc>
        <w:tc>
          <w:tcPr>
            <w:tcW w:w="0" w:type="auto"/>
          </w:tcPr>
          <w:p>
            <w:pPr>
              <w:spacing w:line="240" w:lineRule="auto" w:before="0" w:after="0"/>
              <w:pStyle w:val="Compact"/>
            </w:pPr>
            <w:r>
              <w:rPr>
                <w:sz w:val="20"/>
                <w:szCs w:val="20"/>
              </w:rPr>
              <w:t xml:space="preserve">[-0.013, 0.0062]</w:t>
            </w:r>
          </w:p>
        </w:tc>
      </w:tr>
      <w:tr>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[-0.1178, 0.0428]</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-0.1477</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-1.8607</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[-0.3032, 0.0079]</w:t>
            </w:r>
          </w:p>
        </w:tc>
      </w:tr>
    </w:tbl>
    <w:p>
      <w:pPr>
        <w:pStyle w:val="BodyText"/>
        <w:spacing w:line="480" w:lineRule="auto"/>
        <w:ind w:firstLine="720"/>
      </w:pPr>
      <w:r>
        <w:t xml:space="preserve">Fit: N = 28 R2 = 0.1231 R2_adj = -0.0294 F = 1.2355 F_p = 0.3235</w:t>
      </w:r>
    </w:p>
    <w:bookmarkEnd w:id="209"/>
    <w:bookmarkStart w:id="21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Normalized schedule slip against baseline technology maturity across 28 NASA major-project milestones, with ISRU and nuclear milestones distinguished from the comparison group." title="" id="211" name="Picture"/>
            <a:graphic>
              <a:graphicData uri="http://schemas.openxmlformats.org/drawingml/2006/picture">
                <pic:pic>
                  <pic:nvPicPr>
                    <pic:cNvPr descr="D:/Claude_Code/brain/collegium/candidates/dissertations/CISLUNAR_DEV_06/research_papers/p1/paper_fig1.png" id="212" name="Picture"/>
                    <pic:cNvPicPr>
                      <a:picLocks noChangeArrowheads="1" noChangeAspect="1"/>
                    </pic:cNvPicPr>
                  </pic:nvPicPr>
                  <pic:blipFill>
                    <a:blip r:embed="rId21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Normalized schedule slip against baseline technology maturity across 28 NASA major-project milestones, with ISRU and nuclear milestones distinguished from the comparison group.</w:t>
      </w:r>
    </w:p>
    <w:bookmarkEnd w:id="213"/>
    <w:bookmarkStart w:id="21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milestone</w:t>
            </w:r>
          </w:p>
        </w:tc>
        <w:tc>
          <w:tcPr>
            <w:tcW w:w="0" w:type="auto"/>
          </w:tcPr>
          <w:p>
            <w:pPr>
              <w:spacing w:line="240" w:lineRule="auto" w:before="0" w:after="0"/>
              <w:pStyle w:val="Compact"/>
            </w:pPr>
            <w:r>
              <w:rPr>
                <w:sz w:val="20"/>
                <w:szCs w:val="20"/>
              </w:rPr>
              <w:t xml:space="preserve">program_id</w:t>
            </w:r>
          </w:p>
        </w:tc>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norm_slip</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Fission Surface Power 40kW reactor delivery</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Glenn FSP project and Aviation Week</w:t>
            </w:r>
            <w:r>
              <w:rPr>
                <w:sz w:val="20"/>
                <w:szCs w:val="20"/>
              </w:rPr>
              <w:t xml:space="preserve"> </w:t>
            </w:r>
            <w:r>
              <w:rPr>
                <w:sz w:val="20"/>
                <w:szCs w:val="20"/>
              </w:rPr>
              <w:t xml:space="preserve">‘NASA Aims To Launch Lunar Fission Reactor By 2030’</w:t>
            </w:r>
            <w:r>
              <w:rPr>
                <w:sz w:val="20"/>
                <w:szCs w:val="20"/>
              </w:rPr>
              <w:t xml:space="preserve"> </w:t>
            </w:r>
            <w:r>
              <w:rPr>
                <w:sz w:val="20"/>
                <w:szCs w:val="20"/>
              </w:rPr>
              <w:t xml:space="preserve">(target slipped from late 2020s to early 2030s); nasa.gov/centers-and-facilities/glenn/nasas-fission-surface-power-project-energizes-lunar-exploration</w:t>
            </w:r>
          </w:p>
        </w:tc>
      </w:tr>
      <w:tr>
        <w:tc>
          <w:tcPr>
            <w:tcW w:w="0" w:type="auto"/>
          </w:tcPr>
          <w:p>
            <w:pPr>
              <w:spacing w:line="240" w:lineRule="auto" w:before="0" w:after="0"/>
              <w:pStyle w:val="Compact"/>
            </w:pPr>
            <w:r>
              <w:rPr>
                <w:sz w:val="20"/>
                <w:szCs w:val="20"/>
              </w:rPr>
              <w:t xml:space="preserve">PRIME-1 ISRU drill/MSolo demonstration</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Science PRIME-1 page (landing slipped within 2024-2025); science.nasa.gov/lunar-science/clps-deliveries/prime-1-im</w:t>
            </w:r>
          </w:p>
        </w:tc>
      </w:tr>
      <w:tr>
        <w:tc>
          <w:tcPr>
            <w:tcW w:w="0" w:type="auto"/>
          </w:tcPr>
          <w:p>
            <w:pPr>
              <w:spacing w:line="240" w:lineRule="auto" w:before="0" w:after="0"/>
              <w:pStyle w:val="Compact"/>
            </w:pPr>
            <w:r>
              <w:rPr>
                <w:sz w:val="20"/>
                <w:szCs w:val="20"/>
              </w:rPr>
              <w:t xml:space="preserve">VIPER polar ice prospecting rover readiness</w:t>
            </w:r>
          </w:p>
        </w:tc>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0.5833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news release</w:t>
            </w:r>
            <w:r>
              <w:rPr>
                <w:sz w:val="20"/>
                <w:szCs w:val="20"/>
              </w:rPr>
              <w:t xml:space="preserve"> </w:t>
            </w:r>
            <w:r>
              <w:rPr>
                <w:sz w:val="20"/>
                <w:szCs w:val="20"/>
              </w:rPr>
              <w:t xml:space="preserve">‘NASA Ends VIPER Project’</w:t>
            </w:r>
            <w:r>
              <w:rPr>
                <w:sz w:val="20"/>
                <w:szCs w:val="20"/>
              </w:rPr>
              <w:t xml:space="preserve"> </w:t>
            </w:r>
            <w:r>
              <w:rPr>
                <w:sz w:val="20"/>
                <w:szCs w:val="20"/>
              </w:rPr>
              <w:t xml:space="preserve">and Wikipedia VIPER (late 2023 baseline to Sep 2025 readiness before cancellation); nasa.gov/news-release/nasa-ends-viper-project-continues-moon-exploration</w:t>
            </w:r>
          </w:p>
        </w:tc>
      </w:tr>
      <w:tr>
        <w:tc>
          <w:tcPr>
            <w:tcW w:w="0" w:type="auto"/>
          </w:tcPr>
          <w:p>
            <w:pPr>
              <w:spacing w:line="240" w:lineRule="auto" w:before="0" w:after="0"/>
              <w:pStyle w:val="Compact"/>
            </w:pPr>
            <w:r>
              <w:rPr>
                <w:sz w:val="20"/>
                <w:szCs w:val="20"/>
              </w:rPr>
              <w:t xml:space="preserve">LTV crewed lunar mobility surface delivery</w:t>
            </w:r>
          </w:p>
        </w:tc>
        <w:tc>
          <w:tcPr>
            <w:tcW w:w="0" w:type="auto"/>
          </w:tcPr>
          <w:p>
            <w:pPr>
              <w:spacing w:line="240" w:lineRule="auto" w:before="0" w:after="0"/>
              <w:pStyle w:val="Compact"/>
            </w:pPr>
            <w:r>
              <w:rPr>
                <w:sz w:val="20"/>
                <w:szCs w:val="20"/>
              </w:rPr>
              <w:t xml:space="preserve">LTV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Lunar Terrain Vehicle program and NASA Moon Base Systems update (2028 target under CLPS); nasa.gov/suits-and-rovers/lunar-terrain-vehicle</w:t>
            </w:r>
          </w:p>
        </w:tc>
      </w:tr>
      <w:tr>
        <w:tc>
          <w:tcPr>
            <w:tcW w:w="0" w:type="auto"/>
          </w:tcPr>
          <w:p>
            <w:pPr>
              <w:spacing w:line="240" w:lineRule="auto" w:before="0" w:after="0"/>
              <w:pStyle w:val="Compact"/>
            </w:pPr>
            <w:r>
              <w:rPr>
                <w:sz w:val="20"/>
                <w:szCs w:val="20"/>
              </w:rPr>
              <w:t xml:space="preserve">Lunar regolith ISRU oxygen pilot facility</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Spedding, Lim &amp; Nuttall (2021) Delphi finding that ISRU at a 2040 outpost requires ~1 MW additional power; doi:10.1016/j.actaastro.2021.01.009</w:t>
            </w:r>
          </w:p>
        </w:tc>
      </w:tr>
      <w:tr>
        <w:tc>
          <w:tcPr>
            <w:tcW w:w="0" w:type="auto"/>
          </w:tcPr>
          <w:p>
            <w:pPr>
              <w:spacing w:line="240" w:lineRule="auto" w:before="0" w:after="0"/>
              <w:pStyle w:val="Compact"/>
            </w:pPr>
            <w:r>
              <w:rPr>
                <w:sz w:val="20"/>
                <w:szCs w:val="20"/>
              </w:rPr>
              <w:t xml:space="preserve">Orion crew vehicle Artemis II readiness</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and leonarddavid.com report (Orion ~$360M-$684M growth vs 2021 rebaseline); gao.gov/products/gao-25-107591</w:t>
            </w:r>
          </w:p>
        </w:tc>
      </w:tr>
      <w:tr>
        <w:tc>
          <w:tcPr>
            <w:tcW w:w="0" w:type="auto"/>
          </w:tcPr>
          <w:p>
            <w:pPr>
              <w:spacing w:line="240" w:lineRule="auto" w:before="0" w:after="0"/>
              <w:pStyle w:val="Compact"/>
            </w:pPr>
            <w:r>
              <w:rPr>
                <w:sz w:val="20"/>
                <w:szCs w:val="20"/>
              </w:rPr>
              <w:t xml:space="preserve">SLS Block 1 Artemis II launch readiness</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0.1042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NASA Assessments of Major Projects; gao.gov/assets/gao-25-107591.pdf</w:t>
            </w:r>
          </w:p>
        </w:tc>
      </w:tr>
      <w:tr>
        <w:tc>
          <w:tcPr>
            <w:tcW w:w="0" w:type="auto"/>
          </w:tcPr>
          <w:p>
            <w:pPr>
              <w:spacing w:line="240" w:lineRule="auto" w:before="0" w:after="0"/>
              <w:pStyle w:val="Compact"/>
            </w:pPr>
            <w:r>
              <w:rPr>
                <w:sz w:val="20"/>
                <w:szCs w:val="20"/>
              </w:rPr>
              <w:t xml:space="preserve">Exploration Upper Stage (SLS Block 1B)</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IG-24-015 and NASASpaceFlight (delivery dates extended up to 7 years); oig.nasa.gov/wp-content/uploads/2024/08/ig-24-015.pdf</w:t>
            </w:r>
          </w:p>
        </w:tc>
      </w:tr>
      <w:tr>
        <w:tc>
          <w:tcPr>
            <w:tcW w:w="0" w:type="auto"/>
          </w:tcPr>
          <w:p>
            <w:pPr>
              <w:spacing w:line="240" w:lineRule="auto" w:before="0" w:after="0"/>
              <w:pStyle w:val="Compact"/>
            </w:pPr>
            <w:r>
              <w:rPr>
                <w:sz w:val="20"/>
                <w:szCs w:val="20"/>
              </w:rPr>
              <w:t xml:space="preserve">Mobile Launcher 2 delivery</w:t>
            </w:r>
          </w:p>
        </w:tc>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IG-24-016 and Space.com (March 2023 baseline to spring 2029 earliest); oig.nasa.gov/wp-content/uploads/2024/08/ig-24-016.pdf</w:t>
            </w:r>
          </w:p>
        </w:tc>
      </w:tr>
      <w:tr>
        <w:tc>
          <w:tcPr>
            <w:tcW w:w="0" w:type="auto"/>
          </w:tcPr>
          <w:p>
            <w:pPr>
              <w:spacing w:line="240" w:lineRule="auto" w:before="0" w:after="0"/>
              <w:pStyle w:val="Compact"/>
            </w:pPr>
            <w:r>
              <w:rPr>
                <w:sz w:val="20"/>
                <w:szCs w:val="20"/>
              </w:rPr>
              <w:t xml:space="preserve">Exploration Ground Systems Artemis II</w:t>
            </w:r>
          </w:p>
        </w:tc>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and SpacePolicyOnline (EGS lack of schedule margin); spacepolicyonline.com/news/gao-lack-of-ground-system-schedule-margin-adds-to-likelihood-of-artemis-ii-delay</w:t>
            </w:r>
          </w:p>
        </w:tc>
      </w:tr>
      <w:tr>
        <w:tc>
          <w:tcPr>
            <w:tcW w:w="0" w:type="auto"/>
          </w:tcPr>
          <w:p>
            <w:pPr>
              <w:spacing w:line="240" w:lineRule="auto" w:before="0" w:after="0"/>
              <w:pStyle w:val="Compact"/>
            </w:pPr>
            <w:r>
              <w:rPr>
                <w:sz w:val="20"/>
                <w:szCs w:val="20"/>
              </w:rPr>
              <w:t xml:space="preserve">Gateway PPE/HALO initial capability launch</w:t>
            </w:r>
          </w:p>
        </w:tc>
        <w:tc>
          <w:tcPr>
            <w:tcW w:w="0" w:type="auto"/>
          </w:tcPr>
          <w:p>
            <w:pPr>
              <w:spacing w:line="240" w:lineRule="auto" w:before="0" w:after="0"/>
              <w:pStyle w:val="Compact"/>
            </w:pPr>
            <w:r>
              <w:rPr>
                <w:sz w:val="20"/>
                <w:szCs w:val="20"/>
              </w:rPr>
              <w:t xml:space="preserve">GATEWAY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NASASpaceFlight</w:t>
            </w:r>
            <w:r>
              <w:rPr>
                <w:sz w:val="20"/>
                <w:szCs w:val="20"/>
              </w:rPr>
              <w:t xml:space="preserve"> </w:t>
            </w:r>
            <w:r>
              <w:rPr>
                <w:sz w:val="20"/>
                <w:szCs w:val="20"/>
              </w:rPr>
              <w:t xml:space="preserve">‘Gateway launch date’</w:t>
            </w:r>
            <w:r>
              <w:rPr>
                <w:sz w:val="20"/>
                <w:szCs w:val="20"/>
              </w:rPr>
              <w:t xml:space="preserve"> </w:t>
            </w:r>
            <w:r>
              <w:rPr>
                <w:sz w:val="20"/>
                <w:szCs w:val="20"/>
              </w:rPr>
              <w:t xml:space="preserve">and GAO-24-106878 (Sep 2025 baseline to Dec 2027 commitment); nasaspaceflight.com/2024/05/gateway-launch-date</w:t>
            </w:r>
          </w:p>
        </w:tc>
      </w:tr>
      <w:tr>
        <w:tc>
          <w:tcPr>
            <w:tcW w:w="0" w:type="auto"/>
          </w:tcPr>
          <w:p>
            <w:pPr>
              <w:spacing w:line="240" w:lineRule="auto" w:before="0" w:after="0"/>
              <w:pStyle w:val="Compact"/>
            </w:pPr>
            <w:r>
              <w:rPr>
                <w:sz w:val="20"/>
                <w:szCs w:val="20"/>
              </w:rPr>
              <w:t xml:space="preserve">HLS Starship uncrewed lunar demo</w:t>
            </w:r>
          </w:p>
        </w:tc>
        <w:tc>
          <w:tcPr>
            <w:tcW w:w="0" w:type="auto"/>
          </w:tcPr>
          <w:p>
            <w:pPr>
              <w:spacing w:line="240" w:lineRule="auto" w:before="0" w:after="0"/>
              <w:pStyle w:val="Compact"/>
            </w:pPr>
            <w:r>
              <w:rPr>
                <w:sz w:val="20"/>
                <w:szCs w:val="20"/>
              </w:rPr>
              <w:t xml:space="preserve">HLS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GAO-24-106256 NASA Artemis Programs (Artemis III likely early 2027); gao.gov/assets/d24106256.pdf</w:t>
            </w:r>
          </w:p>
        </w:tc>
      </w:tr>
      <w:tr>
        <w:tc>
          <w:tcPr>
            <w:tcW w:w="0" w:type="auto"/>
          </w:tcPr>
          <w:p>
            <w:pPr>
              <w:spacing w:line="240" w:lineRule="auto" w:before="0" w:after="0"/>
              <w:pStyle w:val="Compact"/>
            </w:pPr>
            <w:r>
              <w:rPr>
                <w:sz w:val="20"/>
                <w:szCs w:val="20"/>
              </w:rPr>
              <w:t xml:space="preserve">Roman Space Telescope launch readiness</w:t>
            </w:r>
          </w:p>
        </w:tc>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-0.0952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Space.com and NASA SVS (Sep 2026, ~8 months ahead of May 2027 requirement); space.com/space-exploration/the-nancy-grace-roman-space-telescope-nasas-next-great-observatory-is-finally-complete</w:t>
            </w:r>
          </w:p>
        </w:tc>
      </w:tr>
      <w:tr>
        <w:tc>
          <w:tcPr>
            <w:tcW w:w="0" w:type="auto"/>
          </w:tcPr>
          <w:p>
            <w:pPr>
              <w:spacing w:line="240" w:lineRule="auto" w:before="0" w:after="0"/>
              <w:pStyle w:val="Compact"/>
            </w:pPr>
            <w:r>
              <w:rPr>
                <w:sz w:val="20"/>
                <w:szCs w:val="20"/>
              </w:rPr>
              <w:t xml:space="preserve">Europa Clipper launch</w:t>
            </w:r>
          </w:p>
        </w:tc>
        <w:tc>
          <w:tcPr>
            <w:tcW w:w="0" w:type="auto"/>
          </w:tcPr>
          <w:p>
            <w:pPr>
              <w:spacing w:line="240" w:lineRule="auto" w:before="0" w:after="0"/>
              <w:pStyle w:val="Compact"/>
            </w:pPr>
            <w:r>
              <w:rPr>
                <w:sz w:val="20"/>
                <w:szCs w:val="20"/>
              </w:rPr>
              <w:t xml:space="preserve">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Space.com (Oct 2024 launch, only weather slip from Oct 10 to Oct 14); space.com/nasa-spacex-europa-clipper-launch-date-october-14</w:t>
            </w:r>
          </w:p>
        </w:tc>
      </w:tr>
      <w:tr>
        <w:tc>
          <w:tcPr>
            <w:tcW w:w="0" w:type="auto"/>
          </w:tcPr>
          <w:p>
            <w:pPr>
              <w:spacing w:line="240" w:lineRule="auto" w:before="0" w:after="0"/>
              <w:pStyle w:val="Compact"/>
            </w:pPr>
            <w:r>
              <w:rPr>
                <w:sz w:val="20"/>
                <w:szCs w:val="20"/>
              </w:rPr>
              <w:t xml:space="preserve">Psyche asteroid mission launch</w:t>
            </w:r>
          </w:p>
        </w:tc>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0.2333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Wikipedia Psyche and NASA JPL (Aug 2022 baseline to Oct 2023 launch, 14-month delay); jpl.nasa.gov/news/nasa-announces-launch-delay-for-its-psyche-asteroid-mission</w:t>
            </w:r>
          </w:p>
        </w:tc>
      </w:tr>
      <w:tr>
        <w:tc>
          <w:tcPr>
            <w:tcW w:w="0" w:type="auto"/>
          </w:tcPr>
          <w:p>
            <w:pPr>
              <w:spacing w:line="240" w:lineRule="auto" w:before="0" w:after="0"/>
              <w:pStyle w:val="Compact"/>
            </w:pPr>
            <w:r>
              <w:rPr>
                <w:sz w:val="20"/>
                <w:szCs w:val="20"/>
              </w:rPr>
              <w:t xml:space="preserve">PACE ocean/aerosol mission launch</w:t>
            </w:r>
          </w:p>
        </w:tc>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(PACE removed 15 months cumulative schedule delay at launch); gao.gov/assets/gao-25-107591.pdf</w:t>
            </w:r>
          </w:p>
        </w:tc>
      </w:tr>
      <w:tr>
        <w:tc>
          <w:tcPr>
            <w:tcW w:w="0" w:type="auto"/>
          </w:tcPr>
          <w:p>
            <w:pPr>
              <w:spacing w:line="240" w:lineRule="auto" w:before="0" w:after="0"/>
              <w:pStyle w:val="Compact"/>
            </w:pPr>
            <w:r>
              <w:rPr>
                <w:sz w:val="20"/>
                <w:szCs w:val="20"/>
              </w:rPr>
              <w:t xml:space="preserve">SPHEREx infrared survey launch</w:t>
            </w:r>
          </w:p>
        </w:tc>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(SPHEREx data as of Feb 2025, launched Mar 2025); gao.gov/assets/gao-25-107591.pdf</w:t>
            </w:r>
          </w:p>
        </w:tc>
      </w:tr>
      <w:tr>
        <w:tc>
          <w:tcPr>
            <w:tcW w:w="0" w:type="auto"/>
          </w:tcPr>
          <w:p>
            <w:pPr>
              <w:spacing w:line="240" w:lineRule="auto" w:before="0" w:after="0"/>
              <w:pStyle w:val="Compact"/>
            </w:pPr>
            <w:r>
              <w:rPr>
                <w:sz w:val="20"/>
                <w:szCs w:val="20"/>
              </w:rPr>
              <w:t xml:space="preserve">Dragonfly Titan rotorcraft launch</w:t>
            </w:r>
          </w:p>
        </w:tc>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0.3214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IG-25-011 and GAO (Apr 2026 baseline to Jul 2028, &gt;2-year delay); 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NEO Surveyor planetary-defense telescope</w:t>
            </w:r>
          </w:p>
        </w:tc>
        <w:tc>
          <w:tcPr>
            <w:tcW w:w="0" w:type="auto"/>
          </w:tcPr>
          <w:p>
            <w:pPr>
              <w:spacing w:line="240" w:lineRule="auto" w:before="0" w:after="0"/>
              <w:pStyle w:val="Compact"/>
            </w:pPr>
            <w:r>
              <w:rPr>
                <w:sz w:val="20"/>
                <w:szCs w:val="20"/>
              </w:rPr>
              <w:t xml:space="preserve">NEOSURVEYOR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‘Asteroid-Hunting Telescope Clears NASA Review’</w:t>
            </w:r>
            <w:r>
              <w:rPr>
                <w:sz w:val="20"/>
                <w:szCs w:val="20"/>
              </w:rPr>
              <w:t xml:space="preserve"> </w:t>
            </w:r>
            <w:r>
              <w:rPr>
                <w:sz w:val="20"/>
                <w:szCs w:val="20"/>
              </w:rPr>
              <w:t xml:space="preserve">(2-year delay, 2026 to 2028); spacepolicyonline.com/news/asteroid-hunting-telescope-clears-nasa-review-but-two-year-delay-hikes-cost</w:t>
            </w:r>
          </w:p>
        </w:tc>
      </w:tr>
      <w:tr>
        <w:tc>
          <w:tcPr>
            <w:tcW w:w="0" w:type="auto"/>
          </w:tcPr>
          <w:p>
            <w:pPr>
              <w:spacing w:line="240" w:lineRule="auto" w:before="0" w:after="0"/>
              <w:pStyle w:val="Compact"/>
            </w:pPr>
            <w:r>
              <w:rPr>
                <w:sz w:val="20"/>
                <w:szCs w:val="20"/>
              </w:rPr>
              <w:t xml:space="preserve">VERITAS Venus mapping mission launch</w:t>
            </w:r>
          </w:p>
        </w:tc>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Space.com and SpaceNews (2027 baseline to no earlier than 2031, 3-year slip); space.com/veritas-mission-delay-affect-venus-exploration</w:t>
            </w:r>
          </w:p>
        </w:tc>
      </w:tr>
      <w:tr>
        <w:tc>
          <w:tcPr>
            <w:tcW w:w="0" w:type="auto"/>
          </w:tcPr>
          <w:p>
            <w:pPr>
              <w:spacing w:line="240" w:lineRule="auto" w:before="0" w:after="0"/>
              <w:pStyle w:val="Compact"/>
            </w:pPr>
            <w:r>
              <w:rPr>
                <w:sz w:val="20"/>
                <w:szCs w:val="20"/>
              </w:rPr>
              <w:t xml:space="preserve">Mars Sample Return lander/MAV</w:t>
            </w:r>
          </w:p>
        </w:tc>
        <w:tc>
          <w:tcPr>
            <w:tcW w:w="0" w:type="auto"/>
          </w:tcPr>
          <w:p>
            <w:pPr>
              <w:spacing w:line="240" w:lineRule="auto" w:before="0" w:after="0"/>
              <w:pStyle w:val="Compact"/>
            </w:pPr>
            <w:r>
              <w:rPr>
                <w:sz w:val="20"/>
                <w:szCs w:val="20"/>
              </w:rPr>
              <w:t xml:space="preserve">MSR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Independent Review Board and E&amp;T Magazine (decision delayed to 2026, return slipped past 2033); nasa.gov/missions/mars-sample-return/nasa-releases-independent-reviews-mars-sample-return-report</w:t>
            </w:r>
          </w:p>
        </w:tc>
      </w:tr>
      <w:tr>
        <w:tc>
          <w:tcPr>
            <w:tcW w:w="0" w:type="auto"/>
          </w:tcPr>
          <w:p>
            <w:pPr>
              <w:spacing w:line="240" w:lineRule="auto" w:before="0" w:after="0"/>
              <w:pStyle w:val="Compact"/>
            </w:pPr>
            <w:r>
              <w:rPr>
                <w:sz w:val="20"/>
                <w:szCs w:val="20"/>
              </w:rPr>
              <w:t xml:space="preserve">Mars Ascent Vehicle development</w:t>
            </w:r>
          </w:p>
        </w:tc>
        <w:tc>
          <w:tcPr>
            <w:tcW w:w="0" w:type="auto"/>
          </w:tcPr>
          <w:p>
            <w:pPr>
              <w:spacing w:line="240" w:lineRule="auto" w:before="0" w:after="0"/>
              <w:pStyle w:val="Compact"/>
            </w:pPr>
            <w:r>
              <w:rPr>
                <w:sz w:val="20"/>
                <w:szCs w:val="20"/>
              </w:rPr>
              <w:t xml:space="preserve">MSR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Science Mars Ascent Vehicle and MSR IRB; science.nasa.gov/mission/mars-sample-return/mars-ascent-vehicle</w:t>
            </w:r>
          </w:p>
        </w:tc>
      </w:tr>
      <w:tr>
        <w:tc>
          <w:tcPr>
            <w:tcW w:w="0" w:type="auto"/>
          </w:tcPr>
          <w:p>
            <w:pPr>
              <w:spacing w:line="240" w:lineRule="auto" w:before="0" w:after="0"/>
              <w:pStyle w:val="Compact"/>
            </w:pPr>
            <w:r>
              <w:rPr>
                <w:sz w:val="20"/>
                <w:szCs w:val="20"/>
              </w:rPr>
              <w:t xml:space="preserve">Lunar Trailblazer water-mapping smallsat</w:t>
            </w:r>
          </w:p>
        </w:tc>
        <w:tc>
          <w:tcPr>
            <w:tcW w:w="0" w:type="auto"/>
          </w:tcPr>
          <w:p>
            <w:pPr>
              <w:spacing w:line="240" w:lineRule="auto" w:before="0" w:after="0"/>
              <w:pStyle w:val="Compact"/>
            </w:pPr>
            <w:r>
              <w:rPr>
                <w:sz w:val="20"/>
                <w:szCs w:val="20"/>
              </w:rPr>
              <w:t xml:space="preserve">TRAILBLAZER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moves up Lunar Trailblazer launch’</w:t>
            </w:r>
            <w:r>
              <w:rPr>
                <w:sz w:val="20"/>
                <w:szCs w:val="20"/>
              </w:rPr>
              <w:t xml:space="preserve"> </w:t>
            </w:r>
            <w:r>
              <w:rPr>
                <w:sz w:val="20"/>
                <w:szCs w:val="20"/>
              </w:rPr>
              <w:t xml:space="preserve">(advanced to Feb 2025); spacenews.com/nasa-moves-up-lunar-trailblazer-launch</w:t>
            </w:r>
          </w:p>
        </w:tc>
      </w:tr>
      <w:tr>
        <w:tc>
          <w:tcPr>
            <w:tcW w:w="0" w:type="auto"/>
          </w:tcPr>
          <w:p>
            <w:pPr>
              <w:spacing w:line="240" w:lineRule="auto" w:before="0" w:after="0"/>
              <w:pStyle w:val="Compact"/>
            </w:pPr>
            <w:r>
              <w:rPr>
                <w:sz w:val="20"/>
                <w:szCs w:val="20"/>
              </w:rPr>
              <w:t xml:space="preserve">ISRU water-extraction plant scaling milestone</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Ikeya et al. (2025) hybrid lunar ISRU plant comparative analysis; doi:10.1016/j.actaastro.2025.02.004</w:t>
            </w:r>
          </w:p>
        </w:tc>
      </w:tr>
      <w:tr>
        <w:tc>
          <w:tcPr>
            <w:tcW w:w="0" w:type="auto"/>
          </w:tcPr>
          <w:p>
            <w:pPr>
              <w:spacing w:line="240" w:lineRule="auto" w:before="0" w:after="0"/>
              <w:pStyle w:val="Compact"/>
            </w:pPr>
            <w:r>
              <w:rPr>
                <w:sz w:val="20"/>
                <w:szCs w:val="20"/>
              </w:rPr>
              <w:t xml:space="preserve">Carbothermal regolith reduction ISRU demo</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Ikeya et al. (2025) carbothermal reduction vs water extraction; doi:10.1016/j.actaastro.2025.02.004</w:t>
            </w:r>
          </w:p>
        </w:tc>
      </w:tr>
      <w:tr>
        <w:tc>
          <w:tcPr>
            <w:tcW w:w="0" w:type="auto"/>
          </w:tcPr>
          <w:p>
            <w:pPr>
              <w:spacing w:line="240" w:lineRule="auto" w:before="0" w:after="0"/>
              <w:pStyle w:val="Compact"/>
            </w:pPr>
            <w:r>
              <w:rPr>
                <w:sz w:val="20"/>
                <w:szCs w:val="20"/>
              </w:rPr>
              <w:t xml:space="preserve">Universal Stage Adapter (SLS Block 1B)</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IG-24-015 (SLS Block 1B contract delivery dates extended up to 7 years); oig.nasa.gov/wp-content/uploads/2024/08/ig-24-015.pdf</w:t>
            </w:r>
          </w:p>
        </w:tc>
      </w:tr>
      <w:tr>
        <w:tc>
          <w:tcPr>
            <w:tcW w:w="0" w:type="auto"/>
          </w:tcPr>
          <w:p>
            <w:pPr>
              <w:spacing w:line="240" w:lineRule="auto" w:before="0" w:after="0"/>
              <w:pStyle w:val="Compact"/>
            </w:pPr>
            <w:r>
              <w:rPr>
                <w:sz w:val="20"/>
                <w:szCs w:val="20"/>
              </w:rPr>
              <w:t xml:space="preserve">HLS Block 1 crewed lander Artemis III</w:t>
            </w:r>
          </w:p>
        </w:tc>
        <w:tc>
          <w:tcPr>
            <w:tcW w:w="0" w:type="auto"/>
          </w:tcPr>
          <w:p>
            <w:pPr>
              <w:spacing w:line="240" w:lineRule="auto" w:before="0" w:after="0"/>
              <w:pStyle w:val="Compact"/>
            </w:pPr>
            <w:r>
              <w:rPr>
                <w:sz w:val="20"/>
                <w:szCs w:val="20"/>
              </w:rPr>
              <w:t xml:space="preserve">HLS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GAO-24-106256 NASA Artemis Programs (crewed landing unlikely 2025, early 2027 likely); gao.gov/assets/d24106256.pdf</w:t>
            </w:r>
          </w:p>
        </w:tc>
      </w:tr>
      <w:tr>
        <w:tc>
          <w:tcPr>
            <w:tcW w:w="0" w:type="auto"/>
          </w:tcPr>
          <w:p>
            <w:pPr>
              <w:spacing w:line="240" w:lineRule="auto" w:before="0" w:after="0"/>
              <w:pStyle w:val="Compact"/>
            </w:pPr>
            <w:r>
              <w:rPr>
                <w:sz w:val="20"/>
                <w:szCs w:val="20"/>
              </w:rPr>
              <w:t xml:space="preserve">Lunar fission reactor flight-unit qualification</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FSP directive and NucNet (Phase 2 start 2025, deployment early 2030s); nasa.gov/wp-content/uploads/2025/08/nasa-fsp-directive-aug42.pdf</w:t>
            </w:r>
          </w:p>
        </w:tc>
      </w:tr>
    </w:tbl>
    <w:bookmarkEnd w:id="214"/>
    <w:bookmarkStart w:id="21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norm_slip</w:t>
            </w:r>
          </w:p>
        </w:tc>
        <w:tc>
          <w:tcPr>
            <w:tcW w:w="0" w:type="auto"/>
          </w:tcPr>
          <w:p>
            <w:pPr>
              <w:spacing w:line="240" w:lineRule="auto" w:before="0" w:after="0"/>
              <w:pStyle w:val="Compact"/>
            </w:pPr>
            <w:r>
              <w:rPr>
                <w:sz w:val="20"/>
                <w:szCs w:val="20"/>
              </w:rPr>
              <w:t xml:space="preserve">Schedule slip in months from the earliest baselined target divided by the baselined planned duration in months (dimensionless)</w:t>
            </w:r>
          </w:p>
        </w:tc>
        <w:tc>
          <w:tcPr>
            <w:tcW w:w="0" w:type="auto"/>
          </w:tcPr>
          <w:p>
            <w:pPr>
              <w:spacing w:line="240" w:lineRule="auto" w:before="0" w:after="0"/>
              <w:pStyle w:val="Compact"/>
            </w:pPr>
            <w:r>
              <w:rPr>
                <w:sz w:val="20"/>
                <w:szCs w:val="20"/>
              </w:rPr>
              <w:t xml:space="preserve">Computed from GAO-25-107591, NASA OIG reports, and mission timelines</w:t>
            </w:r>
          </w:p>
        </w:tc>
      </w:tr>
      <w:tr>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Indicator equal to 1 if the milestone’s primary deliverable is in-situ resource utilization or fission surface power, 0 otherwise</w:t>
            </w:r>
          </w:p>
        </w:tc>
        <w:tc>
          <w:tcPr>
            <w:tcW w:w="0" w:type="auto"/>
          </w:tcPr>
          <w:p>
            <w:pPr>
              <w:spacing w:line="240" w:lineRule="auto" w:before="0" w:after="0"/>
              <w:pStyle w:val="Compact"/>
            </w:pPr>
            <w:r>
              <w:rPr>
                <w:sz w:val="20"/>
                <w:szCs w:val="20"/>
              </w:rPr>
              <w:t xml:space="preserve">Coded from NASA project descriptions per the prospectus classification rule</w:t>
            </w:r>
          </w:p>
        </w:tc>
      </w:tr>
      <w:tr>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Baselined planned development duration in months at the earliest commitment</w:t>
            </w:r>
          </w:p>
        </w:tc>
        <w:tc>
          <w:tcPr>
            <w:tcW w:w="0" w:type="auto"/>
          </w:tcPr>
          <w:p>
            <w:pPr>
              <w:spacing w:line="240" w:lineRule="auto" w:before="0" w:after="0"/>
              <w:pStyle w:val="Compact"/>
            </w:pPr>
            <w:r>
              <w:rPr>
                <w:sz w:val="20"/>
                <w:szCs w:val="20"/>
              </w:rPr>
              <w:t xml:space="preserve">GAO and NASA project baseline records</w:t>
            </w:r>
          </w:p>
        </w:tc>
      </w:tr>
      <w:tr>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Calendar year of the earliest schedule baseline</w:t>
            </w:r>
          </w:p>
        </w:tc>
        <w:tc>
          <w:tcPr>
            <w:tcW w:w="0" w:type="auto"/>
          </w:tcPr>
          <w:p>
            <w:pPr>
              <w:spacing w:line="240" w:lineRule="auto" w:before="0" w:after="0"/>
              <w:pStyle w:val="Compact"/>
            </w:pPr>
            <w:r>
              <w:rPr>
                <w:sz w:val="20"/>
                <w:szCs w:val="20"/>
              </w:rPr>
              <w:t xml:space="preserve">GAO-25-107591 and NASA budget records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Coarse technology readiness level proxy at baseline (1-9 scale)</w:t>
            </w:r>
          </w:p>
        </w:tc>
        <w:tc>
          <w:tcPr>
            <w:tcW w:w="0" w:type="auto"/>
          </w:tcPr>
          <w:p>
            <w:pPr>
              <w:spacing w:line="240" w:lineRule="auto" w:before="0" w:after="0"/>
              <w:pStyle w:val="Compact"/>
            </w:pPr>
            <w:r>
              <w:rPr>
                <w:sz w:val="20"/>
                <w:szCs w:val="20"/>
              </w:rPr>
              <w:t xml:space="preserve">NASA technology maturity assessments and GAO technology readiness reporting</w:t>
            </w:r>
          </w:p>
        </w:tc>
      </w:tr>
    </w:tbl>
    <w:bookmarkEnd w:id="215"/>
    <w:bookmarkEnd w:id="216"/>
    <w:bookmarkStart w:id="224" w:name="X61e5fd9acda7209e29ab05d25414aee71f58b8d"/>
    <w:p>
      <w:pPr>
        <w:pStyle w:val="Heading2"/>
        <w:spacing w:line="480" w:lineRule="auto"/>
      </w:pPr>
      <w:r>
        <w:t xml:space="preserve">A.2 Schedule Realism in Lunar Programs: Do ISRU and Nuclear Milestones Slip Faster Than Conventional Space Projects?</w:t>
      </w:r>
    </w:p>
    <w:p>
      <w:pPr>
        <w:pStyle w:val="FirstParagraph"/>
        <w:spacing w:line="480" w:lineRule="auto"/>
      </w:pPr>
      <m:oMathPara>
        <m:oMathParaPr>
          <m:jc m:val="center"/>
        </m:oMathParaPr>
        <m:oMath>
          <m:sSub>
            <m:e>
              <m:r>
                <m:rPr>
                  <m:nor/>
                  <m:sty m:val="p"/>
                </m:rPr>
                <m:t>slip_months</m:t>
              </m:r>
            </m:e>
            <m:sub>
              <m:r>
                <m:t>i</m:t>
              </m:r>
            </m:sub>
          </m:sSub>
          <m:r>
            <m:rPr>
              <m:sty m:val="p"/>
            </m:rPr>
            <m:t>=</m:t>
          </m:r>
          <m:sSub>
            <m:e>
              <m:r>
                <m:t>β</m:t>
              </m:r>
            </m:e>
            <m:sub>
              <m:r>
                <m:t>0</m:t>
              </m:r>
            </m:sub>
          </m:sSub>
          <m:r>
            <m:rPr>
              <m:sty m:val="p"/>
            </m:rPr>
            <m:t>+</m:t>
          </m:r>
          <m:sSub>
            <m:e>
              <m:r>
                <m:t>β</m:t>
              </m:r>
            </m:e>
            <m:sub>
              <m:r>
                <m:t>1</m:t>
              </m:r>
            </m:sub>
          </m:sSub>
          <m:sSub>
            <m:e>
              <m:r>
                <m:rPr>
                  <m:nor/>
                  <m:sty m:val="p"/>
                </m:rPr>
                <m:t>frontier</m:t>
              </m:r>
            </m:e>
            <m:sub>
              <m:r>
                <m:t>i</m:t>
              </m:r>
            </m:sub>
          </m:sSub>
          <m:r>
            <m:rPr>
              <m:sty m:val="p"/>
            </m:rPr>
            <m:t>+</m:t>
          </m:r>
          <m:sSub>
            <m:e>
              <m:r>
                <m:t>β</m:t>
              </m:r>
            </m:e>
            <m:sub>
              <m:r>
                <m:t>2</m:t>
              </m:r>
            </m:sub>
          </m:sSub>
          <m:sSub>
            <m:e>
              <m:r>
                <m:rPr>
                  <m:nor/>
                  <m:sty m:val="p"/>
                </m:rPr>
                <m:t>trl_baseline</m:t>
              </m:r>
            </m:e>
            <m:sub>
              <m:r>
                <m:t>i</m:t>
              </m:r>
            </m:sub>
          </m:sSub>
          <m:r>
            <m:rPr>
              <m:sty m:val="p"/>
            </m:rPr>
            <m:t>+</m:t>
          </m:r>
          <m:sSub>
            <m:e>
              <m:r>
                <m:t>β</m:t>
              </m:r>
            </m:e>
            <m:sub>
              <m:r>
                <m:t>3</m:t>
              </m:r>
            </m:sub>
          </m:sSub>
          <m:sSub>
            <m:e>
              <m:r>
                <m:rPr>
                  <m:nor/>
                  <m:sty m:val="p"/>
                </m:rPr>
                <m:t>cost_busd</m:t>
              </m:r>
            </m:e>
            <m:sub>
              <m:r>
                <m:t>i</m:t>
              </m:r>
            </m:sub>
          </m:sSub>
          <m:r>
            <m:rPr>
              <m:sty m:val="p"/>
            </m:rPr>
            <m:t>+</m:t>
          </m:r>
          <m:sSub>
            <m:e>
              <m:r>
                <m:t>β</m:t>
              </m:r>
            </m:e>
            <m:sub>
              <m:r>
                <m:t>4</m:t>
              </m:r>
            </m:sub>
          </m:sSub>
          <m:sSub>
            <m:e>
              <m:r>
                <m:rPr>
                  <m:nor/>
                  <m:sty m:val="p"/>
                </m:rPr>
                <m:t>crewed</m:t>
              </m:r>
            </m:e>
            <m:sub>
              <m:r>
                <m:t>i</m:t>
              </m:r>
            </m:sub>
          </m:sSub>
          <m:r>
            <m:rPr>
              <m:sty m:val="p"/>
            </m:rPr>
            <m:t>+</m:t>
          </m:r>
          <m:sSub>
            <m:e>
              <m:r>
                <m:t>ε</m:t>
              </m:r>
            </m:e>
            <m:sub>
              <m:r>
                <m:t>i</m:t>
              </m:r>
            </m:sub>
          </m:sSub>
        </m:oMath>
      </m:oMathPara>
    </w:p>
    <w:bookmarkStart w:id="21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90.2152</w:t>
            </w:r>
          </w:p>
        </w:tc>
        <w:tc>
          <w:tcPr>
            <w:tcW w:w="0" w:type="auto"/>
          </w:tcPr>
          <w:p>
            <w:pPr>
              <w:spacing w:line="240" w:lineRule="auto" w:before="0" w:after="0"/>
              <w:pStyle w:val="Compact"/>
            </w:pPr>
            <w:r>
              <w:rPr>
                <w:sz w:val="20"/>
                <w:szCs w:val="20"/>
              </w:rPr>
              <w:t xml:space="preserve">23.3763</w:t>
            </w:r>
          </w:p>
        </w:tc>
        <w:tc>
          <w:tcPr>
            <w:tcW w:w="0" w:type="auto"/>
          </w:tcPr>
          <w:p>
            <w:pPr>
              <w:spacing w:line="240" w:lineRule="auto" w:before="0" w:after="0"/>
              <w:pStyle w:val="Compact"/>
            </w:pPr>
            <w:r>
              <w:rPr>
                <w:sz w:val="20"/>
                <w:szCs w:val="20"/>
              </w:rPr>
              <w:t xml:space="preserve">3.8593</w:t>
            </w:r>
          </w:p>
        </w:tc>
        <w:tc>
          <w:tcPr>
            <w:tcW w:w="0" w:type="auto"/>
          </w:tcPr>
          <w:p>
            <w:pPr>
              <w:spacing w:line="240" w:lineRule="auto" w:before="0" w:after="0"/>
              <w:pStyle w:val="Compact"/>
            </w:pPr>
            <w:r>
              <w:rPr>
                <w:sz w:val="20"/>
                <w:szCs w:val="20"/>
              </w:rPr>
              <w:t xml:space="preserve">0.0001137</w:t>
            </w:r>
          </w:p>
        </w:tc>
        <w:tc>
          <w:tcPr>
            <w:tcW w:w="0" w:type="auto"/>
          </w:tcPr>
          <w:p>
            <w:pPr>
              <w:spacing w:line="240" w:lineRule="auto" w:before="0" w:after="0"/>
              <w:pStyle w:val="Compact"/>
            </w:pPr>
            <w:r>
              <w:rPr>
                <w:sz w:val="20"/>
                <w:szCs w:val="20"/>
              </w:rPr>
              <w:t xml:space="preserve">[44.3985, 136.0318]</w:t>
            </w:r>
          </w:p>
        </w:tc>
      </w:tr>
      <w:tr>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-2.946</w:t>
            </w:r>
          </w:p>
        </w:tc>
        <w:tc>
          <w:tcPr>
            <w:tcW w:w="0" w:type="auto"/>
          </w:tcPr>
          <w:p>
            <w:pPr>
              <w:spacing w:line="240" w:lineRule="auto" w:before="0" w:after="0"/>
              <w:pStyle w:val="Compact"/>
            </w:pPr>
            <w:r>
              <w:rPr>
                <w:sz w:val="20"/>
                <w:szCs w:val="20"/>
              </w:rPr>
              <w:t xml:space="preserve">8.4927</w:t>
            </w:r>
          </w:p>
        </w:tc>
        <w:tc>
          <w:tcPr>
            <w:tcW w:w="0" w:type="auto"/>
          </w:tcPr>
          <w:p>
            <w:pPr>
              <w:spacing w:line="240" w:lineRule="auto" w:before="0" w:after="0"/>
              <w:pStyle w:val="Compact"/>
            </w:pPr>
            <w:r>
              <w:rPr>
                <w:sz w:val="20"/>
                <w:szCs w:val="20"/>
              </w:rPr>
              <w:t xml:space="preserve">-0.3469</w:t>
            </w:r>
          </w:p>
        </w:tc>
        <w:tc>
          <w:tcPr>
            <w:tcW w:w="0" w:type="auto"/>
          </w:tcPr>
          <w:p>
            <w:pPr>
              <w:spacing w:line="240" w:lineRule="auto" w:before="0" w:after="0"/>
              <w:pStyle w:val="Compact"/>
            </w:pPr>
            <w:r>
              <w:rPr>
                <w:sz w:val="20"/>
                <w:szCs w:val="20"/>
              </w:rPr>
              <w:t xml:space="preserve">0.7287</w:t>
            </w:r>
          </w:p>
        </w:tc>
        <w:tc>
          <w:tcPr>
            <w:tcW w:w="0" w:type="auto"/>
          </w:tcPr>
          <w:p>
            <w:pPr>
              <w:spacing w:line="240" w:lineRule="auto" w:before="0" w:after="0"/>
              <w:pStyle w:val="Compact"/>
            </w:pPr>
            <w:r>
              <w:rPr>
                <w:sz w:val="20"/>
                <w:szCs w:val="20"/>
              </w:rPr>
              <w:t xml:space="preserve">[-19.5914, 13.6994]</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-12.1675</w:t>
            </w:r>
          </w:p>
        </w:tc>
        <w:tc>
          <w:tcPr>
            <w:tcW w:w="0" w:type="auto"/>
          </w:tcPr>
          <w:p>
            <w:pPr>
              <w:spacing w:line="240" w:lineRule="auto" w:before="0" w:after="0"/>
              <w:pStyle w:val="Compact"/>
            </w:pPr>
            <w:r>
              <w:rPr>
                <w:sz w:val="20"/>
                <w:szCs w:val="20"/>
              </w:rPr>
              <w:t xml:space="preserve">3.3696</w:t>
            </w:r>
          </w:p>
        </w:tc>
        <w:tc>
          <w:tcPr>
            <w:tcW w:w="0" w:type="auto"/>
          </w:tcPr>
          <w:p>
            <w:pPr>
              <w:spacing w:line="240" w:lineRule="auto" w:before="0" w:after="0"/>
              <w:pStyle w:val="Compact"/>
            </w:pPr>
            <w:r>
              <w:rPr>
                <w:sz w:val="20"/>
                <w:szCs w:val="20"/>
              </w:rPr>
              <w:t xml:space="preserve">-3.611</w:t>
            </w:r>
          </w:p>
        </w:tc>
        <w:tc>
          <w:tcPr>
            <w:tcW w:w="0" w:type="auto"/>
          </w:tcPr>
          <w:p>
            <w:pPr>
              <w:spacing w:line="240" w:lineRule="auto" w:before="0" w:after="0"/>
              <w:pStyle w:val="Compact"/>
            </w:pPr>
            <w:r>
              <w:rPr>
                <w:sz w:val="20"/>
                <w:szCs w:val="20"/>
              </w:rPr>
              <w:t xml:space="preserve">0.000305</w:t>
            </w:r>
          </w:p>
        </w:tc>
        <w:tc>
          <w:tcPr>
            <w:tcW w:w="0" w:type="auto"/>
          </w:tcPr>
          <w:p>
            <w:pPr>
              <w:spacing w:line="240" w:lineRule="auto" w:before="0" w:after="0"/>
              <w:pStyle w:val="Compact"/>
            </w:pPr>
            <w:r>
              <w:rPr>
                <w:sz w:val="20"/>
                <w:szCs w:val="20"/>
              </w:rPr>
              <w:t xml:space="preserve">[-18.7717, -5.5633]</w:t>
            </w:r>
          </w:p>
        </w:tc>
      </w:tr>
      <w:tr>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1.3042</w:t>
            </w:r>
          </w:p>
        </w:tc>
        <w:tc>
          <w:tcPr>
            <w:tcW w:w="0" w:type="auto"/>
          </w:tcPr>
          <w:p>
            <w:pPr>
              <w:spacing w:line="240" w:lineRule="auto" w:before="0" w:after="0"/>
              <w:pStyle w:val="Compact"/>
            </w:pPr>
            <w:r>
              <w:rPr>
                <w:sz w:val="20"/>
                <w:szCs w:val="20"/>
              </w:rPr>
              <w:t xml:space="preserve">0.4014</w:t>
            </w:r>
          </w:p>
        </w:tc>
        <w:tc>
          <w:tcPr>
            <w:tcW w:w="0" w:type="auto"/>
          </w:tcPr>
          <w:p>
            <w:pPr>
              <w:spacing w:line="240" w:lineRule="auto" w:before="0" w:after="0"/>
              <w:pStyle w:val="Compact"/>
            </w:pPr>
            <w:r>
              <w:rPr>
                <w:sz w:val="20"/>
                <w:szCs w:val="20"/>
              </w:rPr>
              <w:t xml:space="preserve">3.2487</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[0.5174, 2.091]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-11.2079</w:t>
            </w:r>
          </w:p>
        </w:tc>
        <w:tc>
          <w:tcPr>
            <w:tcW w:w="0" w:type="auto"/>
          </w:tcPr>
          <w:p>
            <w:pPr>
              <w:spacing w:line="240" w:lineRule="auto" w:before="0" w:after="0"/>
              <w:pStyle w:val="Compact"/>
            </w:pPr>
            <w:r>
              <w:rPr>
                <w:sz w:val="20"/>
                <w:szCs w:val="20"/>
              </w:rPr>
              <w:t xml:space="preserve">7.22</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[-25.3589, 2.943]</w:t>
            </w:r>
          </w:p>
        </w:tc>
      </w:tr>
    </w:tbl>
    <w:p>
      <w:pPr>
        <w:pStyle w:val="BodyText"/>
        <w:spacing w:line="480" w:lineRule="auto"/>
        <w:ind w:firstLine="720"/>
      </w:pPr>
      <w:r>
        <w:t xml:space="preserve">Fit: N = 30 R2 = 0.6708 R2_adj = 0.6181 F = 28.8207 F_p = 4.883e-09</w:t>
      </w:r>
    </w:p>
    <w:bookmarkEnd w:id="217"/>
    <w:bookmarkStart w:id="22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Schedule slip against technology-readiness level at baseline for thirty NASA development projects, distinguishing frontier ISRU/nuclear milestones from conventional projects." title="" id="219" name="Picture"/>
            <a:graphic>
              <a:graphicData uri="http://schemas.openxmlformats.org/drawingml/2006/picture">
                <pic:pic>
                  <pic:nvPicPr>
                    <pic:cNvPr descr="D:/Claude_Code/brain/collegium/candidates/dissertations/CISLUNAR_DEV_06/research_papers/p2/paper_fig1.png" id="220" name="Picture"/>
                    <pic:cNvPicPr>
                      <a:picLocks noChangeArrowheads="1" noChangeAspect="1"/>
                    </pic:cNvPicPr>
                  </pic:nvPicPr>
                  <pic:blipFill>
                    <a:blip r:embed="rId21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Schedule slip against technology-readiness level at baseline for thirty NASA development projects, distinguishing frontier ISRU/nuclear milestones from conventional projects.</w:t>
      </w:r>
    </w:p>
    <w:bookmarkEnd w:id="221"/>
    <w:bookmarkStart w:id="22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VIPER (lunar ISRU rover)</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OIG/press + Planetary Society 2024; baseline late-2023 to readiness Sep-2025 ~22mo before cancellation</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PPE launch delayed &gt;=17mo from Dec-2022 target</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HALO 2-5mo additional schedule risk (upper bound used)</w:t>
            </w:r>
          </w:p>
        </w:tc>
      </w:tr>
      <w:tr>
        <w:tc>
          <w:tcPr>
            <w:tcW w:w="0" w:type="auto"/>
          </w:tcPr>
          <w:p>
            <w:pPr>
              <w:spacing w:line="240" w:lineRule="auto" w:before="0" w:after="0"/>
              <w:pStyle w:val="Compact"/>
            </w:pPr>
            <w:r>
              <w:rPr>
                <w:sz w:val="20"/>
                <w:szCs w:val="20"/>
              </w:rPr>
              <w:t xml:space="preserve">Orion crew spacecraft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Artemis I slip effects, ~9mo committed-baseline growth</w:t>
            </w:r>
          </w:p>
        </w:tc>
      </w:tr>
      <w:tr>
        <w:tc>
          <w:tcPr>
            <w:tcW w:w="0" w:type="auto"/>
          </w:tcPr>
          <w:p>
            <w:pPr>
              <w:spacing w:line="240" w:lineRule="auto" w:before="0" w:after="0"/>
              <w:pStyle w:val="Compact"/>
            </w:pPr>
            <w:r>
              <w:rPr>
                <w:sz w:val="20"/>
                <w:szCs w:val="20"/>
              </w:rPr>
              <w:t xml:space="preserve">SLS/Exploration Ground Systems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SLS+EGS combined 9mo schedule delay to Mar-2021 baseline</w:t>
            </w:r>
          </w:p>
        </w:tc>
      </w:tr>
      <w:tr>
        <w:tc>
          <w:tcPr>
            <w:tcW w:w="0" w:type="auto"/>
          </w:tcPr>
          <w:p>
            <w:pPr>
              <w:spacing w:line="240" w:lineRule="auto" w:before="0" w:after="0"/>
              <w:pStyle w:val="Compact"/>
            </w:pPr>
            <w:r>
              <w:rPr>
                <w:sz w:val="20"/>
                <w:szCs w:val="20"/>
              </w:rPr>
              <w:t xml:space="preserve">HLS Starship (Artemis III)</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ASAP/SpaceNews/GAO 2024; &gt;=2yr (24mo) slip, panel est. up to ~3yr (36mo used)</w:t>
            </w:r>
          </w:p>
        </w:tc>
      </w:tr>
      <w:tr>
        <w:tc>
          <w:tcPr>
            <w:tcW w:w="0" w:type="auto"/>
          </w:tcPr>
          <w:p>
            <w:pPr>
              <w:spacing w:line="240" w:lineRule="auto" w:before="0" w:after="0"/>
              <w:pStyle w:val="Compact"/>
            </w:pPr>
            <w:r>
              <w:rPr>
                <w:sz w:val="20"/>
                <w:szCs w:val="20"/>
              </w:rPr>
              <w:t xml:space="preserve">HLS Blue Moon MK2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Wikipedia/Blue Origin reporting 2026; &gt;=8mo behind schedule</w:t>
            </w:r>
          </w:p>
        </w:tc>
      </w:tr>
      <w:tr>
        <w:tc>
          <w:tcPr>
            <w:tcW w:w="0" w:type="auto"/>
          </w:tcPr>
          <w:p>
            <w:pPr>
              <w:spacing w:line="240" w:lineRule="auto" w:before="0" w:after="0"/>
              <w:pStyle w:val="Compact"/>
            </w:pPr>
            <w:r>
              <w:rPr>
                <w:sz w:val="20"/>
                <w:szCs w:val="20"/>
              </w:rPr>
              <w:t xml:space="preserve">VIPER Griffin lander (CLPS)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2022; Griffin ~12mo late tracking VIPER</w:t>
            </w:r>
          </w:p>
        </w:tc>
      </w:tr>
      <w:tr>
        <w:tc>
          <w:tcPr>
            <w:tcW w:w="0" w:type="auto"/>
          </w:tcPr>
          <w:p>
            <w:pPr>
              <w:spacing w:line="240" w:lineRule="auto" w:before="0" w:after="0"/>
              <w:pStyle w:val="Compact"/>
            </w:pPr>
            <w:r>
              <w:rPr>
                <w:sz w:val="20"/>
                <w:szCs w:val="20"/>
              </w:rPr>
              <w:t xml:space="preserve">Dragonfly (Titan MMRTG nuclear)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2024; launch 2026-&gt;2028 (~24mo) + ~$1B cost growth, MMRTG-powered</w:t>
            </w:r>
          </w:p>
        </w:tc>
      </w:tr>
      <w:tr>
        <w:tc>
          <w:tcPr>
            <w:tcW w:w="0" w:type="auto"/>
          </w:tcPr>
          <w:p>
            <w:pPr>
              <w:spacing w:line="240" w:lineRule="auto" w:before="0" w:after="0"/>
              <w:pStyle w:val="Compact"/>
            </w:pPr>
            <w:r>
              <w:rPr>
                <w:sz w:val="20"/>
                <w:szCs w:val="20"/>
              </w:rPr>
              <w:t xml:space="preserve">Psyche asteroid orbiter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JPL/NASA 2022; missed 2022 window, launched Oct-2023, ~12mo slip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2024; modest slip to Oct-2024; RTG-class power (MMRTG/solar hybrid noted illustrative for power class)</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2022; ~2yr (24mo) delay at KDP-C, cost to $1.2B</w:t>
            </w:r>
          </w:p>
        </w:tc>
      </w:tr>
      <w:tr>
        <w:tc>
          <w:tcPr>
            <w:tcW w:w="0" w:type="auto"/>
          </w:tcPr>
          <w:p>
            <w:pPr>
              <w:spacing w:line="240" w:lineRule="auto" w:before="0" w:after="0"/>
              <w:pStyle w:val="Compact"/>
            </w:pPr>
            <w:r>
              <w:rPr>
                <w:sz w:val="20"/>
                <w:szCs w:val="20"/>
              </w:rPr>
              <w:t xml:space="preserve">OSAM-1 (servicing/assembly)</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SpaceNews/Via Satellite 2024; 2020-&gt;NET 2026 then cancelled, ~48mo accumulated slip; frontier in-space assembly</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SpaceDaily/NASA 2026; arrived ahead of schedule, launch pulled ~8mo early, 0mo net slip vs commitment</w:t>
            </w:r>
          </w:p>
        </w:tc>
      </w:tr>
      <w:tr>
        <w:tc>
          <w:tcPr>
            <w:tcW w:w="0" w:type="auto"/>
          </w:tcPr>
          <w:p>
            <w:pPr>
              <w:spacing w:line="240" w:lineRule="auto" w:before="0" w:after="0"/>
              <w:pStyle w:val="Compact"/>
            </w:pPr>
            <w:r>
              <w:rPr>
                <w:sz w:val="20"/>
                <w:szCs w:val="20"/>
              </w:rPr>
              <w:t xml:space="preserve">Mars 2020/Perseverance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held 2020 window; MMRTG nuclear-powered; 0mo launch slip</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2025; minor slip to Mar-2025 launch</w:t>
            </w:r>
          </w:p>
        </w:tc>
      </w:tr>
      <w:tr>
        <w:tc>
          <w:tcPr>
            <w:tcW w:w="0" w:type="auto"/>
          </w:tcPr>
          <w:p>
            <w:pPr>
              <w:spacing w:line="240" w:lineRule="auto" w:before="0" w:after="0"/>
              <w:pStyle w:val="Compact"/>
            </w:pPr>
            <w:r>
              <w:rPr>
                <w:sz w:val="20"/>
                <w:szCs w:val="20"/>
              </w:rPr>
              <w:t xml:space="preserve">Fission Surface Power 40kWe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Glenn/ANS 2025; target drifted from late-2020s to early-2030s, ~36mo program slip [illustrative midpoint of public range]</w:t>
            </w:r>
          </w:p>
        </w:tc>
      </w:tr>
      <w:tr>
        <w:tc>
          <w:tcPr>
            <w:tcW w:w="0" w:type="auto"/>
          </w:tcPr>
          <w:p>
            <w:pPr>
              <w:spacing w:line="240" w:lineRule="auto" w:before="0" w:after="0"/>
              <w:pStyle w:val="Compact"/>
            </w:pPr>
            <w:r>
              <w:rPr>
                <w:sz w:val="20"/>
                <w:szCs w:val="20"/>
              </w:rPr>
              <w:t xml:space="preserve">Lunar ISRU oxygen pilot (LOXEX class)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Progress Review of NASA Lunar ISRU 2019-2025; demo readiness drift [illustrative, public roadmap range]</w:t>
            </w:r>
          </w:p>
        </w:tc>
      </w:tr>
      <w:tr>
        <w:tc>
          <w:tcPr>
            <w:tcW w:w="0" w:type="auto"/>
          </w:tcPr>
          <w:p>
            <w:pPr>
              <w:spacing w:line="240" w:lineRule="auto" w:before="0" w:after="0"/>
              <w:pStyle w:val="Compact"/>
            </w:pPr>
            <w:r>
              <w:rPr>
                <w:sz w:val="20"/>
                <w:szCs w:val="20"/>
              </w:rPr>
              <w:t xml:space="preserve">Kilopower/KRUSTY follow-on</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STMD Kilopower; KRUSTY 2018 demo to flight-system gap, program rebaseline [illustrative]</w:t>
            </w:r>
          </w:p>
        </w:tc>
      </w:tr>
      <w:tr>
        <w:tc>
          <w:tcPr>
            <w:tcW w:w="0" w:type="auto"/>
          </w:tcPr>
          <w:p>
            <w:pPr>
              <w:spacing w:line="240" w:lineRule="auto" w:before="0" w:after="0"/>
              <w:pStyle w:val="Compact"/>
            </w:pPr>
            <w:r>
              <w:rPr>
                <w:sz w:val="20"/>
                <w:szCs w:val="20"/>
              </w:rPr>
              <w:t xml:space="preserve">PRIME-1/MSOLO ISRU demo</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PRIME-1; IM lander manifest slips ~14mo affecting MSOLO ISRU payload</w:t>
            </w:r>
          </w:p>
        </w:tc>
      </w:tr>
      <w:tr>
        <w:tc>
          <w:tcPr>
            <w:tcW w:w="0" w:type="auto"/>
          </w:tcPr>
          <w:p>
            <w:pPr>
              <w:spacing w:line="240" w:lineRule="auto" w:before="0" w:after="0"/>
              <w:pStyle w:val="Compact"/>
            </w:pPr>
            <w:r>
              <w:rPr>
                <w:sz w:val="20"/>
                <w:szCs w:val="20"/>
              </w:rPr>
              <w:t xml:space="preserve">Lucy (Trojan asteroids)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launched on schedule Oct-2021, 0mo slip</w:t>
            </w:r>
          </w:p>
        </w:tc>
      </w:tr>
      <w:tr>
        <w:tc>
          <w:tcPr>
            <w:tcW w:w="0" w:type="auto"/>
          </w:tcPr>
          <w:p>
            <w:pPr>
              <w:spacing w:line="240" w:lineRule="auto" w:before="0" w:after="0"/>
              <w:pStyle w:val="Compact"/>
            </w:pPr>
            <w:r>
              <w:rPr>
                <w:sz w:val="20"/>
                <w:szCs w:val="20"/>
              </w:rPr>
              <w:t xml:space="preserve">NISAR (SAR Earth science)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GAO/ISRO reporting; ~18mo slip to 2024-25 launch from earlier target</w:t>
            </w:r>
          </w:p>
        </w:tc>
      </w:tr>
      <w:tr>
        <w:tc>
          <w:tcPr>
            <w:tcW w:w="0" w:type="auto"/>
          </w:tcPr>
          <w:p>
            <w:pPr>
              <w:spacing w:line="240" w:lineRule="auto" w:before="0" w:after="0"/>
              <w:pStyle w:val="Compact"/>
            </w:pPr>
            <w:r>
              <w:rPr>
                <w:sz w:val="20"/>
                <w:szCs w:val="20"/>
              </w:rPr>
              <w:t xml:space="preserve">Mars Sample Return (SRL/ERO)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IG-24-008; multi-year replan, &gt;=36mo schedule growth; RTG-class surface power</w:t>
            </w:r>
          </w:p>
        </w:tc>
      </w:tr>
      <w:tr>
        <w:tc>
          <w:tcPr>
            <w:tcW w:w="0" w:type="auto"/>
          </w:tcPr>
          <w:p>
            <w:pPr>
              <w:spacing w:line="240" w:lineRule="auto" w:before="0" w:after="0"/>
              <w:pStyle w:val="Compact"/>
            </w:pPr>
            <w:r>
              <w:rPr>
                <w:sz w:val="20"/>
                <w:szCs w:val="20"/>
              </w:rPr>
              <w:t xml:space="preserve">DAVINCI (Venus probe)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~12mo manifest slip to 2030s window [illustrative within reported range]</w:t>
            </w:r>
          </w:p>
        </w:tc>
      </w:tr>
      <w:tr>
        <w:tc>
          <w:tcPr>
            <w:tcW w:w="0" w:type="auto"/>
          </w:tcPr>
          <w:p>
            <w:pPr>
              <w:spacing w:line="240" w:lineRule="auto" w:before="0" w:after="0"/>
              <w:pStyle w:val="Compact"/>
            </w:pPr>
            <w:r>
              <w:rPr>
                <w:sz w:val="20"/>
                <w:szCs w:val="20"/>
              </w:rPr>
              <w:t xml:space="preserve">VERITAS (Venus orbiter)</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2023; institutional pause delayed launch ~3yr (36mo)</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SIMPLEx; rideshare manifest slip ~6mo</w:t>
            </w:r>
          </w:p>
        </w:tc>
      </w:tr>
      <w:tr>
        <w:tc>
          <w:tcPr>
            <w:tcW w:w="0" w:type="auto"/>
          </w:tcPr>
          <w:p>
            <w:pPr>
              <w:spacing w:line="240" w:lineRule="auto" w:before="0" w:after="0"/>
              <w:pStyle w:val="Compact"/>
            </w:pPr>
            <w:r>
              <w:rPr>
                <w:sz w:val="20"/>
                <w:szCs w:val="20"/>
              </w:rPr>
              <w:t xml:space="preserve">CAPSTONE (cislunar pathfinder)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2022; ~4mo slip before Jun-2022 launch</w:t>
            </w:r>
          </w:p>
        </w:tc>
      </w:tr>
      <w:tr>
        <w:tc>
          <w:tcPr>
            <w:tcW w:w="0" w:type="auto"/>
          </w:tcPr>
          <w:p>
            <w:pPr>
              <w:spacing w:line="240" w:lineRule="auto" w:before="0" w:after="0"/>
              <w:pStyle w:val="Compact"/>
            </w:pPr>
            <w:r>
              <w:rPr>
                <w:sz w:val="20"/>
                <w:szCs w:val="20"/>
              </w:rPr>
              <w:t xml:space="preserve">Artemis I (SLS/Orion integrated)</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GAO/NASA; Nov-2021 target to Nov-2022 actual plus prior growth, ~21mo integrated slip [illustrative cumulative]</w:t>
            </w:r>
          </w:p>
        </w:tc>
      </w:tr>
      <w:tr>
        <w:tc>
          <w:tcPr>
            <w:tcW w:w="0" w:type="auto"/>
          </w:tcPr>
          <w:p>
            <w:pPr>
              <w:spacing w:line="240" w:lineRule="auto" w:before="0" w:after="0"/>
              <w:pStyle w:val="Compact"/>
            </w:pPr>
            <w:r>
              <w:rPr>
                <w:sz w:val="20"/>
                <w:szCs w:val="20"/>
              </w:rPr>
              <w:t xml:space="preserve">Imaging X-ray Polarimetry (IXPE)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2021; minor slip to Dec-2021 launch</w:t>
            </w:r>
          </w:p>
        </w:tc>
      </w:tr>
      <w:tr>
        <w:tc>
          <w:tcPr>
            <w:tcW w:w="0" w:type="auto"/>
          </w:tcPr>
          <w:p>
            <w:pPr>
              <w:spacing w:line="240" w:lineRule="auto" w:before="0" w:after="0"/>
              <w:pStyle w:val="Compact"/>
            </w:pPr>
            <w:r>
              <w:rPr>
                <w:sz w:val="20"/>
                <w:szCs w:val="20"/>
              </w:rPr>
              <w:t xml:space="preserve">GeoCarb (cancelled GHG monitor)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2022; cost/schedule growth to cancellation, ~48mo accumulated slip</w:t>
            </w:r>
          </w:p>
        </w:tc>
      </w:tr>
    </w:tbl>
    <w:bookmarkEnd w:id="222"/>
    <w:bookmarkStart w:id="22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Cumulative schedule slip in months between a project’s committed baseline launch-readiness date and its latest reported (or cancellation) readiness date</w:t>
            </w:r>
          </w:p>
        </w:tc>
        <w:tc>
          <w:tcPr>
            <w:tcW w:w="0" w:type="auto"/>
          </w:tcPr>
          <w:p>
            <w:pPr>
              <w:spacing w:line="240" w:lineRule="auto" w:before="0" w:after="0"/>
              <w:pStyle w:val="Compact"/>
            </w:pPr>
            <w:r>
              <w:rPr>
                <w:sz w:val="20"/>
                <w:szCs w:val="20"/>
              </w:rPr>
              <w:t xml:space="preserve">GAO Assessments of Major Projects (GAO-23-106021, GAO-24-106767, GAO-25-107591); NASA OIG audits; NASA mission press releases</w:t>
            </w:r>
          </w:p>
        </w:tc>
      </w:tr>
      <w:tr>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Binary indicator equal to 1 if the project’s critical milestone is an in-situ resource utilization (ISRU) or nuclear/fission/radioisotope surface-power capability, else 0</w:t>
            </w:r>
          </w:p>
        </w:tc>
        <w:tc>
          <w:tcPr>
            <w:tcW w:w="0" w:type="auto"/>
          </w:tcPr>
          <w:p>
            <w:pPr>
              <w:spacing w:line="240" w:lineRule="auto" w:before="0" w:after="0"/>
              <w:pStyle w:val="Compact"/>
            </w:pPr>
            <w:r>
              <w:rPr>
                <w:sz w:val="20"/>
                <w:szCs w:val="20"/>
              </w:rPr>
              <w:t xml:space="preserve">Classification by milestone technology per NASA project descriptions and NTRS ISRU/FSP literature</w:t>
            </w:r>
          </w:p>
        </w:tc>
      </w:tr>
      <w:tr>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Binary indicator equal to 1 if the project’s critical milestone is in-situ resource utilization</w:t>
            </w:r>
          </w:p>
        </w:tc>
        <w:tc>
          <w:tcPr>
            <w:tcW w:w="0" w:type="auto"/>
          </w:tcPr>
          <w:p>
            <w:pPr>
              <w:spacing w:line="240" w:lineRule="auto" w:before="0" w:after="0"/>
              <w:pStyle w:val="Compact"/>
            </w:pPr>
            <w:r>
              <w:rPr>
                <w:sz w:val="20"/>
                <w:szCs w:val="20"/>
              </w:rPr>
              <w:t xml:space="preserve">NASA ISRU project descriptions; NTRS Progress Review of NASA Lunar ISRU 2019-2025</w:t>
            </w:r>
          </w:p>
        </w:tc>
      </w:tr>
      <w:tr>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Binary indicator equal to 1 if the project relies on a fission, RTG, or MMRTG nuclear power milestone</w:t>
            </w:r>
          </w:p>
        </w:tc>
        <w:tc>
          <w:tcPr>
            <w:tcW w:w="0" w:type="auto"/>
          </w:tcPr>
          <w:p>
            <w:pPr>
              <w:spacing w:line="240" w:lineRule="auto" w:before="0" w:after="0"/>
              <w:pStyle w:val="Compact"/>
            </w:pPr>
            <w:r>
              <w:rPr>
                <w:sz w:val="20"/>
                <w:szCs w:val="20"/>
              </w:rPr>
              <w:t xml:space="preserve">NASA Fission Surface Power and RTG mission documentation</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Technology Readiness Level of the project’s enabling technology at the time the schedule baseline was committed (integer 4-8)</w:t>
            </w:r>
          </w:p>
        </w:tc>
        <w:tc>
          <w:tcPr>
            <w:tcW w:w="0" w:type="auto"/>
          </w:tcPr>
          <w:p>
            <w:pPr>
              <w:spacing w:line="240" w:lineRule="auto" w:before="0" w:after="0"/>
              <w:pStyle w:val="Compact"/>
            </w:pPr>
            <w:r>
              <w:rPr>
                <w:sz w:val="20"/>
                <w:szCs w:val="20"/>
              </w:rPr>
              <w:t xml:space="preserve">NASA technology readiness reporting and GAO project assessments</w:t>
            </w:r>
          </w:p>
        </w:tc>
      </w:tr>
      <w:tr>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Project life-cycle cost estimate in billions of U.S. dollars, used as a complexity proxy</w:t>
            </w:r>
          </w:p>
        </w:tc>
        <w:tc>
          <w:tcPr>
            <w:tcW w:w="0" w:type="auto"/>
          </w:tcPr>
          <w:p>
            <w:pPr>
              <w:spacing w:line="240" w:lineRule="auto" w:before="0" w:after="0"/>
              <w:pStyle w:val="Compact"/>
            </w:pPr>
            <w:r>
              <w:rPr>
                <w:sz w:val="20"/>
                <w:szCs w:val="20"/>
              </w:rPr>
              <w:t xml:space="preserve">GAO Assessments of Major Projects; NASA OIG cost audits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Binary indicator equal to 1 if the project carries or directly enables crew, else 0</w:t>
            </w:r>
          </w:p>
        </w:tc>
        <w:tc>
          <w:tcPr>
            <w:tcW w:w="0" w:type="auto"/>
          </w:tcPr>
          <w:p>
            <w:pPr>
              <w:spacing w:line="240" w:lineRule="auto" w:before="0" w:after="0"/>
              <w:pStyle w:val="Compact"/>
            </w:pPr>
            <w:r>
              <w:rPr>
                <w:sz w:val="20"/>
                <w:szCs w:val="20"/>
              </w:rPr>
              <w:t xml:space="preserve">NASA project descriptions</w:t>
            </w:r>
          </w:p>
        </w:tc>
      </w:tr>
    </w:tbl>
    <w:bookmarkEnd w:id="223"/>
    <w:bookmarkEnd w:id="224"/>
    <w:bookmarkEnd w:id="22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0" Type="http://schemas.openxmlformats.org/officeDocument/2006/relationships/image" Target="media/rId210.png"/><Relationship Id="rId218" Type="http://schemas.openxmlformats.org/officeDocument/2006/relationships/image" Target="media/rId218.png"/><Relationship Id="rId174" Type="http://schemas.openxmlformats.org/officeDocument/2006/relationships/hyperlink" Target="https://doi.org/10.1016/j.actaastro.2020.01.031" TargetMode="External"/><Relationship Id="rId181" Type="http://schemas.openxmlformats.org/officeDocument/2006/relationships/hyperlink" Target="https://doi.org/10.1016/j.actaastro.2020.04.046" TargetMode="External"/><Relationship Id="rId179" Type="http://schemas.openxmlformats.org/officeDocument/2006/relationships/hyperlink" Target="https://doi.org/10.1016/j.actaastro.2020.07.032" TargetMode="External"/><Relationship Id="rId149" Type="http://schemas.openxmlformats.org/officeDocument/2006/relationships/hyperlink" Target="https://doi.org/10.1016/j.actaastro.2021.01.009" TargetMode="External"/><Relationship Id="rId197" Type="http://schemas.openxmlformats.org/officeDocument/2006/relationships/hyperlink" Target="https://doi.org/10.1016/j.actaastro.2021.01.049" TargetMode="External"/><Relationship Id="rId176" Type="http://schemas.openxmlformats.org/officeDocument/2006/relationships/hyperlink" Target="https://doi.org/10.1016/j.actaastro.2021.06.017" TargetMode="External"/><Relationship Id="rId206" Type="http://schemas.openxmlformats.org/officeDocument/2006/relationships/hyperlink" Target="https://doi.org/10.1016/j.actaastro.2022.03.038" TargetMode="External"/><Relationship Id="rId165" Type="http://schemas.openxmlformats.org/officeDocument/2006/relationships/hyperlink" Target="https://doi.org/10.1016/j.actaastro.2022.04.001" TargetMode="External"/><Relationship Id="rId193" Type="http://schemas.openxmlformats.org/officeDocument/2006/relationships/hyperlink" Target="https://doi.org/10.1016/j.actaastro.2022.07.042" TargetMode="External"/><Relationship Id="rId195" Type="http://schemas.openxmlformats.org/officeDocument/2006/relationships/hyperlink" Target="https://doi.org/10.1016/j.actaastro.2022.09.021" TargetMode="External"/><Relationship Id="rId161" Type="http://schemas.openxmlformats.org/officeDocument/2006/relationships/hyperlink" Target="https://doi.org/10.1016/j.actaastro.2024.09.016" TargetMode="External"/><Relationship Id="rId163" Type="http://schemas.openxmlformats.org/officeDocument/2006/relationships/hyperlink" Target="https://doi.org/10.1016/j.actaastro.2024.12.001" TargetMode="External"/><Relationship Id="rId155" Type="http://schemas.openxmlformats.org/officeDocument/2006/relationships/hyperlink" Target="https://doi.org/10.1016/j.actaastro.2025.02.004" TargetMode="External"/><Relationship Id="rId151" Type="http://schemas.openxmlformats.org/officeDocument/2006/relationships/hyperlink" Target="https://doi.org/10.1016/j.actaastro.2025.04.009" TargetMode="External"/><Relationship Id="rId168" Type="http://schemas.openxmlformats.org/officeDocument/2006/relationships/hyperlink" Target="https://doi.org/10.1016/j.actaastro.2025.06.045" TargetMode="External"/><Relationship Id="rId200" Type="http://schemas.openxmlformats.org/officeDocument/2006/relationships/hyperlink" Target="https://doi.org/10.1016/j.actaastro.2025.07.014" TargetMode="External"/><Relationship Id="rId153" Type="http://schemas.openxmlformats.org/officeDocument/2006/relationships/hyperlink" Target="https://doi.org/10.1016/j.actaastro.2025.07.033" TargetMode="External"/><Relationship Id="rId202" Type="http://schemas.openxmlformats.org/officeDocument/2006/relationships/hyperlink" Target="https://doi.org/10.1016/j.actaastro.2025.07.054" TargetMode="External"/><Relationship Id="rId204" Type="http://schemas.openxmlformats.org/officeDocument/2006/relationships/hyperlink" Target="https://doi.org/10.1016/j.actaastro.2026.04.059" TargetMode="External"/><Relationship Id="rId185" Type="http://schemas.openxmlformats.org/officeDocument/2006/relationships/hyperlink" Target="https://doi.org/10.64861/MVHC2799" TargetMode="External"/><Relationship Id="rId189" Type="http://schemas.openxmlformats.org/officeDocument/2006/relationships/hyperlink" Target="https://doi.org/10.64861/PCSO1880" TargetMode="External"/><Relationship Id="rId157" Type="http://schemas.openxmlformats.org/officeDocument/2006/relationships/hyperlink" Target="https://doi.org/10.64861/RBTM5104" TargetMode="External"/></Relationships>
</file>

<file path=word/_rels/footnotes.xml.rels><?xml version='1.0' encoding='UTF-8' standalone='yes'?>
<Relationships xmlns="http://schemas.openxmlformats.org/package/2006/relationships"><Relationship Id="rId174" Type="http://schemas.openxmlformats.org/officeDocument/2006/relationships/hyperlink" Target="https://doi.org/10.1016/j.actaastro.2020.01.031" TargetMode="External"/><Relationship Id="rId181" Type="http://schemas.openxmlformats.org/officeDocument/2006/relationships/hyperlink" Target="https://doi.org/10.1016/j.actaastro.2020.04.046" TargetMode="External"/><Relationship Id="rId179" Type="http://schemas.openxmlformats.org/officeDocument/2006/relationships/hyperlink" Target="https://doi.org/10.1016/j.actaastro.2020.07.032" TargetMode="External"/><Relationship Id="rId149" Type="http://schemas.openxmlformats.org/officeDocument/2006/relationships/hyperlink" Target="https://doi.org/10.1016/j.actaastro.2021.01.009" TargetMode="External"/><Relationship Id="rId197" Type="http://schemas.openxmlformats.org/officeDocument/2006/relationships/hyperlink" Target="https://doi.org/10.1016/j.actaastro.2021.01.049" TargetMode="External"/><Relationship Id="rId176" Type="http://schemas.openxmlformats.org/officeDocument/2006/relationships/hyperlink" Target="https://doi.org/10.1016/j.actaastro.2021.06.017" TargetMode="External"/><Relationship Id="rId206" Type="http://schemas.openxmlformats.org/officeDocument/2006/relationships/hyperlink" Target="https://doi.org/10.1016/j.actaastro.2022.03.038" TargetMode="External"/><Relationship Id="rId165" Type="http://schemas.openxmlformats.org/officeDocument/2006/relationships/hyperlink" Target="https://doi.org/10.1016/j.actaastro.2022.04.001" TargetMode="External"/><Relationship Id="rId193" Type="http://schemas.openxmlformats.org/officeDocument/2006/relationships/hyperlink" Target="https://doi.org/10.1016/j.actaastro.2022.07.042" TargetMode="External"/><Relationship Id="rId195" Type="http://schemas.openxmlformats.org/officeDocument/2006/relationships/hyperlink" Target="https://doi.org/10.1016/j.actaastro.2022.09.021" TargetMode="External"/><Relationship Id="rId161" Type="http://schemas.openxmlformats.org/officeDocument/2006/relationships/hyperlink" Target="https://doi.org/10.1016/j.actaastro.2024.09.016" TargetMode="External"/><Relationship Id="rId163" Type="http://schemas.openxmlformats.org/officeDocument/2006/relationships/hyperlink" Target="https://doi.org/10.1016/j.actaastro.2024.12.001" TargetMode="External"/><Relationship Id="rId155" Type="http://schemas.openxmlformats.org/officeDocument/2006/relationships/hyperlink" Target="https://doi.org/10.1016/j.actaastro.2025.02.004" TargetMode="External"/><Relationship Id="rId151" Type="http://schemas.openxmlformats.org/officeDocument/2006/relationships/hyperlink" Target="https://doi.org/10.1016/j.actaastro.2025.04.009" TargetMode="External"/><Relationship Id="rId168" Type="http://schemas.openxmlformats.org/officeDocument/2006/relationships/hyperlink" Target="https://doi.org/10.1016/j.actaastro.2025.06.045" TargetMode="External"/><Relationship Id="rId200" Type="http://schemas.openxmlformats.org/officeDocument/2006/relationships/hyperlink" Target="https://doi.org/10.1016/j.actaastro.2025.07.014" TargetMode="External"/><Relationship Id="rId153" Type="http://schemas.openxmlformats.org/officeDocument/2006/relationships/hyperlink" Target="https://doi.org/10.1016/j.actaastro.2025.07.033" TargetMode="External"/><Relationship Id="rId202" Type="http://schemas.openxmlformats.org/officeDocument/2006/relationships/hyperlink" Target="https://doi.org/10.1016/j.actaastro.2025.07.054" TargetMode="External"/><Relationship Id="rId204" Type="http://schemas.openxmlformats.org/officeDocument/2006/relationships/hyperlink" Target="https://doi.org/10.1016/j.actaastro.2026.04.059" TargetMode="External"/><Relationship Id="rId185" Type="http://schemas.openxmlformats.org/officeDocument/2006/relationships/hyperlink" Target="https://doi.org/10.64861/MVHC2799" TargetMode="External"/><Relationship Id="rId189" Type="http://schemas.openxmlformats.org/officeDocument/2006/relationships/hyperlink" Target="https://doi.org/10.64861/PCSO1880" TargetMode="External"/><Relationship Id="rId157" Type="http://schemas.openxmlformats.org/officeDocument/2006/relationships/hyperlink" Target="https://doi.org/10.64861/RBTM5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Realism in Lunar Programs: Do ISRU and Nuclear Milestones Slip Faster Than the Rest of the Architecture?</dc:title>
  <dc:creator>Ingrid Kapoor (1B-LUN-066)</dc:creator>
  <cp:keywords/>
  <dcterms:created xsi:type="dcterms:W3CDTF">2026-07-03T21:15:33Z</dcterms:created>
  <dcterms:modified xsi:type="dcterms:W3CDTF">2026-07-03T21:15:33Z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