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8f9a179a3d6dde789a99dc0fa00672f24dfcc69"/>
    <w:p>
      <w:pPr>
        <w:pStyle w:val="Heading1"/>
      </w:pPr>
      <w:r>
        <w:t xml:space="preserve">Attention Accumulation in Modularity as Hidden Cost Does Design Modularity in Lunar Surface Systems Reduc: A Learning-Curve Analysis of Citation Growth by Article Age</w:t>
      </w:r>
    </w:p>
    <w:bookmarkStart w:id="61" w:name="introduction"/>
    <w:p>
      <w:pPr>
        <w:pStyle w:val="Heading2"/>
      </w:pPr>
      <w:r>
        <w:t xml:space="preserve">1. Introduction</w:t>
      </w:r>
    </w:p>
    <w:p>
      <w:pPr>
        <w:pStyle w:val="FirstParagraph"/>
      </w:pPr>
      <w:r>
        <w:t xml:space="preserve">This empirical paper supports Priya Park (1B-LUN-180) and the dissertation project</w:t>
      </w:r>
      <w:r>
        <w:t xml:space="preserve"> </w:t>
      </w:r>
      <w:r>
        <w:rPr>
          <w:i/>
          <w:iCs/>
        </w:rPr>
        <w:t xml:space="preserve">Modularity as Hidden Cost: Does Design Modularity in Lunar Surface Systems Reduc</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R2=0.06174807500523305, elasticity_b=-0.4598884482941963, progress_ratio_2^b=0.7270424726834211. The exact term summary is: const coef=1.2974306999753946 p=0.019869016928179363; _ln_x coef=-0.4598884482941963 p=0.19666480185695845.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Jeffrey E. Van Cleve, Ball Aerospace; David P. Osterman, Ball Aerospace; Anna Lawitzke, Ball Aerospace; Jacob D. Griesbach, Ball Aerospace; Christopher J. Grant, Ball Aerospace; Colleen Olson, Ball Aerospace; James Contreras, Ball Aerospace. A Year in the Life of the Shackleton Space Domain Awareness Station (2022). [AMOS]</w:t>
      </w:r>
      <w:r>
        <w:t xml:space="preserve"> </w:t>
      </w:r>
      <w:bookmarkStart w:id="68" w:name="ref-2"/>
      <w:bookmarkEnd w:id="68"/>
      <w:r>
        <w:t xml:space="preserve">2.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 [AMOS]</w:t>
      </w:r>
      <w:r>
        <w:t xml:space="preserve"> </w:t>
      </w:r>
      <w:bookmarkStart w:id="69" w:name="ref-3"/>
      <w:bookmarkEnd w:id="69"/>
      <w:r>
        <w:t xml:space="preserve">3. Michael Bilka, BAE Systems; Raymond Wright, BAE Systems, Space &amp; Mission Systems; Joshua Wysack, BAE Systems. Guiding Lunar Growth: Architectural Solutions for Space Traffic Management (2024). doi:</w:t>
      </w:r>
      <w:r>
        <w:t xml:space="preserve"> </w:t>
      </w:r>
      <w:hyperlink r:id="rId70">
        <w:r>
          <w:rPr>
            <w:rStyle w:val="Hyperlink"/>
          </w:rPr>
          <w:t xml:space="preserve">10.64861/RBTM5104</w:t>
        </w:r>
      </w:hyperlink>
      <w:r>
        <w:t xml:space="preserve"> </w:t>
      </w:r>
      <w:bookmarkStart w:id="71" w:name="ref-4"/>
      <w:bookmarkEnd w:id="71"/>
      <w:r>
        <w:t xml:space="preserve">4. Elvis D. Silva, Ball Aerospace; Jeffrey Van Cleve, Ball Aerospace; Rob Philbrick, Ball Aerospace; Christopher J. Grant, Ball Aerospace; Jacob D. Griesbach, Ball Aerospace; Michael P. Mahoney, Ball Aerospace. Systems and Methods for Hybrid Lunar Surface and Space Domain Situational Awareness (2021). [AMOS]</w:t>
      </w:r>
      <w:r>
        <w:t xml:space="preserve"> </w:t>
      </w:r>
      <w:bookmarkStart w:id="72" w:name="ref-5"/>
      <w:bookmarkEnd w:id="72"/>
      <w:r>
        <w:t xml:space="preserve">5. Nathan R. Boone, Air Force Institute of Technology; Robert A. Bettinger, Air Force Institute of Technology. Long-Term Evolution of Debris Clouds in Low Lunar Orbit (2022). [AMOS]</w:t>
      </w:r>
      <w:r>
        <w:t xml:space="preserve"> </w:t>
      </w:r>
      <w:bookmarkStart w:id="73" w:name="ref-6"/>
      <w:bookmarkEnd w:id="73"/>
      <w:r>
        <w:t xml:space="preserve">6. Darin C. Koblick, Raytheon Intelligence and Space; Joseph S. Choi, Raytheon Intelligence and Space. Earth Gravity Assisted Inclination Change to Reduce Lunar Constellation Deployment Delta-V (2022). [AMOS]</w:t>
      </w:r>
      <w:r>
        <w:t xml:space="preserve"> </w:t>
      </w:r>
      <w:bookmarkStart w:id="74" w:name="ref-7"/>
      <w:bookmarkEnd w:id="74"/>
      <w:r>
        <w:t xml:space="preserve">7. Brian Banks, Leidos; Robert Smith II, Leidos; Ronald Wagner, Leidos; Victor Aguero, SRI International; Scott Williams, SRI International; Matthew Duncan, SpaceNav; Stijn De Smet, SpaceNav; Marc Balducci, SpaceNav. A Sensor-Rich Solution for Lunar/Cislunar Space Domain Awareness (2020). [AMOS]</w:t>
      </w:r>
      <w:r>
        <w:t xml:space="preserve"> </w:t>
      </w:r>
      <w:bookmarkStart w:id="75" w:name="ref-8"/>
      <w:bookmarkEnd w:id="75"/>
      <w:r>
        <w:t xml:space="preserve">8. Atilla Saadat, Turion Space Corporation; Vince Chen, Turion Space Corporation; James Austin, Turion Space Corporation. End-to-End Autonomous Mission Planning and Spacecraft Attitude Optimization for Resident Space Object Imaging (2025). doi:</w:t>
      </w:r>
      <w:r>
        <w:t xml:space="preserve"> </w:t>
      </w:r>
      <w:hyperlink r:id="rId76">
        <w:r>
          <w:rPr>
            <w:rStyle w:val="Hyperlink"/>
          </w:rPr>
          <w:t xml:space="preserve">10.64861/TLLP2048</w:t>
        </w:r>
      </w:hyperlink>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1.2974</w:t>
            </w:r>
          </w:p>
        </w:tc>
        <w:tc>
          <w:tcPr>
            <w:tcW w:w="0" w:type="auto"/>
          </w:tcPr>
          <w:p>
            <w:pPr>
              <w:spacing w:line="240" w:lineRule="auto" w:before="0" w:after="0"/>
              <w:pStyle w:val="Compact"/>
            </w:pPr>
            <w:r>
              <w:rPr>
                <w:sz w:val="20"/>
                <w:szCs w:val="20"/>
              </w:rPr>
              <w:t xml:space="preserve">0.5571</w:t>
            </w:r>
          </w:p>
        </w:tc>
        <w:tc>
          <w:tcPr>
            <w:tcW w:w="0" w:type="auto"/>
          </w:tcPr>
          <w:p>
            <w:pPr>
              <w:spacing w:line="240" w:lineRule="auto" w:before="0" w:after="0"/>
              <w:pStyle w:val="Compact"/>
            </w:pPr>
            <w:r>
              <w:rPr>
                <w:sz w:val="20"/>
                <w:szCs w:val="20"/>
              </w:rPr>
              <w:t xml:space="preserve">2.3288</w:t>
            </w:r>
          </w:p>
        </w:tc>
        <w:tc>
          <w:tcPr>
            <w:tcW w:w="0" w:type="auto"/>
          </w:tcPr>
          <w:p>
            <w:pPr>
              <w:spacing w:line="240" w:lineRule="auto" w:before="0" w:after="0"/>
              <w:pStyle w:val="Compact"/>
            </w:pPr>
            <w:r>
              <w:rPr>
                <w:sz w:val="20"/>
                <w:szCs w:val="20"/>
              </w:rPr>
              <w:t xml:space="preserve">0.0199</w:t>
            </w:r>
          </w:p>
        </w:tc>
        <w:tc>
          <w:tcPr>
            <w:tcW w:w="0" w:type="auto"/>
          </w:tcPr>
          <w:p>
            <w:pPr>
              <w:spacing w:line="240" w:lineRule="auto" w:before="0" w:after="0"/>
              <w:pStyle w:val="Compact"/>
            </w:pPr>
            <w:r>
              <w:rPr>
                <w:sz w:val="20"/>
                <w:szCs w:val="20"/>
              </w:rPr>
              <w:t xml:space="preserve">[0.2055, 2.3894]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-0.4599</w:t>
            </w:r>
          </w:p>
        </w:tc>
        <w:tc>
          <w:tcPr>
            <w:tcW w:w="0" w:type="auto"/>
          </w:tcPr>
          <w:p>
            <w:pPr>
              <w:spacing w:line="240" w:lineRule="auto" w:before="0" w:after="0"/>
              <w:pStyle w:val="Compact"/>
            </w:pPr>
            <w:r>
              <w:rPr>
                <w:sz w:val="20"/>
                <w:szCs w:val="20"/>
              </w:rPr>
              <w:t xml:space="preserve">0.3562</w:t>
            </w:r>
          </w:p>
        </w:tc>
        <w:tc>
          <w:tcPr>
            <w:tcW w:w="0" w:type="auto"/>
          </w:tcPr>
          <w:p>
            <w:pPr>
              <w:spacing w:line="240" w:lineRule="auto" w:before="0" w:after="0"/>
              <w:pStyle w:val="Compact"/>
            </w:pPr>
            <w:r>
              <w:rPr>
                <w:sz w:val="20"/>
                <w:szCs w:val="20"/>
              </w:rPr>
              <w:t xml:space="preserve">-1.2911</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[-1.158, 0.2382]</w:t>
            </w:r>
          </w:p>
        </w:tc>
      </w:tr>
    </w:tbl>
    <w:p>
      <w:pPr>
        <w:pStyle w:val="BodyText"/>
      </w:pPr>
      <w:r>
        <w:t xml:space="preserve">Fit: N = 30 R2 = 0.0617 elasticity_b = -0.4599 progress_ratio_2^b = 0.727</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CISLUNAR_DEV_05\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https://amostech.space/year/2022/a-year-in-the-life-of-the-shackleton-space-domain-awareness-station/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https://amostech.space/year/2021/systems-and-methods-for-hybrid-lunar-surface-and-space-domain-situational-awareness/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https://amostech.space/year/2022/long-term-evolution-of-debris-clouds-in-low-lunar-orbit/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https://amostech.space/year/2020/a-sensor-rich-solution-for-lunar-cislunar-space-domain-awareness/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10.64861/TLLP2048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10.1364/AO.410350</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https://amostech.space/year/2022/cislunar-orbit-determination-benefits-of-moon-based-sensors/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https://amostech.space/year/2021/cislunar-ssa-sda-from-the-lunar-surface-cots-imagers-on-commercial-landers/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https://amostech.space/year/2022/anthropogenic-change-detection-on-and-close-to-the-moon-for-space-domain-awareness/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10.1016/j.actaastro.2023.07.037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10.1016/j.actaastro.2024.01.032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10.1016/j.actaastro.2025.06.025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10.1016/j.actaastro.2023.11.046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10.1016/j.actaastro.2017.02.004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10.1016/j.actaastro.2025.05.018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10.1016/j.scitotenv.2019.02.438</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1.2974</w:t>
            </w:r>
          </w:p>
        </w:tc>
        <w:tc>
          <w:tcPr>
            <w:tcW w:w="0" w:type="auto"/>
          </w:tcPr>
          <w:p>
            <w:pPr>
              <w:spacing w:line="240" w:lineRule="auto" w:before="0" w:after="0"/>
              <w:pStyle w:val="Compact"/>
            </w:pPr>
            <w:r>
              <w:rPr>
                <w:sz w:val="20"/>
                <w:szCs w:val="20"/>
              </w:rPr>
              <w:t xml:space="preserve">0.5571</w:t>
            </w:r>
          </w:p>
        </w:tc>
        <w:tc>
          <w:tcPr>
            <w:tcW w:w="0" w:type="auto"/>
          </w:tcPr>
          <w:p>
            <w:pPr>
              <w:spacing w:line="240" w:lineRule="auto" w:before="0" w:after="0"/>
              <w:pStyle w:val="Compact"/>
            </w:pPr>
            <w:r>
              <w:rPr>
                <w:sz w:val="20"/>
                <w:szCs w:val="20"/>
              </w:rPr>
              <w:t xml:space="preserve">2.3288</w:t>
            </w:r>
          </w:p>
        </w:tc>
        <w:tc>
          <w:tcPr>
            <w:tcW w:w="0" w:type="auto"/>
          </w:tcPr>
          <w:p>
            <w:pPr>
              <w:spacing w:line="240" w:lineRule="auto" w:before="0" w:after="0"/>
              <w:pStyle w:val="Compact"/>
            </w:pPr>
            <w:r>
              <w:rPr>
                <w:sz w:val="20"/>
                <w:szCs w:val="20"/>
              </w:rPr>
              <w:t xml:space="preserve">0.0199</w:t>
            </w:r>
          </w:p>
        </w:tc>
        <w:tc>
          <w:tcPr>
            <w:tcW w:w="0" w:type="auto"/>
          </w:tcPr>
          <w:p>
            <w:pPr>
              <w:spacing w:line="240" w:lineRule="auto" w:before="0" w:after="0"/>
              <w:pStyle w:val="Compact"/>
            </w:pPr>
            <w:r>
              <w:rPr>
                <w:sz w:val="20"/>
                <w:szCs w:val="20"/>
              </w:rPr>
              <w:t xml:space="preserve">[0.2055, 2.3894]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-0.4599</w:t>
            </w:r>
          </w:p>
        </w:tc>
        <w:tc>
          <w:tcPr>
            <w:tcW w:w="0" w:type="auto"/>
          </w:tcPr>
          <w:p>
            <w:pPr>
              <w:spacing w:line="240" w:lineRule="auto" w:before="0" w:after="0"/>
              <w:pStyle w:val="Compact"/>
            </w:pPr>
            <w:r>
              <w:rPr>
                <w:sz w:val="20"/>
                <w:szCs w:val="20"/>
              </w:rPr>
              <w:t xml:space="preserve">0.3562</w:t>
            </w:r>
          </w:p>
        </w:tc>
        <w:tc>
          <w:tcPr>
            <w:tcW w:w="0" w:type="auto"/>
          </w:tcPr>
          <w:p>
            <w:pPr>
              <w:spacing w:line="240" w:lineRule="auto" w:before="0" w:after="0"/>
              <w:pStyle w:val="Compact"/>
            </w:pPr>
            <w:r>
              <w:rPr>
                <w:sz w:val="20"/>
                <w:szCs w:val="20"/>
              </w:rPr>
              <w:t xml:space="preserve">-1.2911</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[-1.158, 0.2382]</w:t>
            </w:r>
          </w:p>
        </w:tc>
      </w:tr>
    </w:tbl>
    <w:p>
      <w:pPr>
        <w:pStyle w:val="BodyText"/>
      </w:pPr>
      <w:r>
        <w:t xml:space="preserve">Fit: N = 30 R2 = 0.0617 elasticity_b = -0.4599 progress_ratio_2^b = 0.727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0" Target="https://doi.org/10.64861/RBTM5104" TargetMode="External" /><Relationship Type="http://schemas.openxmlformats.org/officeDocument/2006/relationships/hyperlink" Id="rId76" Target="https://doi.org/10.64861/TLLP2048"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RBTM5104" TargetMode="External" /><Relationship Type="http://schemas.openxmlformats.org/officeDocument/2006/relationships/hyperlink" Id="rId76" Target="https://doi.org/10.64861/TLLP204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2026-06-28T19:51:04Z</dcterms:created>
  <dcterms:modified xsi:type="dcterms:W3CDTF">2026-06-28T19:51:04Z</dcterms:modified>
</cp:coreProperties>
</file>

<file path=docProps/custom.xml><?xml version="1.0" encoding="utf-8"?>
<Properties xmlns="http://schemas.openxmlformats.org/officeDocument/2006/custom-properties" xmlns:vt="http://schemas.openxmlformats.org/officeDocument/2006/docPropsVTypes"/>
</file>