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MODULARITY AS HIDDEN COST: DOES DESIGN MODULARITY IN LUNAR SURFACE SYSTEMS REDUC</w:t>
      </w:r>
    </w:p>
    <w:p>
      <w:pPr>
        <w:jc w:val="center"/>
      </w:pPr>
    </w:p>
    <w:p>
      <w:pPr>
        <w:jc w:val="center"/>
      </w:pPr>
      <w:r>
        <w:rPr>
          <w:rFonts w:ascii="Times New Roman" w:hAnsi="Times New Roman"/>
          <w:sz w:val="24"/>
        </w:rPr>
        <w:t>by</w:t>
      </w:r>
    </w:p>
    <w:p>
      <w:pPr>
        <w:jc w:val="center"/>
      </w:pPr>
      <w:r>
        <w:rPr>
          <w:rFonts w:ascii="Times New Roman" w:hAnsi="Times New Roman"/>
          <w:b/>
          <w:sz w:val="28"/>
        </w:rPr>
        <w:t>Priya Park</w:t>
      </w:r>
    </w:p>
    <w:p>
      <w:pPr>
        <w:jc w:val="center"/>
      </w:pPr>
      <w:r>
        <w:rPr>
          <w:rFonts w:ascii="Times New Roman" w:hAnsi="Times New Roman"/>
          <w:sz w:val="24"/>
        </w:rPr>
        <w:t>1B-LUN-180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Modularity almost always arrives wearing the costume of a bargain. Carve a lunar surface system into interchangeable blocks, so the reasoning goes, and staged deployment, cheaper upkeep, tidy swap-out of dead units, and cross-vendor interoperability all come free with the purchase. Priya Park’s dissertation,</w:t>
      </w:r>
      <w:r>
        <w:t xml:space="preserve"> </w:t>
      </w:r>
      <w:r>
        <w:rPr>
          <w:i/>
          <w:iCs/>
        </w:rPr>
        <w:t xml:space="preserve">Modularity as Hidden Cost: Does Design Modularity in Lunar Surface Systems Reduce Total Program Cost?</w:t>
      </w:r>
      <w:r>
        <w:t xml:space="preserve">, accepts that reasoning at its word and then leans hard on the follow-up nobody enjoys answering. What is the bill modularity mails back later? A monolith settles its integration account in a single payment on the factory floor. A modular architecture keeps paying, over and over, wherever two interfaces meet, wherever data changes hands, wherever a spares call gets made, wherever units drawn up to stand alone are forced, on the regolith, to behave as one machine.</w:t>
      </w:r>
    </w:p>
    <w:p>
      <w:pPr>
        <w:pStyle w:val="BodyText"/>
        <w:spacing w:line="480" w:lineRule="auto"/>
        <w:ind w:firstLine="720"/>
      </w:pPr>
      <w:r>
        <w:t xml:space="preserve">Calling this a design-stage dissertation is not a throwaway label. Nobody here can pull a procurement ledger, replay mission telemetry, or lean on a cost model that some fielded lunar architecture already validated, for the plain reason that nothing on the implied scale has ever been assembled. What is on hand is a paper trail. Across the technical, governance, and economic literatures, the people who design lunar surface hardware set down their systems, make the case for their choices, and now and then, quite by accident, let slip where the real coordination burden ends up sitting. Park mines that trail as evidence, refusing to file it under background reading. Her bet is that a hidden cost, supposing it exists, smudges its fingerprints across the way the subject gets written up, cited, and scattered among publication venues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same bet stakes out how far the argument is willing to reach. Park never pretends to have shown that modular lunar hardware outspends its monolithic rival; paper cannot underwrite that verdict, and she puts the admission right on the page. In its place she floats one falsifiable test pitched at the level of the retrieved corpus and repeats back nothing the estimators did not hand her. The narrowness is chosen ground, not a concession. A dissertation can throw open its chain of inference for inspection, or it can drape shaky reasoning in confident sentences, and this one picks the open door by pinning every load-bearing claim to a workbook cell any reader can reopen and re-execute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61" w:name="the-problem-stated-as-something-testable"/>
    <w:p>
      <w:pPr>
        <w:pStyle w:val="Heading2"/>
        <w:spacing w:line="480" w:lineRule="auto"/>
      </w:pPr>
      <w:r>
        <w:t xml:space="preserve">The problem, stated as something testable</w:t>
      </w:r>
    </w:p>
    <w:p>
      <w:pPr>
        <w:pStyle w:val="FirstParagraph"/>
        <w:spacing w:line="480" w:lineRule="auto"/>
      </w:pPr>
      <w:r>
        <w:t xml:space="preserve">Governance trouble in space tends to become obvious well before anyone settles on how to handle it, and lunar surface infrastructure is stranded right in that uncomfortable interval. Surface observatories, cislunar space domain awareness posts, robotic rovers, in-situ resource utilization plants, and lunar navigation constellations are all being drawn up at once, and modularity elbows its way into nearly every concept, because staging a build you cannot loft in one shot is what modularity is for</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1">
        <w:r>
          <w:rPr>
            <w:rStyle w:val="Hyperlink"/>
          </w:rPr>
          <w:t xml:space="preserve">[11]</w:t>
        </w:r>
      </w:hyperlink>
      <w:r>
        <w:t xml:space="preserve">. Designers have largely filed modularity under enabling virtue. A much thinner crowd has stopped to ask what it does to a system’s total cost once the blocks touch down and have to cooperate: trade data back and forth, keep interface tolerances honest through brutal thermal swings, and answer to maintenance from a crew or a set of robots who were nowhere near the room when the interfaces got locked.</w:t>
      </w:r>
    </w:p>
    <w:p>
      <w:pPr>
        <w:pStyle w:val="BodyText"/>
        <w:spacing w:line="480" w:lineRule="auto"/>
        <w:ind w:firstLine="720"/>
      </w:pPr>
      <w:r>
        <w:t xml:space="preserve">Park’s maneuver is to recast that hunch as a problem of measurement. Grant, for a moment, that the hidden coordination cost of modularity is a bona fide feature of lunar surface engineering. Then the paper trail ought not lie flat. The topic signal, by which I mean how thickly modularity-and-cost language pools inside a given source, should tilt in some patterned way against something a reader can actually observe: the year a paper landed, the volume of attention it pulled, or the breed of venue that ran it. A universe in which modularity’s cost is a working design worry reads differently, in the metadata, from a universe where it surfaces as the occasional throwaway line. Park hands the record the question of which universe it belongs to.</w:t>
      </w:r>
    </w:p>
    <w:p>
      <w:pPr>
        <w:pStyle w:val="BodyText"/>
        <w:spacing w:line="480" w:lineRule="auto"/>
        <w:ind w:firstLine="720"/>
      </w:pPr>
      <w:r>
        <w:t xml:space="preserve">Compressed to its bones, the falsifiable contribution rides on two sentences. The null says the candidate topic signal bears no relation to publication recency, citation attention, or venue family anywhere in the retrieved source corpus. The alternative says the topic signal ties systematically to at least one of the trio. That null is no straw man; it can lose, and a good share of the intrigue hides in whichever pieces of it decline to lose. A signal that lights up in venue structure yet stays dark on the calendar is telling a pointed story about the place where the hidden cost is being hashed out.</w:t>
      </w:r>
    </w:p>
    <w:bookmarkEnd w:id="61"/>
    <w:bookmarkStart w:id="62" w:name="what-the-design-can-and-cannot-carry"/>
    <w:p>
      <w:pPr>
        <w:pStyle w:val="Heading2"/>
        <w:spacing w:line="480" w:lineRule="auto"/>
      </w:pPr>
      <w:r>
        <w:t xml:space="preserve">What the design can and cannot carry</w:t>
      </w:r>
    </w:p>
    <w:p>
      <w:pPr>
        <w:pStyle w:val="FirstParagraph"/>
        <w:spacing w:line="480" w:lineRule="auto"/>
      </w:pPr>
      <w:r>
        <w:t xml:space="preserve">Let me be blunt about the limits before any finding surfaces, because it is the candor of the limits that lends the findings whatever weight they hold. A modest paper trail, worked carefully, can keep interpretation on a leash. It cannot fill in for a bench test campaign, a procurement dataset, live telemetry, or a program cost model tuned to an actual lunar build. Nothing in the estimator output ahead deserves to be mistaken for a straight reading of dollars, kilograms, or weeks. The variables are quarried out of source metadata: a deterministic topic-signal tally, a recency index, a reported citation count, and an ordinal tag for venue family. What they gauge is how the subject spreads through the retained writing, not the sticker price of a lunar base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Guarding that boundary is the whole discipline, because gravity pulls the other way. A crisp coefficient practically begs you to let it impersonate a mechanism it never once touched. Park declines by fencing interpretation inside the corpus. Where a coefficient lands precise and signed, she reads it as evidence the retained record carries structure at that spot, no further. Where a coefficient lands fuzzy, she reads it as the record refusing to shoulder a strong claim, and the honest reflex is to admit as much and to flag the exact seam where mission data would have to step in</w:t>
      </w:r>
      <w:r>
        <w:t xml:space="preserve"> </w:t>
      </w:r>
      <w:hyperlink w:anchor="ref-4">
        <w:r>
          <w:rPr>
            <w:rStyle w:val="Hyperlink"/>
          </w:rPr>
          <w:t xml:space="preserve">[4]</w:t>
        </w:r>
      </w:hyperlink>
      <w:r>
        <w:t xml:space="preserve">.</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estimators shoulder the analysis, and they lean on each other rather than stand in for each other. Paper 1 works the cross-sectional angle. It fits an ordinary least squares model of topic-signal intensity against recency, citation count, and venue family across thirty retrieved records, wrapped in robust HC1 standard errors, chasing the question of where in the record the modularity-and-cost signal pools. Paper 2 works the temporal angle, fitting a log-log learning-curve model of citation growth against article age over the same thirty records, probing whether attention to this literature piles up along a measurable age-keyed track. One freezes a moment of structure. The other traces a line through time. Laid out whole, Paper 1 returns N = 30 with an R-squared of 0.6569 and an F-test p-value of 3.28e-09, its venue coefficient both hefty and tightly pinned; Paper 2 returns N = 30 with an R-squared of 0.0617 and an age coefficient that never once clears a standard bar. Chapter 6 lays down every coefficient, standard error, and p-value exactly as the workbooks spit them out. Here the point is narrower: the two models reach the same interpretive corner by walking in from opposite methodological doors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None of that pairing is accidental. Suppose both models had come back strong and precise. The dissertation could then spin a neat diffusion yarn: the field lately stumbled onto the coordination cost of modular lunar systems, and attention has been massing around it ever since. The models refuse to authorize that yarn. One is muscular on structure and slack on time. That lopsidedness is the finding, not a dent in it, and Chapter 7 burns its whole length teasing out what an institution has license to conclude, and what it does not, from a signal that resides in venue families instead of on the calendar.</w:t>
      </w:r>
    </w:p>
    <w:bookmarkEnd w:id="63"/>
    <w:bookmarkStart w:id="64" w:name="Xa6d6e63acc7a5396bcebc54692c0e5ad2770262"/>
    <w:p>
      <w:pPr>
        <w:pStyle w:val="Heading2"/>
        <w:spacing w:line="480" w:lineRule="auto"/>
      </w:pPr>
      <w:r>
        <w:t xml:space="preserve">Why the question matters beyond the corpus</w:t>
      </w:r>
    </w:p>
    <w:p>
      <w:pPr>
        <w:pStyle w:val="FirstParagraph"/>
        <w:spacing w:line="480" w:lineRule="auto"/>
      </w:pPr>
      <w:r>
        <w:t xml:space="preserve">Lunar surface architecture sits at a hinge where the framing choices made early will set into standards. Whatever interface conventions, data-sharing protocols, and modular block boundaries get chosen across the next handful of program cycles will be a misery to pry loose afterward. Should the coordination cost of modularity get shortchanged at that hinge, the field gambles on architectures whose true lifecycle price stays hidden until the interfaces are welded and the spares logic is set in stone. Park cannot put a number on that gamble. She can show whether the design community already handles the cost as a genuine object of study or still waves it off as an afterthought, and for anyone weighing how much analytic muscle to spend on interface governance ahead of a build, that split earns its keep</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A second stake is methodological. The dissertation doubles as a demonstration of how to wring a disciplined, falsifiable claim out of a paper trail when the dream dataset stubbornly refuses to exist. That stance shows up again and again in early space governance, where the thing worth studying tends to outrun clean program data by years. Building the inference scaffolding right on a small corpus is a portable skill, and this design is meant to read plainly enough that whoever comes next could pry out the estimator, feed in mission cost data once it lands, and test the cost claim head-on rather than through a stand-in.</w:t>
      </w:r>
    </w:p>
    <w:bookmarkEnd w:id="64"/>
    <w:bookmarkStart w:id="65" w:name="modularity-as-a-lunar-specific-problem"/>
    <w:p>
      <w:pPr>
        <w:pStyle w:val="Heading2"/>
        <w:spacing w:line="480" w:lineRule="auto"/>
      </w:pPr>
      <w:r>
        <w:t xml:space="preserve">Modularity as a lunar-specific problem</w:t>
      </w:r>
    </w:p>
    <w:p>
      <w:pPr>
        <w:pStyle w:val="FirstParagraph"/>
        <w:spacing w:line="480" w:lineRule="auto"/>
      </w:pPr>
      <w:r>
        <w:t xml:space="preserve">A little concreteness helps in explaining why the lunar surface, and not orbit or the assembly bay, is where the hidden cost cuts deepest. Up there, no technician wanders over to quietly re-mate a pair of modules. Temperature careens across hundreds of degrees between lunar noon and the long night, regolith scours and grips every mechanical joint, and the two-week dark drives power and thermal designs that any decomposition into modules has to honor at every seam. Spread the sensing nodes of a modular surface observatory across the terrain and coverage and redundancy come in; the counter-invoice arrives as the timing, calibration, and data-fusion coordination that welds those nodes into one coherent picture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Skip that coordination and you cannot. What remains is a handful of sensors that merely share a landing pad, never an observatory.</w:t>
      </w:r>
    </w:p>
    <w:p>
      <w:pPr>
        <w:pStyle w:val="BodyText"/>
        <w:spacing w:line="480" w:lineRule="auto"/>
        <w:ind w:firstLine="720"/>
      </w:pPr>
      <w:r>
        <w:t xml:space="preserve">The same lunar specificity dogs any assets that must run together inside a shared volume. Lunar navigation constellations lean on station-keeping schemes that pin the constellation geometry against a shoving environment, and those schemes are themselves a coordination cost, one that grows with the count of independently drawn spacecraft in the mix</w:t>
      </w:r>
      <w:r>
        <w:t xml:space="preserve"> </w:t>
      </w:r>
      <w:hyperlink w:anchor="ref-16">
        <w:r>
          <w:rPr>
            <w:rStyle w:val="Hyperlink"/>
          </w:rPr>
          <w:t xml:space="preserve">[16]</w:t>
        </w:r>
      </w:hyperlink>
      <w:r>
        <w:t xml:space="preserve">. Robotic infrastructure bolted together in the field rides on standard mechanical and data interfaces that have to freeze before the hardware ever ships, which hardens a design-time call into an operational constraint nobody wants to reopen once assets are on the surface</w:t>
      </w:r>
      <w:r>
        <w:t xml:space="preserve"> </w:t>
      </w:r>
      <w:hyperlink w:anchor="ref-13">
        <w:r>
          <w:rPr>
            <w:rStyle w:val="Hyperlink"/>
          </w:rPr>
          <w:t xml:space="preserve">[13]</w:t>
        </w:r>
      </w:hyperlink>
      <w:r>
        <w:t xml:space="preserve">. Every time, modularity buys slack at deployment and claws it back at integration and operation, and the lunar setting jacks up the price of that claw-back, because the surface shows no mercy and the crew or robots handling integration turn up long after the interfaces are frozen.</w:t>
      </w:r>
    </w:p>
    <w:bookmarkEnd w:id="65"/>
    <w:bookmarkStart w:id="66" w:name="X902072ce429f9b02cc88c8f22fe7139a499078d"/>
    <w:p>
      <w:pPr>
        <w:pStyle w:val="Heading2"/>
        <w:spacing w:line="480" w:lineRule="auto"/>
      </w:pPr>
      <w:r>
        <w:t xml:space="preserve">Why documentary evidence is the honest starting point</w:t>
      </w:r>
    </w:p>
    <w:p>
      <w:pPr>
        <w:pStyle w:val="FirstParagraph"/>
        <w:spacing w:line="480" w:lineRule="auto"/>
      </w:pPr>
      <w:r>
        <w:t xml:space="preserve">One fair swing at the whole design is that documents make a flimsy stand-in for cost, and the swing earns a straight reply rather than a dodge. The reply: at this program stage documents are the strongest evidence going, and dressing that up as anything else would be the genuine dishonesty. No fielded lunar surface architecture at the scale in question owns a procurement ledger anyone could crack open. No multi-module lunar base has coughed up operational telemetry. No validated program cost model has ever been fitted to real modular lunar builds. Standing in that emptiness, three roads open: guess without evidence, wait years for data a design-stage inquiry has no power to summon, or quarry a disciplined, falsifiable claim out of the paper trail that does exist. Park drives the third road, saying plainly that it dead-ends at a bounded claim rather than a cost verdict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road pays a methodological dividend past this one question. Early space governance keeps tripping over the same structural snag: the thing worth studying, be it orbital debris economics, traffic coordination, or modular cost, breaks the surface of the literature long before clean program data show up to measure it</w:t>
      </w:r>
      <w:r>
        <w:t xml:space="preserve"> </w:t>
      </w:r>
      <w:hyperlink w:anchor="ref-5">
        <w:r>
          <w:rPr>
            <w:rStyle w:val="Hyperlink"/>
          </w:rPr>
          <w:t xml:space="preserve">[5]</w:t>
        </w:r>
      </w:hyperlink>
      <w:r>
        <w:t xml:space="preserve"> </w:t>
      </w:r>
      <w:hyperlink w:anchor="ref-10">
        <w:r>
          <w:rPr>
            <w:rStyle w:val="Hyperlink"/>
          </w:rPr>
          <w:t xml:space="preserve">[10]</w:t>
        </w:r>
      </w:hyperlink>
      <w:r>
        <w:t xml:space="preserve">. A design that shows how to squeeze a reproducible, decently bounded result out of the literature in that interval travels well, and the estimator built here is rigged to swallow mission data in place of the topic-signal stand-in the instant such data arrive. So the dissertation runs as two things braided together. It is a pointed finding about lunar modularity, and it is a working template for disciplined inference under precisely the evidence drought that stamps the field.</w:t>
      </w:r>
    </w:p>
    <w:bookmarkEnd w:id="66"/>
    <w:bookmarkStart w:id="67" w:name="the-shape-of-the-argument"/>
    <w:p>
      <w:pPr>
        <w:pStyle w:val="Heading2"/>
        <w:spacing w:line="480" w:lineRule="auto"/>
      </w:pPr>
      <w:r>
        <w:t xml:space="preserve">The shape of the argument</w:t>
      </w:r>
    </w:p>
    <w:p>
      <w:pPr>
        <w:pStyle w:val="FirstParagraph"/>
        <w:spacing w:line="480" w:lineRule="auto"/>
      </w:pPr>
      <w:r>
        <w:t xml:space="preserve">Ahead of the chapter-by-chapter map, it pays to catch the argument as one continuous arc. The dissertation launches from an engineering hunch with real stakes, that modularity shunts cost into interfaces on a merciless lunar surface, and it flatly refuses to let that hunch stay mere rhetoric. It recasts the hunch as a prediction about the paper trail, tries the prediction against two spartan estimators, and files a hedged result: the coordination-cost topic is heavily structured by venue and structureless in time, which drops the cost right where the theory promised and slams the door on the easy diffusion tale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Then it halts, chalks the boundary where documents give out, and names the mission data that would upgrade a legible cost into a measured one</w:t>
      </w:r>
      <w:r>
        <w:t xml:space="preserve"> </w:t>
      </w:r>
      <w:hyperlink w:anchor="ref-6">
        <w:r>
          <w:rPr>
            <w:rStyle w:val="Hyperlink"/>
          </w:rPr>
          <w:t xml:space="preserve">[6]</w:t>
        </w:r>
      </w:hyperlink>
      <w:r>
        <w:t xml:space="preserve">.</w:t>
      </w:r>
    </w:p>
    <w:p>
      <w:pPr>
        <w:pStyle w:val="BodyText"/>
        <w:spacing w:line="480" w:lineRule="auto"/>
        <w:ind w:firstLine="720"/>
      </w:pPr>
      <w:r>
        <w:t xml:space="preserve">Each step of the arc wears a constraint so the next stays honest. The prediction is locked in beforehand, so the result cannot be a tale stitched together after the fact. The estimators run in the open, so the numbers survive an audit. Interpretation stays penned inside the corpus, so no coefficient is drafted to haul a program-cost claim it has no strength to carry</w:t>
      </w:r>
      <w:r>
        <w:t xml:space="preserve"> </w:t>
      </w:r>
      <w:hyperlink w:anchor="ref-8">
        <w:r>
          <w:rPr>
            <w:rStyle w:val="Hyperlink"/>
          </w:rPr>
          <w:t xml:space="preserve">[8]</w:t>
        </w:r>
      </w:hyperlink>
      <w:r>
        <w:t xml:space="preserve"> </w:t>
      </w:r>
      <w:hyperlink w:anchor="ref-9">
        <w:r>
          <w:rPr>
            <w:rStyle w:val="Hyperlink"/>
          </w:rPr>
          <w:t xml:space="preserve">[9]</w:t>
        </w:r>
      </w:hyperlink>
      <w:r>
        <w:t xml:space="preserve">. Taken whole, the dissertation reads less as a pile of findings than as a demonstration of how to think carefully about a real cost while the ideal evidence is still missing, with lunar modularity as the case under the microscope.</w:t>
      </w:r>
    </w:p>
    <w:bookmarkEnd w:id="67"/>
    <w:bookmarkStart w:id="68" w:name="roadmap"/>
    <w:p>
      <w:pPr>
        <w:pStyle w:val="Heading2"/>
        <w:spacing w:line="480" w:lineRule="auto"/>
      </w:pPr>
      <w:r>
        <w:t xml:space="preserve">Roadmap</w:t>
      </w:r>
    </w:p>
    <w:p>
      <w:pPr>
        <w:pStyle w:val="FirstParagraph"/>
        <w:spacing w:line="480" w:lineRule="auto"/>
      </w:pPr>
      <w:r>
        <w:t xml:space="preserve">The chapters march from concept toward evidence toward consequence. Chapter 2 pits the work against two literatures that habitually talk past one another, the domain writing that turns lunar modularity into a live engineering worry and the measurement writing that turns records into variables. Chapter 3 names the mechanism, the hidden-cost logic, and squeezes out the two testable predictions alongside the rival stories that could counterfeit them. Chapter 4 spreads out the estimators and spells out, with care, what each pins down and what each leaves alone. Chapter 5 walks through the dataset: the origin of the thirty records, the build of every variable, and the reason the build reproduces from source. Chapter 6 lays down the results whole and reads their signs and sizes. Chapter 7 shifts to discussion, threats to validity, and the frontier past which documentary evidence goes mute about program cost. Chapter 8 fixes the contribution, draws the governance and program-planning lessons the bounded findings can genuinely bear, and pins the next data collection that would let a successor test the cost claim outright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One remark on voice and stance belongs here, before the argument gets going. The dissertation speaks in the first person of a candidate who plants a flag, that modularity carries a hidden cost, and then marches that flag through a test with the power to knock it over. The blend is on purpose: a committed thesis married to a genuinely falsifiable design. Hedge the thesis and there is nothing left to test; rig the test and there is nothing left to say. Gripping both at once, a real claim and a real shot at being wrong, is what makes the eventual finding worth the ink, and it is the stance every chapter keeps, from the mechanism in Chapter 3 through the threats in Chapter 7</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reader is owed the conviction and the caution both, and the dissertation delivers them together rather than picking one.</w:t>
      </w:r>
    </w:p>
    <w:p>
      <w:pPr>
        <w:pStyle w:val="BodyText"/>
        <w:spacing w:line="480" w:lineRule="auto"/>
        <w:ind w:firstLine="720"/>
      </w:pPr>
      <w:r>
        <w:t xml:space="preserve">The through-line stays plain. Modularity is not free, even when every block undercuts the monolith it displaced. The dissertation’s assignment is to show the cost already legible in how the lunar design community writes up its own hardware, and to chalk, without overreaching, exactly how much of that cost the paper trail can and cannot prove.</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Two currents of writing feed this dissertation, and they seldom acknowledge one another. The first runs through lunar surface engineering, where modularity becomes a live design choice with teeth. The second runs through measurement, asking how a paper trail can be melted down into variables sturdy enough to hold up inference. Park pitches her tent in the seam dividing them. She reads the engineering current closely enough to know what modularity actually bills a lunar system, and she reads the measurement current closely enough to rig a test a doubter could rebuild from scratch. Neither current, left to itself, closes the dissertation’s question. Braided, they draw its boundary.</w:t>
      </w:r>
    </w:p>
    <w:bookmarkStart w:id="70" w:name="modularity-as-an-engineering-virtue"/>
    <w:p>
      <w:pPr>
        <w:pStyle w:val="Heading2"/>
        <w:spacing w:line="480" w:lineRule="auto"/>
      </w:pPr>
      <w:r>
        <w:t xml:space="preserve">Modularity as an engineering virtue</w:t>
      </w:r>
    </w:p>
    <w:p>
      <w:pPr>
        <w:pStyle w:val="FirstParagraph"/>
        <w:spacing w:line="480" w:lineRule="auto"/>
      </w:pPr>
      <w:r>
        <w:t xml:space="preserve">Begin with the reason the field grabs for modularity in the first place. Lunar surface systems refuse to arrive in one launch. They come in fragments, spread over years, out of rival contractors, and they have to keep running while the next fragment still sits in a hangar on Earth. Modularity is the design reply to that fact of life. A modular surface observatory bolts on sensing nodes as landers touch down; a modular robotic rig trades end-effectors and mobility units as the job shifts; a modular navigation constellation fills in one satellite at a time without dragging the ground segment back to the drawing board</w:t>
      </w:r>
      <w:r>
        <w:t xml:space="preserve"> </w:t>
      </w:r>
      <w:hyperlink w:anchor="ref-2">
        <w:r>
          <w:rPr>
            <w:rStyle w:val="Hyperlink"/>
          </w:rPr>
          <w:t xml:space="preserve">[2]</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pull is real and thoroughly on the record. Modular mechatronics for planetary exploration has already proven itself in field-operation trials, precisely because standard interfaces let a robotic asset be re-rigged for terrain, payload, and mission phase without tearing the platform down</w:t>
      </w:r>
      <w:r>
        <w:t xml:space="preserve"> </w:t>
      </w:r>
      <w:hyperlink w:anchor="ref-13">
        <w:r>
          <w:rPr>
            <w:rStyle w:val="Hyperlink"/>
          </w:rPr>
          <w:t xml:space="preserve">[13]</w:t>
        </w:r>
      </w:hyperlink>
      <w:r>
        <w:t xml:space="preserve">. In-orbit assembly of high-value modular infrastructure runs on the identical logic and stretches it to structures too vast to launch in one piece</w:t>
      </w:r>
      <w:r>
        <w:t xml:space="preserve"> </w:t>
      </w:r>
      <w:hyperlink w:anchor="ref-15">
        <w:r>
          <w:rPr>
            <w:rStyle w:val="Hyperlink"/>
          </w:rPr>
          <w:t xml:space="preserve">[15]</w:t>
        </w:r>
      </w:hyperlink>
      <w:r>
        <w:t xml:space="preserve">.</w:t>
      </w:r>
    </w:p>
    <w:p>
      <w:pPr>
        <w:pStyle w:val="BodyText"/>
        <w:spacing w:line="480" w:lineRule="auto"/>
        <w:ind w:firstLine="720"/>
      </w:pPr>
      <w:r>
        <w:t xml:space="preserve">Taken this way, the engineering current reads as a ledger of reasons modularity passes for a discount. Staged deployment smears cost across budget cycles. Standard interfaces throw the field open to rival vendors. Dead units get swapped out instead of nursed back in place. None of that is a mirage. These are the visible, factory-side savings that lure planners toward modular architectures to begin with, and any honest reckoning of the hidden cost has to grant them before it can pin down the offsetting weight.</w:t>
      </w:r>
    </w:p>
    <w:bookmarkEnd w:id="70"/>
    <w:bookmarkStart w:id="71" w:name="where-the-cost-hides"/>
    <w:p>
      <w:pPr>
        <w:pStyle w:val="Heading2"/>
        <w:spacing w:line="480" w:lineRule="auto"/>
      </w:pPr>
      <w:r>
        <w:t xml:space="preserve">Where the cost hides</w:t>
      </w:r>
    </w:p>
    <w:p>
      <w:pPr>
        <w:pStyle w:val="FirstParagraph"/>
        <w:spacing w:line="480" w:lineRule="auto"/>
      </w:pPr>
      <w:r>
        <w:t xml:space="preserve">That offsetting weight shows itself the moment the modules have to cooperate. Here the engineering current turns interesting for Park’s purposes, since the cooperation troubles flare hottest in the sources wrestling with systems that speak to systems. Lunar and cislunar space domain awareness is the clean case. Reasoning about one monolithic sensor is child’s play next to reasoning about a scattered web of surface and orbital sensors that must pool timing, geometry, and tasking to yield a shared picture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scattering buys coverage and toughness, and it drags in exactly the interface, data-sharing, and tasking-coordination costs a block-by-block review tends to overlook. A sensor-dense cislunar solution earns its power by fusing many feeds; it earns its expense by the same act, since the fusion has to be engineered, kept up, and governed</w:t>
      </w:r>
      <w:r>
        <w:t xml:space="preserve"> </w:t>
      </w:r>
      <w:hyperlink w:anchor="ref-7">
        <w:r>
          <w:rPr>
            <w:rStyle w:val="Hyperlink"/>
          </w:rPr>
          <w:t xml:space="preserve">[7]</w:t>
        </w:r>
      </w:hyperlink>
      <w:r>
        <w:t xml:space="preserve">.</w:t>
      </w:r>
    </w:p>
    <w:p>
      <w:pPr>
        <w:pStyle w:val="BodyText"/>
        <w:spacing w:line="480" w:lineRule="auto"/>
        <w:ind w:firstLine="720"/>
      </w:pPr>
      <w:r>
        <w:t xml:space="preserve">Traffic management drives the nail deeper. As lunar activity swells, architectural answers to space traffic management have to presume that a swarm of modular assets, built by a crowd of actors, will share volumes and share safety regimes</w:t>
      </w:r>
      <w:r>
        <w:t xml:space="preserve"> </w:t>
      </w:r>
      <w:hyperlink w:anchor="ref-3">
        <w:r>
          <w:rPr>
            <w:rStyle w:val="Hyperlink"/>
          </w:rPr>
          <w:t xml:space="preserve">[3]</w:t>
        </w:r>
      </w:hyperlink>
      <w:r>
        <w:t xml:space="preserve">. Coordination there is no implementation footnote. It is a first-order institutional cost that no lone module’s budget ever books. In-orbit servicing operations carry the same logic into the years ahead, where modules are not simply flown but maintained, refueled, and re-rigged on orbit, each maneuver riding on interface standards agreed before the hardware ever left the ground</w:t>
      </w:r>
      <w:r>
        <w:t xml:space="preserve"> </w:t>
      </w:r>
      <w:hyperlink w:anchor="ref-10">
        <w:r>
          <w:rPr>
            <w:rStyle w:val="Hyperlink"/>
          </w:rPr>
          <w:t xml:space="preserve">[10]</w:t>
        </w:r>
      </w:hyperlink>
      <w:r>
        <w:t xml:space="preserve">. Servicing runs cheap only where the interfaces were built for it, and building for it is itself a bill paid up front against a payoff cashed later.</w:t>
      </w:r>
    </w:p>
    <w:p>
      <w:pPr>
        <w:pStyle w:val="BodyText"/>
        <w:spacing w:line="480" w:lineRule="auto"/>
        <w:ind w:firstLine="720"/>
      </w:pPr>
      <w:r>
        <w:t xml:space="preserve">In-situ resource utilization studies almost drag the hidden cost into daylight. A controlled user study on situational awareness in ISRU design decisions catches operators weighing information against interface complexity against coordination load as they set up modular resource systems, which is precisely the machinery the dissertation fingers: modularity drains effort out of fabrication and pours it into verification, interface discipline, and operational integration</w:t>
      </w:r>
      <w:r>
        <w:t xml:space="preserve"> </w:t>
      </w:r>
      <w:hyperlink w:anchor="ref-11">
        <w:r>
          <w:rPr>
            <w:rStyle w:val="Hyperlink"/>
          </w:rPr>
          <w:t xml:space="preserve">[11]</w:t>
        </w:r>
      </w:hyperlink>
      <w:r>
        <w:t xml:space="preserve">. Radiation hardness assurance for commercial avionics runs a mirror-image story from the component floor. There the assurance weight for modular, commercially sourced parts hardens into its own testing and qualification cost, one that climbs with the tally of distinct modules rather than with the bulk of the system</w:t>
      </w:r>
      <w:r>
        <w:t xml:space="preserve"> </w:t>
      </w:r>
      <w:hyperlink w:anchor="ref-9">
        <w:r>
          <w:rPr>
            <w:rStyle w:val="Hyperlink"/>
          </w:rPr>
          <w:t xml:space="preserve">[9]</w:t>
        </w:r>
      </w:hyperlink>
      <w:r>
        <w:t xml:space="preserve">.</w:t>
      </w:r>
    </w:p>
    <w:bookmarkEnd w:id="71"/>
    <w:bookmarkStart w:id="72" w:name="turning-a-literature-into-measurements"/>
    <w:p>
      <w:pPr>
        <w:pStyle w:val="Heading2"/>
        <w:spacing w:line="480" w:lineRule="auto"/>
      </w:pPr>
      <w:r>
        <w:t xml:space="preserve">Turning a literature into measurements</w:t>
      </w:r>
    </w:p>
    <w:p>
      <w:pPr>
        <w:pStyle w:val="FirstParagraph"/>
        <w:spacing w:line="480" w:lineRule="auto"/>
      </w:pPr>
      <w:r>
        <w:t xml:space="preserve">The second current chases a wholly different quarry. Given a record, what will it yield to measurement, and how much load can that measurement stand? This is the ground the dissertation’s method calls home. Citation attention, publication recency, and venue family all pull loose from source metadata, and each hauls a known reading and a known way of failing. Citation counts stand in for attention, and they lag for fresh work and drift by index. Recency stands in for novelty, and it muddles genuine field motion with the mechanical truism that newer literatures just hold more recent papers. Venue family stands in for the kind of exchange a source belongs to, and being an ordinal tag rather than a randomized dose, it can just as easily snag coverage bias in the retrieval as flag any real difference.</w:t>
      </w:r>
    </w:p>
    <w:p>
      <w:pPr>
        <w:pStyle w:val="BodyText"/>
        <w:spacing w:line="480" w:lineRule="auto"/>
        <w:ind w:firstLine="720"/>
      </w:pPr>
      <w:r>
        <w:t xml:space="preserve">Paper 1 honors that literature by treating retrieved records as observations, never as authorities. It lodges no claim to have measured the Earth-Moon system. It measures the structure on show inside one candidate’s retained corpus, and it lays that structure out with robust standard errors so a reader can spot which associations hold tight and which slip</w:t>
      </w:r>
      <w:r>
        <w:t xml:space="preserve"> </w:t>
      </w:r>
      <w:hyperlink w:anchor="ref-1">
        <w:r>
          <w:rPr>
            <w:rStyle w:val="Hyperlink"/>
          </w:rPr>
          <w:t xml:space="preserve">[1]</w:t>
        </w:r>
      </w:hyperlink>
      <w:r>
        <w:t xml:space="preserve"> </w:t>
      </w:r>
      <w:hyperlink w:anchor="ref-2">
        <w:r>
          <w:rPr>
            <w:rStyle w:val="Hyperlink"/>
          </w:rPr>
          <w:t xml:space="preserve">[2]</w:t>
        </w:r>
      </w:hyperlink>
      <w:r>
        <w:t xml:space="preserve">. Paper 2 tacks on the temporal question the measurement current always presses. Is this a ripened, accreting evidence base, or a spray of recent and older work with no age-keyed attention curve? The distinction earns its keep, because a one-off example and a maturing field pull governance in opposite directions, and documents give up that difference only when you model accumulation head-on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72"/>
    <w:bookmarkStart w:id="73" w:name="the-economic-and-governance-framing"/>
    <w:p>
      <w:pPr>
        <w:pStyle w:val="Heading2"/>
        <w:spacing w:line="480" w:lineRule="auto"/>
      </w:pPr>
      <w:r>
        <w:t xml:space="preserve">The economic and governance framing</w:t>
      </w:r>
    </w:p>
    <w:p>
      <w:pPr>
        <w:pStyle w:val="FirstParagraph"/>
        <w:spacing w:line="480" w:lineRule="auto"/>
      </w:pPr>
      <w:r>
        <w:t xml:space="preserve">A third body of writing hovers at the rim of the two main currents and merits its own hearing, since it is the venue family that scrapes bottom on the topic signal and therefore pegs one pole of the dissertation’s central result. The space-economy literature, meaning roadmaps for national space renaissance, forecasts of the space economy, circular-economy takes on space sustainability, and orbital-resource lifecycle assessment, frames modularity in the aggregate: as an engine of industrial participation, as a lever for sustainability, as a term in the arithmetic of orbital resources. That framing pays off handsomely for policy and sits a very long way from the interface. Where the applied current has to nail down how two sensors share a timing reference, the economic current can chew on modularity as a category and never once brush a coordination cost. The gap is no black mark against the economic work. It is a difference in altitude, and the dissertation reads it as one.</w:t>
      </w:r>
    </w:p>
    <w:p>
      <w:pPr>
        <w:pStyle w:val="BodyText"/>
        <w:spacing w:line="480" w:lineRule="auto"/>
        <w:ind w:firstLine="720"/>
      </w:pPr>
      <w:r>
        <w:t xml:space="preserve">The gap counts for measurement because it forecasts, in advance, that the coordination-cost topic signal should come up faint in the economic venue and thick in the applied one. Economic records in the corpus haul little of the interface-and-integration vocabulary that mints topic-term hits, exactly because their level of analysis floats above the seam the cost inhabits. When Chapter 6 clocks a steep venue gradient, part of what that gradient is clocking is this altitude gap: the nearer a literature sits to the physical interface, the harder the hidden coordination cost is squeezed into its prose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Reading the economic literature with care is therefore not a side-trip but a route to understanding the low pole of the venue scale on its own terms rather than writing it off as static.</w:t>
      </w:r>
    </w:p>
    <w:bookmarkEnd w:id="73"/>
    <w:bookmarkStart w:id="74" w:name="what-in-orbit-servicing-and-assembly-add"/>
    <w:p>
      <w:pPr>
        <w:pStyle w:val="Heading2"/>
        <w:spacing w:line="480" w:lineRule="auto"/>
      </w:pPr>
      <w:r>
        <w:t xml:space="preserve">What in-orbit servicing and assembly add</w:t>
      </w:r>
    </w:p>
    <w:p>
      <w:pPr>
        <w:pStyle w:val="FirstParagraph"/>
        <w:spacing w:line="480" w:lineRule="auto"/>
      </w:pPr>
      <w:r>
        <w:t xml:space="preserve">Two neighboring literatures push the coordination-cost picture into the future and hone the mechanism. In-orbit servicing operations, planted in the traffic-management context, expose that modularity’s cost is not settled at deployment alone but recurs across an asset’s whole working life</w:t>
      </w:r>
      <w:r>
        <w:t xml:space="preserve"> </w:t>
      </w:r>
      <w:hyperlink w:anchor="ref-10">
        <w:r>
          <w:rPr>
            <w:rStyle w:val="Hyperlink"/>
          </w:rPr>
          <w:t xml:space="preserve">[10]</w:t>
        </w:r>
      </w:hyperlink>
      <w:r>
        <w:t xml:space="preserve">. A module drawn up to be serviced, refueled, or re-rigged on orbit banks those payoffs only where its interfaces were drawn up for servicing before it flew, which shoves a fat coordination cost forward into the design stage while sliding the payoff back to the operational stage. The literature files this under standard design tension, and it is exactly the hidden-cost machinery the dissertation names: a payoff that looks gratis at the module level yet gets bought with up-front interface commitment.</w:t>
      </w:r>
    </w:p>
    <w:p>
      <w:pPr>
        <w:pStyle w:val="BodyText"/>
        <w:spacing w:line="480" w:lineRule="auto"/>
        <w:ind w:firstLine="720"/>
      </w:pPr>
      <w:r>
        <w:t xml:space="preserve">In-orbit assembly of high-value modular infrastructure caps the arc</w:t>
      </w:r>
      <w:r>
        <w:t xml:space="preserve"> </w:t>
      </w:r>
      <w:hyperlink w:anchor="ref-15">
        <w:r>
          <w:rPr>
            <w:rStyle w:val="Hyperlink"/>
          </w:rPr>
          <w:t xml:space="preserve">[15]</w:t>
        </w:r>
      </w:hyperlink>
      <w:r>
        <w:t xml:space="preserve">. Here the entire value case rests on modularity, since structures too big to launch whole get raised from standard blocks, and the entire risk case rests on interface discipline, since an assembly step that folds at an interface can strand a costly structure. The whole-mission analyses in this literature drag the trade into the open where a block-by-block cost accounting never could: they price interfaces, assurance, and integration as first-class design objects. That candor is why the assembly and servicing venues haul a strong topic signal, and it is why the dissertation reads their prominence in the record as substantive evidence about where the coordination cost is being worked out rather than as a retrieval artifact</w:t>
      </w:r>
      <w:r>
        <w:t xml:space="preserve"> </w:t>
      </w:r>
      <w:hyperlink w:anchor="ref-13">
        <w:r>
          <w:rPr>
            <w:rStyle w:val="Hyperlink"/>
          </w:rPr>
          <w:t xml:space="preserve">[13]</w:t>
        </w:r>
      </w:hyperlink>
      <w:r>
        <w:t xml:space="preserve">.</w:t>
      </w:r>
    </w:p>
    <w:bookmarkEnd w:id="74"/>
    <w:bookmarkStart w:id="75" w:name="X9f8021eebcddf2e7725e7d94e39ab4b0de93082"/>
    <w:p>
      <w:pPr>
        <w:pStyle w:val="Heading2"/>
        <w:spacing w:line="480" w:lineRule="auto"/>
      </w:pPr>
      <w:r>
        <w:t xml:space="preserve">Component assurance as a distributed cost</w:t>
      </w:r>
    </w:p>
    <w:p>
      <w:pPr>
        <w:pStyle w:val="FirstParagraph"/>
        <w:spacing w:line="480" w:lineRule="auto"/>
      </w:pPr>
      <w:r>
        <w:t xml:space="preserve">One more thread in the engineering current exposes the hidden cost from the base of the stack rather than its crown. Radiation hardness assurance for commercial space avionics reads, at a glance, as a component-level engineering worry, and the systematic review of engineering and testing approaches reveals why it swells into an architecture-level cost under modularity</w:t>
      </w:r>
      <w:r>
        <w:t xml:space="preserve"> </w:t>
      </w:r>
      <w:hyperlink w:anchor="ref-9">
        <w:r>
          <w:rPr>
            <w:rStyle w:val="Hyperlink"/>
          </w:rPr>
          <w:t xml:space="preserve">[9]</w:t>
        </w:r>
      </w:hyperlink>
      <w:r>
        <w:t xml:space="preserve">. Raise a system out of many commercially sourced, independently qualified modules, and the assurance weight quits summing linearly. It compounds with the tally of distinct parts, each demanding its own qualification pedigree, its own test evidence, and its own slot in a coherent assurance argument for the whole. A monolithic subsystem qualified once totes one assurance case. A modular subsystem raised from a dozen parts totes a dozen assurance cases that then have to be reconciled into a system-level claim.</w:t>
      </w:r>
    </w:p>
    <w:p>
      <w:pPr>
        <w:pStyle w:val="BodyText"/>
        <w:spacing w:line="480" w:lineRule="auto"/>
        <w:ind w:firstLine="720"/>
      </w:pPr>
      <w:r>
        <w:t xml:space="preserve">This is the coordination cost as seen from the parts bin, and it instructs, because the machinery grinds on even where no data cross between modules at all. The cost here is not runtime interoperation but assurance interoperation: the labor of making independently qualified parts total up to a system whose reliability can be argued whole. The review literature files this under mounting challenge exactly as commercial, modular sourcing widens, which is the same road lunar surface systems are traveling</w:t>
      </w:r>
      <w:r>
        <w:t xml:space="preserve"> </w:t>
      </w:r>
      <w:hyperlink w:anchor="ref-9">
        <w:r>
          <w:rPr>
            <w:rStyle w:val="Hyperlink"/>
          </w:rPr>
          <w:t xml:space="preserve">[9]</w:t>
        </w:r>
      </w:hyperlink>
      <w:r>
        <w:t xml:space="preserve">. The topic signal snagging this assurance vocabulary in the technical venues, and whiffing it entirely in the economic venues, is one more turn of the pattern the dissertation measures. The cost reads legible where designers wrestle the parts and vanishes where the talk stays aggregate.</w:t>
      </w:r>
    </w:p>
    <w:bookmarkEnd w:id="75"/>
    <w:bookmarkStart w:id="76" w:name="Xce8b9353bccefc8821dd6cdf1b1fc78b158fcfd"/>
    <w:p>
      <w:pPr>
        <w:pStyle w:val="Heading2"/>
        <w:spacing w:line="480" w:lineRule="auto"/>
      </w:pPr>
      <w:r>
        <w:t xml:space="preserve">Situational awareness and the human coordination load</w:t>
      </w:r>
    </w:p>
    <w:p>
      <w:pPr>
        <w:pStyle w:val="FirstParagraph"/>
        <w:spacing w:line="480" w:lineRule="auto"/>
      </w:pPr>
      <w:r>
        <w:t xml:space="preserve">The ISRU user study bolts on a dimension the interface-and-assurance framing can miss, the human operator’s coordination load</w:t>
      </w:r>
      <w:r>
        <w:t xml:space="preserve"> </w:t>
      </w:r>
      <w:hyperlink w:anchor="ref-11">
        <w:r>
          <w:rPr>
            <w:rStyle w:val="Hyperlink"/>
          </w:rPr>
          <w:t xml:space="preserve">[11]</w:t>
        </w:r>
      </w:hyperlink>
      <w:r>
        <w:t xml:space="preserve">. Inside a controlled study of design decisions for future lunar in-situ resource utilization systems, operators weighing situational awareness against interface complexity betray that modularity’s coordination cost runs partly cognitive. A more modular system parades more interfaces for the operator to watch, more states to square, and more coordination calls to make, and the study clocks how those demands bend the choices designers land on. This matters for the dissertation because it plants part of the hidden cost in operations and training rather than in hardware, prying the mechanism open past the purely technical interface.</w:t>
      </w:r>
    </w:p>
    <w:p>
      <w:pPr>
        <w:pStyle w:val="BodyText"/>
        <w:spacing w:line="480" w:lineRule="auto"/>
        <w:ind w:firstLine="720"/>
      </w:pPr>
      <w:r>
        <w:t xml:space="preserve">The operational-cognitive thread also accounts for why the coordination-cost topic pools in the applied and systems venues instead of the economic ones. Papers that take the operator seriously have to spell out how the parts get watched and coordinated in use, which mints exactly the situational-awareness and interface vocabulary the topic-signal rule catches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economic literature, chewing on modularity as an industrial category, keeps no operator in frame and so never has occasion to write the coordination load down. The venue gradient the dissertation clocks is, in part, a gradient of how far the literature bothers with the human and operational reality of running a modular lunar system.</w:t>
      </w:r>
    </w:p>
    <w:bookmarkEnd w:id="76"/>
    <w:bookmarkStart w:id="77" w:name="Xe319e0dacbd3f40649d817148056ecb3556a78a"/>
    <w:p>
      <w:pPr>
        <w:pStyle w:val="Heading2"/>
        <w:spacing w:line="480" w:lineRule="auto"/>
      </w:pPr>
      <w:r>
        <w:t xml:space="preserve">Propulsion and navigation as coordination-adjacent cases</w:t>
      </w:r>
    </w:p>
    <w:p>
      <w:pPr>
        <w:pStyle w:val="FirstParagraph"/>
        <w:spacing w:line="480" w:lineRule="auto"/>
      </w:pPr>
      <w:r>
        <w:t xml:space="preserve">Two further literatures fill out the picture by catching the mechanism at its margins, where coordination cost is present yet less commanding. Performance comparisons of green propulsion systems for orbital transfer vehicles chew on modular propulsion choices whose interfaces are real yet fairly walled off, and the topic signal for such work parks in the middle band rather than the top, which squares with a subject that grazes interfaces without being organized around distributed interoperation</w:t>
      </w:r>
      <w:r>
        <w:t xml:space="preserve"> </w:t>
      </w:r>
      <w:hyperlink w:anchor="ref-14">
        <w:r>
          <w:rPr>
            <w:rStyle w:val="Hyperlink"/>
          </w:rPr>
          <w:t xml:space="preserve">[14]</w:t>
        </w:r>
      </w:hyperlink>
      <w:r>
        <w:t xml:space="preserve">. Robust lunar navigation constellation design, station-keeping schemes and all, likewise totes coordination content, since the constellation geometry is a system-level property no single satellite owns, and it dresses that content as an orbital-mechanics problem more than an interface-specification one</w:t>
      </w:r>
      <w:r>
        <w:t xml:space="preserve"> </w:t>
      </w:r>
      <w:hyperlink w:anchor="ref-16">
        <w:r>
          <w:rPr>
            <w:rStyle w:val="Hyperlink"/>
          </w:rPr>
          <w:t xml:space="preserve">[16]</w:t>
        </w:r>
      </w:hyperlink>
      <w:r>
        <w:t xml:space="preserve">.</w:t>
      </w:r>
    </w:p>
    <w:p>
      <w:pPr>
        <w:pStyle w:val="BodyText"/>
        <w:spacing w:line="480" w:lineRule="auto"/>
        <w:ind w:firstLine="720"/>
      </w:pPr>
      <w:r>
        <w:t xml:space="preserve">These margin cases matter because they catch the topic signal fading by degrees rather than flipping on and off. A theory that forecast signal in a few venues and dead silence everywhere else would snap under any strain. The pattern that actually holds, thick signal in distributed-interoperation work, middling signal in coordination-adjacent systems work, faint signal in aggregate economic framing, is what a graded mechanism forecasts</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literature review therefore closes not on two tidy strands but on a spectrum, and the dissertation’s measurement is built to read a source’s spot along that spectrum rather than to drop sources into bins.</w:t>
      </w:r>
    </w:p>
    <w:bookmarkEnd w:id="77"/>
    <w:bookmarkStart w:id="78" w:name="the-gap-this-dissertation-fills"/>
    <w:p>
      <w:pPr>
        <w:pStyle w:val="Heading2"/>
        <w:spacing w:line="480" w:lineRule="auto"/>
      </w:pPr>
      <w:r>
        <w:t xml:space="preserve">The gap this dissertation fills</w:t>
      </w:r>
    </w:p>
    <w:p>
      <w:pPr>
        <w:pStyle w:val="FirstParagraph"/>
        <w:spacing w:line="480" w:lineRule="auto"/>
      </w:pPr>
      <w:r>
        <w:t xml:space="preserve">Earlier authors have not slept on modularity, and they have not slept on measurement. The gap is that the two exchanges barely touch. The engineering current sketches coordination costs in words, in the tongue of interfaces and integration, without ever asking whether those costs leave a measurable print in the record itself. The measurement current forges variables without a substantive theory of where the modularity cost ought to pool. Park’s design shuts the gap in a pointed, unassuming way. It boils the engineering current down into rows, forges variables from observable fields, states beforehand where the hidden cost should surface supposing the theory holds, and then reports whether it does, penning every claim inside the estimator output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Read across all three families, the literature also serves up the ordinal logic the venue score encodes. The applied surveillance work parks closest to the physical interface, cornered into spelling out sensing geometry, timing, and data fusion; the peer-reviewed systems work parks a step back, arguing interface and integration choices in the abstract yet still concretely; the economic work parks farthest, treating modularity as an industrial category with no interface in frame</w:t>
      </w:r>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That ordering is not stamped onto the literature. It is lifted out of it, and it is why the venue-family code totes genuine conceptual content instead of standing as an arbitrary numbering of sources. The measurement chapter formalizes the ordering, and its warrant is wholly a matter of what these literatures actually do with the modularity question.</w:t>
      </w:r>
    </w:p>
    <w:p>
      <w:pPr>
        <w:pStyle w:val="BodyText"/>
        <w:spacing w:line="480" w:lineRule="auto"/>
        <w:ind w:firstLine="720"/>
      </w:pPr>
      <w:r>
        <w:t xml:space="preserve">None of this is a grand synthesis, and it makes no such pretense. It is a disciplined bridge: enough domain reading to know what modularity bills a lunar system, enough measurement discipline to test whether that bill reads legible in the record, and enough restraint to quit where the documents quit. The chapters ahead build the mechanism, the identification, and the results on exactly that footing, and they circle back, at every step, to the sources that fix the terms under measurement</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0">
        <w:r>
          <w:rPr>
            <w:rStyle w:val="Hyperlink"/>
          </w:rPr>
          <w:t xml:space="preserve">[10]</w:t>
        </w:r>
      </w:hyperlink>
      <w:r>
        <w:t xml:space="preserve">. Each source cited here pulls double duty. It certifies that the coordination-cost problem is real to practitioners, and it hands over the vocabulary the topic-signal measure will later catch. That double duty is why the literature review is no preamble to the analysis but a plank in its foundation.</w:t>
      </w:r>
    </w:p>
    <w:bookmarkEnd w:id="78"/>
    <w:bookmarkEnd w:id="79"/>
    <w:bookmarkStart w:id="90"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mechanism sitting at the heart of this dissertation is simple to say and simple to shrug off. Modularity moves cost around. It rarely wipes out the labor of making parts fit; it drags that labor off the factory floor and lodges it in the seams between modules, where it gets settled in interface control, verification, data-sharing, spares logistics, and operational coordination. On the lunar surface those seams cost a fortune to reach and punish the smallest slip. The theoretical claim is that this relocated cost is genuine, and that a genuine relocated cost ought to read legible in how the design community writes up the systems saddled with bearing it.</w:t>
      </w:r>
    </w:p>
    <w:bookmarkStart w:id="80" w:name="Xfa2f5e9ea4bc6787fc72d6cb64923b05574f586"/>
    <w:p>
      <w:pPr>
        <w:pStyle w:val="Heading2"/>
        <w:spacing w:line="480" w:lineRule="auto"/>
      </w:pPr>
      <w:r>
        <w:t xml:space="preserve">From a cost mechanism to a documentary trace</w:t>
      </w:r>
    </w:p>
    <w:p>
      <w:pPr>
        <w:pStyle w:val="FirstParagraph"/>
        <w:spacing w:line="480" w:lineRule="auto"/>
      </w:pPr>
      <w:r>
        <w:t xml:space="preserve">Crossing from mechanism to measurement demands care, since the dissertation never lays eyes on cost directly. It lays eyes on documents. So the theory has to pin down what the cost mechanism implies for the record, and the logic here runs tight. Coordination cost peaks where modules are forced to interoperate under constraint. A modular lunar system that amounts to a heap of independent units totes barely any coordination weight; a modular system whose units must swap data, hold interface tolerances, and run inside a shared safety or traffic regime totes a great deal</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The literatures wrestling with those interoperation-heavy systems, surface and cislunar domain awareness, traffic management, servicing, in-orbit assembly, ISRU integration, should therefore flash the strongest topic signal, because those are the spots where authors have no way out of spelling how the parts mesh</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That hands the theory an observable prediction with a heading. Supposing modularity’s hidden cost is a real feature of lunar design, the topic signal should mass in the venues and communities where interoperation is the stated subject, and it should slacken where modularity gets waved through as a convenience with no coordination story attached. Venue family turns into a proxy for the kind of exchange a source is having, and the exchanges most exposed to coordination cost should haul the signal hardest</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80"/>
    <w:bookmarkStart w:id="81" w:name="hypothesis-1-cross-sectional-structure"/>
    <w:p>
      <w:pPr>
        <w:pStyle w:val="Heading2"/>
        <w:spacing w:line="480" w:lineRule="auto"/>
      </w:pPr>
      <w:r>
        <w:t xml:space="preserve">Hypothesis 1: cross-sectional structure</w:t>
      </w:r>
    </w:p>
    <w:p>
      <w:pPr>
        <w:pStyle w:val="FirstParagraph"/>
        <w:spacing w:line="480" w:lineRule="auto"/>
      </w:pPr>
      <w:r>
        <w:t xml:space="preserve">The first hypothesis is about where the signal parks across the retrieved record at one frozen moment. Paper 1 casts it with a topic-signal score for the outcome and three predictors: a recency index, a citation count, and an ordinal venue-family score. Formally it reads as a null of no relationship set against an alternative of systematic relationship.</w:t>
      </w:r>
    </w:p>
    <w:p>
      <w:pPr>
        <w:pStyle w:val="BodyText"/>
        <w:spacing w:line="480" w:lineRule="auto"/>
        <w:ind w:firstLine="720"/>
      </w:pPr>
      <w:r>
        <w:t xml:space="preserve">H0: the topic-signal score is unrelated to publication recency, citation attention, and venue family across the retrieved corpus.</w:t>
      </w:r>
    </w:p>
    <w:p>
      <w:pPr>
        <w:pStyle w:val="BodyText"/>
        <w:spacing w:line="480" w:lineRule="auto"/>
        <w:ind w:firstLine="720"/>
      </w:pPr>
      <w:r>
        <w:t xml:space="preserve">H1: the topic-signal score is systematically related to at least one of these, with the theory predicting in particular that venue family, standing in for the degree of interoperation a community must confront, carries structure in the signal.</w:t>
      </w:r>
    </w:p>
    <w:p>
      <w:pPr>
        <w:pStyle w:val="BodyText"/>
        <w:spacing w:line="480" w:lineRule="auto"/>
        <w:ind w:firstLine="720"/>
      </w:pPr>
      <w:r>
        <w:t xml:space="preserve">Watch what the theory pledges and what it withholds. It does not demand that every predictor budge. It pledges that venue structure should count, because venue family shadows exposure to coordination cost. On recency it stays neutral, even doubtful, since the coordination troubles of modular lunar systems carry no whiff of the new. Older surface-observatory and lunar-domain-awareness work already stitches modularity pressures into sensor geometry, deployment staging, and observability, so a pure recency story would read as testimony against the mechanism rather than for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 The framework thus stakes a falsifiable, directional prediction: structure in venue, murk in time.</w:t>
      </w:r>
    </w:p>
    <w:bookmarkEnd w:id="81"/>
    <w:bookmarkStart w:id="82" w:name="hypothesis-2-accumulation-over-time"/>
    <w:p>
      <w:pPr>
        <w:pStyle w:val="Heading2"/>
        <w:spacing w:line="480" w:lineRule="auto"/>
      </w:pPr>
      <w:r>
        <w:t xml:space="preserve">Hypothesis 2: accumulation over time</w:t>
      </w:r>
    </w:p>
    <w:p>
      <w:pPr>
        <w:pStyle w:val="FirstParagraph"/>
        <w:spacing w:line="480" w:lineRule="auto"/>
      </w:pPr>
      <w:r>
        <w:t xml:space="preserve">The second hypothesis chases another quarry, maturity rather than location. Were the modularity-cost literature a ripening evidence base, attention would pile up with age in a measurable way, older foundational work drawing citations as the field builds atop it. Paper 2 casts this with a log-log learning-curve model of citation count against article age.</w:t>
      </w:r>
    </w:p>
    <w:p>
      <w:pPr>
        <w:pStyle w:val="BodyText"/>
        <w:spacing w:line="480" w:lineRule="auto"/>
        <w:ind w:firstLine="720"/>
      </w:pPr>
      <w:r>
        <w:t xml:space="preserve">H0: citation accumulation is unrelated to article age in the retrieved topic literature.</w:t>
      </w:r>
    </w:p>
    <w:p>
      <w:pPr>
        <w:pStyle w:val="BodyText"/>
        <w:spacing w:line="480" w:lineRule="auto"/>
        <w:ind w:firstLine="720"/>
      </w:pPr>
      <w:r>
        <w:t xml:space="preserve">H1: citation accumulation follows a measurable age-based attention curve.</w:t>
      </w:r>
    </w:p>
    <w:p>
      <w:pPr>
        <w:pStyle w:val="BodyText"/>
        <w:spacing w:line="480" w:lineRule="auto"/>
        <w:ind w:firstLine="720"/>
      </w:pPr>
      <w:r>
        <w:t xml:space="preserve">The theory’s expectation here runs deliberately thin, and the reason instructs. A design-stage topic that is structurally weighty yet still unconsolidated into a canonical citation network would flash exactly what a thin learning curve flashes: the cost is a real, scattered design worry, and the literature has yet to array itself around a cluster of heavily cited anchor papers. A muscular learning curve would hint at a ripened, consensus field; its no-show, twinned with muscular cross-sectional venue structure, hints at a field where the cost is being hammered out in practice quicker than it consolidates in citation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two hypotheses are drawn to pry those cases apart.</w:t>
      </w:r>
    </w:p>
    <w:bookmarkEnd w:id="82"/>
    <w:bookmarkStart w:id="83" w:name="X9fdc33a0647b1d63030464ae6caf940ad2bdc5d"/>
    <w:p>
      <w:pPr>
        <w:pStyle w:val="Heading2"/>
        <w:spacing w:line="480" w:lineRule="auto"/>
      </w:pPr>
      <w:r>
        <w:t xml:space="preserve">Rival explanations the design must survive</w:t>
      </w:r>
    </w:p>
    <w:p>
      <w:pPr>
        <w:pStyle w:val="FirstParagraph"/>
        <w:spacing w:line="480" w:lineRule="auto"/>
      </w:pPr>
      <w:r>
        <w:t xml:space="preserve">A responsible framework points out the ways its predictions could come up right for the wrong reasons. Four rivals earn explicit mention, since each floats a non-mechanism account of the same data.</w:t>
      </w:r>
    </w:p>
    <w:p>
      <w:pPr>
        <w:pStyle w:val="BodyText"/>
        <w:spacing w:line="480" w:lineRule="auto"/>
        <w:ind w:firstLine="720"/>
      </w:pPr>
      <w:r>
        <w:t xml:space="preserve">The first is venue coverage bias. Suppose the retrieval merely dredged more modularity-heavy language out of one venue family than another owing to how those venues index and abstract their papers. Then a venue coefficient would mirror retrieval artifact rather than any substantive massing of coordination cost. The design cannot fully exile this from documents alone, and Chapter 7 handles it as the leading threat.</w:t>
      </w:r>
    </w:p>
    <w:p>
      <w:pPr>
        <w:pStyle w:val="BodyText"/>
        <w:spacing w:line="480" w:lineRule="auto"/>
        <w:ind w:firstLine="720"/>
      </w:pPr>
      <w:r>
        <w:t xml:space="preserve">The second is citation-age confounding. Citation counts mechanically flatter older papers, which have logged more time to gather references. Any age-based finding has to be weighed against that baseline, which is one reason Paper 2’s learning-curve specification is the right frame: it models the expected age-citation relationship head-on rather than mistaking raw counts for attention.</w:t>
      </w:r>
    </w:p>
    <w:p>
      <w:pPr>
        <w:pStyle w:val="BodyText"/>
        <w:spacing w:line="480" w:lineRule="auto"/>
        <w:ind w:firstLine="720"/>
      </w:pPr>
      <w:r>
        <w:t xml:space="preserve">The third is metadata availability. Some venue families cough up citation counts and lush keyword fields; others cough up almost nothing. A signal that trails metadata richness rather than substance would pose as a topic finding. The variable construction in Chapter 5 is rigged to make this plain, since the topic-signal score leans on fields that simply go missing for some economic-venue records, and that absence is itself a message.</w:t>
      </w:r>
    </w:p>
    <w:p>
      <w:pPr>
        <w:pStyle w:val="BodyText"/>
        <w:spacing w:line="480" w:lineRule="auto"/>
        <w:ind w:firstLine="720"/>
      </w:pPr>
      <w:r>
        <w:t xml:space="preserve">The fourth is calendar coincidence. A spike of recent activity around lunar programs could puff up the recency signal for reasons that have nothing to do with modularity’s cost. The framework’s prediction that recency should not haul the signal is, in part, a bulwark against this rival: if the mechanism is real, it should surface in interoperation-heavy venues no matter when the work ran.</w:t>
      </w:r>
    </w:p>
    <w:bookmarkEnd w:id="83"/>
    <w:bookmarkStart w:id="84" w:name="X7f804b7ab0bcce587bcf1b2bc5d834ea81a8690"/>
    <w:p>
      <w:pPr>
        <w:pStyle w:val="Heading2"/>
        <w:spacing w:line="480" w:lineRule="auto"/>
      </w:pPr>
      <w:r>
        <w:t xml:space="preserve">The microfoundations of the coordination cost</w:t>
      </w:r>
    </w:p>
    <w:p>
      <w:pPr>
        <w:pStyle w:val="FirstParagraph"/>
        <w:spacing w:line="480" w:lineRule="auto"/>
      </w:pPr>
      <w:r>
        <w:t xml:space="preserve">It repays the effort to make the cost mechanism concrete enough to see why it should leave a documentary trace at all. Picture what shifts when a designer swaps one integrated lunar subsystem for three modular units that have to interoperate. The integrated subsystem hides its internal coordination inside one design team, one verification campaign, and one set of tolerances that never need publishing because they never cross an organizational line. Split the subsystem into three modules, maybe from three vendors, and every internal coordination that used to run implicit hardens into an explicit, documented interface: a data format that has to be specified, a mechanical tolerance that has to be held across the seam, a timing relationship that has to be agreed and tested. The coordination did not evaporate when the subsystem got modularized. It flipped from tacit to documented, and documented coordination is what mints the language the topic-signal score catches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This is the microfoundation lashing the abstract mechanism to the measurable trace. Modularity converts implicit integration into explicit interface specification, and explicit interface specification gets written down, because it has to be agreed across a line. The harder a system is chopped into interoperating modules, the more of its coordination surfaces in prose, keyword fields, and interface documentation. A literature grappling with heavily modularized, interoperation-heavy lunar systems, distributed sensing, serviced assets, assembled infrastructure, will therefore run thicker in coordination language than a literature grappling with the same systems at an aggregate or economic altitude</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topic-signal score is, at rock bottom, a crude gauge of how much implicit coordination a given source has been strong-armed into making explicit.</w:t>
      </w:r>
    </w:p>
    <w:bookmarkEnd w:id="84"/>
    <w:bookmarkStart w:id="85" w:name="X904120147b98573257c07a451fb5d2091cbe66c"/>
    <w:p>
      <w:pPr>
        <w:pStyle w:val="Heading2"/>
        <w:spacing w:line="480" w:lineRule="auto"/>
      </w:pPr>
      <w:r>
        <w:t xml:space="preserve">Why the mechanism predicts venue over time</w:t>
      </w:r>
    </w:p>
    <w:p>
      <w:pPr>
        <w:pStyle w:val="FirstParagraph"/>
        <w:spacing w:line="480" w:lineRule="auto"/>
      </w:pPr>
      <w:r>
        <w:t xml:space="preserve">The theory’s most distinctive prediction, that structure should light up in venue but not in publication time, falls out of the microfoundation rather than getting bolted on beside it. Were the coordination cost a fresh discovery, it would mass in recent papers and the recency index would haul the signal. The microfoundation, though, says the cost is intrinsic to the very act of modularizing an interoperation-heavy system, not to any particular era of thinking about it. Surface-observatory and lunar-domain-awareness work from several years back already chopped sensing into distributed nodes and therefore already had to make coordination explicit, which means the coordination language rides in older records too</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 What shifts is not the year a paper ran but how near its subject sits to the interface, and venue family, standing in for community and altitude, shadows that nearness far better than the calendar does</w:t>
      </w:r>
      <w:r>
        <w:t xml:space="preserve"> </w:t>
      </w:r>
      <w:hyperlink w:anchor="ref-4">
        <w:r>
          <w:rPr>
            <w:rStyle w:val="Hyperlink"/>
          </w:rPr>
          <w:t xml:space="preserve">[4]</w:t>
        </w:r>
      </w:hyperlink>
      <w:r>
        <w:t xml:space="preserve">.</w:t>
      </w:r>
    </w:p>
    <w:p>
      <w:pPr>
        <w:pStyle w:val="BodyText"/>
        <w:spacing w:line="480" w:lineRule="auto"/>
        <w:ind w:firstLine="720"/>
      </w:pPr>
      <w:r>
        <w:t xml:space="preserve">This is why a flat recency coefficient would corroborate the mechanism rather than undercut it, and why the design reads a statistically thin time effect as a substantively muscular result. The prediction is not just that venue will count; it is that venue will count and time will not, and that precise joint pattern is the mechanism’s signature. A design forecasting only some vague association somewhere in the data would be very nearly unfalsifiable. Forecasting the location of the structure, venue yes, time no, hands the null real bite, because the model could easily have come home with the opposite pattern and refuted the theory</w:t>
      </w:r>
      <w:r>
        <w:t xml:space="preserve"> </w:t>
      </w:r>
      <w:hyperlink w:anchor="ref-10">
        <w:r>
          <w:rPr>
            <w:rStyle w:val="Hyperlink"/>
          </w:rPr>
          <w:t xml:space="preserve">[10]</w:t>
        </w:r>
      </w:hyperlink>
      <w:r>
        <w:t xml:space="preserve">.</w:t>
      </w:r>
    </w:p>
    <w:bookmarkEnd w:id="85"/>
    <w:bookmarkStart w:id="86" w:name="X75436049df3cd4a370a9e1978fbb268072549ae"/>
    <w:p>
      <w:pPr>
        <w:pStyle w:val="Heading2"/>
        <w:spacing w:line="480" w:lineRule="auto"/>
      </w:pPr>
      <w:r>
        <w:t xml:space="preserve">Distinguishing the mechanism from three near-neighbors</w:t>
      </w:r>
    </w:p>
    <w:p>
      <w:pPr>
        <w:pStyle w:val="FirstParagraph"/>
        <w:spacing w:line="480" w:lineRule="auto"/>
      </w:pPr>
      <w:r>
        <w:t xml:space="preserve">A mechanism counts as well specified only where it can be told apart from the accounts it most resembles, and the coordination-cost mechanism has three near-neighbors worth prying loose. The first is a pure complexity account: modular systems run more complex, and complexity costs, end of story. The dissertation’s mechanism is tighter and therefore more testable. It stakes no claim on complexity in general; it stakes a claim that modularity relocates one specific kind of cost, the cost of making parts interoperate, into the interfaces, and it forecasts that this cost surfaces in the literatures nearest those interfaces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generic complexity account would forecast signal everywhere complexity crops up; the coordination account forecasts signal specifically where interoperation is spelled out, which is a sharper and falsifiable prediction.</w:t>
      </w:r>
    </w:p>
    <w:p>
      <w:pPr>
        <w:pStyle w:val="BodyText"/>
        <w:spacing w:line="480" w:lineRule="auto"/>
        <w:ind w:firstLine="720"/>
      </w:pPr>
      <w:r>
        <w:t xml:space="preserve">The second near-neighbor is a maturity account: the topic surfaces where a field has ripened enough to fret about integration. This is the account the learning curve is drawn to test and, as it happens, to rule out. Were maturity steering the signal, older and better-cited work would haul it, and the age-based accumulation model would come home strong. The mechanism forecasts instead that the signal trails interface proximity regardless of field maturity, so a thin learning curve twinned with muscular venue structure splits the coordination account from the maturity account outright</w:t>
      </w:r>
      <w:r>
        <w:t xml:space="preserve"> </w:t>
      </w:r>
      <w:hyperlink w:anchor="ref-5">
        <w:r>
          <w:rPr>
            <w:rStyle w:val="Hyperlink"/>
          </w:rPr>
          <w:t xml:space="preserve">[5]</w:t>
        </w:r>
      </w:hyperlink>
      <w:r>
        <w:t xml:space="preserve"> </w:t>
      </w:r>
      <w:hyperlink w:anchor="ref-10">
        <w:r>
          <w:rPr>
            <w:rStyle w:val="Hyperlink"/>
          </w:rPr>
          <w:t xml:space="preserve">[10]</w:t>
        </w:r>
      </w:hyperlink>
      <w:r>
        <w:t xml:space="preserve">. The two accounts forecast opposite things about time, and the data can settle it.</w:t>
      </w:r>
    </w:p>
    <w:p>
      <w:pPr>
        <w:pStyle w:val="BodyText"/>
        <w:spacing w:line="480" w:lineRule="auto"/>
        <w:ind w:firstLine="720"/>
      </w:pPr>
      <w:r>
        <w:t xml:space="preserve">The third near-neighbor is a novelty account: coordination cost is a lately fashionable worry that newer papers push to the front. The recency prediction disposes of this one. Were novelty steering the signal, recency would haul it; the mechanism forecasts recency will not, because the coordination cost is intrinsic to interoperation-heavy design and rides in older work that already distributed its sensing or assembly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 Each near-neighbor, complexity, maturity, novelty, would smear a different fingerprint across the joint pattern of venue, time, and citation, and the design is arranged so the coordination mechanism’s fingerprint, strong venue, flat time, thin curve, stands apart from all three.</w:t>
      </w:r>
    </w:p>
    <w:bookmarkEnd w:id="86"/>
    <w:bookmarkStart w:id="87" w:name="X8b3a258b3b6bc3d2b0a7eec38439ba7deac05a4"/>
    <w:p>
      <w:pPr>
        <w:pStyle w:val="Heading2"/>
        <w:spacing w:line="480" w:lineRule="auto"/>
      </w:pPr>
      <w:r>
        <w:t xml:space="preserve">What a decisive refutation would look like</w:t>
      </w:r>
    </w:p>
    <w:p>
      <w:pPr>
        <w:pStyle w:val="FirstParagraph"/>
        <w:spacing w:line="480" w:lineRule="auto"/>
      </w:pPr>
      <w:r>
        <w:t xml:space="preserve">Naming the refutation conditions in the open is part of taking the hypotheses seriously. The core mechanism would fall if the venue coefficient came home small or insignificant, because that would mean the topic signal fails to mass where interoperation is spelled out, which is the mechanism’s central claim</w:t>
      </w:r>
      <w:r>
        <w:t xml:space="preserve"> </w:t>
      </w:r>
      <w:hyperlink w:anchor="ref-3">
        <w:r>
          <w:rPr>
            <w:rStyle w:val="Hyperlink"/>
          </w:rPr>
          <w:t xml:space="preserve">[3]</w:t>
        </w:r>
      </w:hyperlink>
      <w:r>
        <w:t xml:space="preserve">. It would take a serious tangle if the recency coefficient came home large and significant, because that would prop up the novelty account over the intrinsic-cost account and force a rewrite of the mechanism into a diffusion story</w:t>
      </w:r>
      <w:r>
        <w:t xml:space="preserve"> </w:t>
      </w:r>
      <w:hyperlink w:anchor="ref-1">
        <w:r>
          <w:rPr>
            <w:rStyle w:val="Hyperlink"/>
          </w:rPr>
          <w:t xml:space="preserve">[1]</w:t>
        </w:r>
      </w:hyperlink>
      <w:r>
        <w:t xml:space="preserve">. And it would swing toward a maturity account if the learning curve came home strong and precise, because that would lodge the structure in citation accumulation rather than in interface proximity</w:t>
      </w:r>
      <w:r>
        <w:t xml:space="preserve"> </w:t>
      </w:r>
      <w:hyperlink w:anchor="ref-5">
        <w:r>
          <w:rPr>
            <w:rStyle w:val="Hyperlink"/>
          </w:rPr>
          <w:t xml:space="preserve">[5]</w:t>
        </w:r>
      </w:hyperlink>
      <w:r>
        <w:t xml:space="preserve">. Every one of these outcomes lay open to the data. The design does not merely forecast a result; it names, beforehand, the several results that would have counted against it, which is what lifts the eventual finding in Chapter 6 past a tale stitched together after the fact.</w:t>
      </w:r>
    </w:p>
    <w:bookmarkEnd w:id="87"/>
    <w:bookmarkStart w:id="88" w:name="the-scope-condition-on-the-mechanism"/>
    <w:p>
      <w:pPr>
        <w:pStyle w:val="Heading2"/>
        <w:spacing w:line="480" w:lineRule="auto"/>
      </w:pPr>
      <w:r>
        <w:t xml:space="preserve">The scope condition on the mechanism</w:t>
      </w:r>
    </w:p>
    <w:p>
      <w:pPr>
        <w:pStyle w:val="FirstParagraph"/>
        <w:spacing w:line="480" w:lineRule="auto"/>
      </w:pPr>
      <w:r>
        <w:t xml:space="preserve">Every mechanism runs inside a scope, and naming this one’s scope keeps the hypotheses honest. The coordination-cost mechanism is claimed for interoperation-heavy lunar surface and cislunar systems, the distributed sensing, serviced, assembled, and traffic-coordinated architectures where modules genuinely have to work together under constraint</w:t>
      </w:r>
      <w:r>
        <w:t xml:space="preserve"> </w:t>
      </w:r>
      <w:hyperlink w:anchor="ref-3">
        <w:r>
          <w:rPr>
            <w:rStyle w:val="Hyperlink"/>
          </w:rPr>
          <w:t xml:space="preserve">[3]</w:t>
        </w:r>
      </w:hyperlink>
      <w:r>
        <w:t xml:space="preserve"> </w:t>
      </w:r>
      <w:hyperlink w:anchor="ref-15">
        <w:r>
          <w:rPr>
            <w:rStyle w:val="Hyperlink"/>
          </w:rPr>
          <w:t xml:space="preserve">[15]</w:t>
        </w:r>
      </w:hyperlink>
      <w:r>
        <w:t xml:space="preserve">. It is not claimed for every modular artifact under the sun. A modular system whose units run genuinely independent, sharing no data, no timing, no safety envelope, would tote scant coordination cost, and the theory would forecast a faint topic signal there. The scope condition is thus itself testable: the mechanism forecasts signal where interoperation is demanded and forecasts its absence where modularity is merely parallel independence</w:t>
      </w:r>
      <w:r>
        <w:t xml:space="preserve"> </w:t>
      </w:r>
      <w:hyperlink w:anchor="ref-11">
        <w:r>
          <w:rPr>
            <w:rStyle w:val="Hyperlink"/>
          </w:rPr>
          <w:t xml:space="preserve">[11]</w:t>
        </w:r>
      </w:hyperlink>
      <w:r>
        <w:t xml:space="preserve">.</w:t>
      </w:r>
    </w:p>
    <w:p>
      <w:pPr>
        <w:pStyle w:val="BodyText"/>
        <w:spacing w:line="480" w:lineRule="auto"/>
        <w:ind w:firstLine="720"/>
      </w:pPr>
      <w:r>
        <w:t xml:space="preserve">This scope condition is what rescues the theory from vacuity. A claim that modularity always drags a hidden cost along would be very nearly unfalsifiable, since some cost can always be dug up somewhere. The scoped claim, that the cost surfaces specifically where modules must interoperate and specifically in the literatures nearest that interoperation, forecasts something the data can refute, and it lines the theory up with the engineering reality that coordination cost is a property of required interaction rather than of decomposition on its own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hypotheses in this chapter inherit that scope, and the results in Chapter 6 get read strictly inside it.</w:t>
      </w:r>
    </w:p>
    <w:bookmarkEnd w:id="88"/>
    <w:bookmarkStart w:id="89" w:name="the-evidence-ladder"/>
    <w:p>
      <w:pPr>
        <w:pStyle w:val="Heading2"/>
        <w:spacing w:line="480" w:lineRule="auto"/>
      </w:pPr>
      <w:r>
        <w:t xml:space="preserve">The evidence ladder</w:t>
      </w:r>
    </w:p>
    <w:p>
      <w:pPr>
        <w:pStyle w:val="FirstParagraph"/>
        <w:spacing w:line="480" w:lineRule="auto"/>
      </w:pPr>
      <w:r>
        <w:t xml:space="preserve">Fitting the pieces together, the framework backs a graded reading rather than a yes-or-no verdict. A precise, signed venue coefficient would show the modularity-cost signal holds real structure inside the retained corpus, lodged where the theory forecasts. A stable overall model fit would license leaning on the corpus as a measurement base for further work. A thin or fuzzy coefficient, on recency or on the learning curve, would be no failure but a boundary marker, chalking where the paper trail gives out and mission-level evidence has to take the wheel</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dissertation counts all three outcomes as scholarly results, on one condition: interpretation stays lashed to the source trail, and no coefficient gets drafted to haul a program-cost claim that only procurement or telemetry data could ever underwrite</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One more property of the framework earns a spotlight, because it is odd enough to state outright. The framework counts a fuzzy coefficient as a finding rather than a failure. In much applied work, a coefficient that whiffs on significance gets junked or buried, yet here the flat recency coefficient and the thin learning curve are load-bearing, because the mechanism forecast exactly that they would come up weak</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framework thus loads interpretive weight onto null results wherever the theory forecast a null, which is what lets the joint pattern, strong venue, flat time, thin curve, run as a coherent signature instead of a jumble of hits and misses. A theory that a null in the right place can corroborate is a more demanding theory than one needing every coefficient to fire, and it is the kind the design signs up for on purpose</w:t>
      </w:r>
      <w:r>
        <w:t xml:space="preserve"> </w:t>
      </w:r>
      <w:hyperlink w:anchor="ref-10">
        <w:r>
          <w:rPr>
            <w:rStyle w:val="Hyperlink"/>
          </w:rPr>
          <w:t xml:space="preserve">[10]</w:t>
        </w:r>
      </w:hyperlink>
      <w:r>
        <w:t xml:space="preserve">.</w:t>
      </w:r>
    </w:p>
    <w:p>
      <w:pPr>
        <w:pStyle w:val="BodyText"/>
        <w:spacing w:line="480" w:lineRule="auto"/>
        <w:ind w:firstLine="720"/>
      </w:pPr>
      <w:r>
        <w:t xml:space="preserve">Chapter 6 reports what the ladder hands back, rung by rung.</w:t>
      </w:r>
    </w:p>
    <w:bookmarkEnd w:id="89"/>
    <w:bookmarkEnd w:id="90"/>
    <w:bookmarkStart w:id="101"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walks through the two estimators, the case for each, and, before anything else, what each one can and cannot pin down. The dissertation’s credibility hangs on that last item. A regression coefficient is worth only as much as the claim it is drafted to prop up, and a great deal of shoddy inference in early space-policy work traces to asking a corpus screen to haul a causal load it was never engineered to bear. The method here runs spartan on purpose: two well-worn estimators, robust standard errors, and an unbending rule that interpretation stays penned inside the corpus.</w:t>
      </w:r>
    </w:p>
    <w:bookmarkStart w:id="91" w:name="Xdb11c7176c342b501fb4d2916521948ad719b0f"/>
    <w:p>
      <w:pPr>
        <w:pStyle w:val="Heading2"/>
        <w:spacing w:line="480" w:lineRule="auto"/>
      </w:pPr>
      <w:r>
        <w:t xml:space="preserve">Why ordinary least squares, and what it identifies</w:t>
      </w:r>
    </w:p>
    <w:p>
      <w:pPr>
        <w:pStyle w:val="FirstParagraph"/>
        <w:spacing w:line="480" w:lineRule="auto"/>
      </w:pPr>
      <w:r>
        <w:t xml:space="preserve">Paper 1 turns to ordinary least squares to model topic-signal intensity as a linear function of three predictors, a recency index, a citation count, and an ordinal venue-family score. Reaching for OLS is no offhand pick. The outcome, a topic-signal score, is a bounded count that runs close enough to continuous across its observed span that a linear model is the honest opening cut, and OLS wears its transparency on its sleeve. Every coefficient is a partial association, every standard error opens to inspection, and the whole fit rebuilds from the data file for anyone who smells a rat. The specification regresses the signal score on all three predictors together, so each coefficient reads as the association of one feature while the other two are held still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identification claim runs modest and exact. OLS here pins down conditional associations inside the retrieved corpus, not causal effects on program cost. When the venue coefficient lands large and tightly estimated, the right reading is that topic-signal intensity splits systematically across venue families in the retained record, conditioning on recency and citation attention. That is a statement about the shape of the corpus. It graduates into a statement about modularity’s hidden cost only across the theoretical bridge laid in Chapter 3, which forecast that interoperation-heavy venues should haul the signal, and even then it stays a documentary finding still waiting on mission-level confirmation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Robust HC1 standard errors run throughout. With thirty mismatched records dredged from three quite different venue families, homoskedasticity is no safe bet, and the economic-venue records especially carry a squeezed signal-score span that would otherwise warp the classical error estimates. HC1 patches that heteroskedasticity without forcing a variance structure the data cannot underwrite, and it keeps the inference cautious, which fits a design that would sooner undersell than oversell what the corpus shows</w:t>
      </w:r>
      <w:r>
        <w:t xml:space="preserve"> </w:t>
      </w:r>
      <w:hyperlink w:anchor="ref-4">
        <w:r>
          <w:rPr>
            <w:rStyle w:val="Hyperlink"/>
          </w:rPr>
          <w:t xml:space="preserve">[4]</w:t>
        </w:r>
      </w:hyperlink>
      <w:r>
        <w:t xml:space="preserve">.</w:t>
      </w:r>
    </w:p>
    <w:bookmarkEnd w:id="91"/>
    <w:bookmarkStart w:id="92" w:name="Xbdaad8701609888d59719e5ee413a036b2ed271"/>
    <w:p>
      <w:pPr>
        <w:pStyle w:val="Heading2"/>
        <w:spacing w:line="480" w:lineRule="auto"/>
      </w:pPr>
      <w:r>
        <w:t xml:space="preserve">Why a learning curve, and what it identifies</w:t>
      </w:r>
    </w:p>
    <w:p>
      <w:pPr>
        <w:pStyle w:val="FirstParagraph"/>
        <w:spacing w:line="480" w:lineRule="auto"/>
      </w:pPr>
      <w:r>
        <w:t xml:space="preserve">Paper 2 pivots from cross-sectional structure to accumulation over time. It fits a log-log learning-curve model of citation count against article age, regressing the natural log of citations-plus-one on the natural log of an age index. The log-log form is the standard learning-curve specification, and it wins the slot for a pointed reason. The slope coefficient is an elasticity, read straight off as the percentage change in accumulated attention per percentage change in age, and it maps onto a progress-ratio reading familiar from cost-accumulation analysis</w:t>
      </w:r>
      <w:r>
        <w:t xml:space="preserve"> </w:t>
      </w:r>
      <w:hyperlink w:anchor="ref-5">
        <w:r>
          <w:rPr>
            <w:rStyle w:val="Hyperlink"/>
          </w:rPr>
          <w:t xml:space="preserve">[5]</w:t>
        </w:r>
      </w:hyperlink>
      <w:r>
        <w:t xml:space="preserve">. Citations-plus-one steps in for raw citations so the many uncited records in the corpus stay in the estimation instead of dropping out under the log transform. Strip the plus-one and the domain-awareness and economic records with zero reported citations go undefined, the sample shrinks to the minority of cited papers, and the result tips toward the better-cited venues.</w:t>
      </w:r>
    </w:p>
    <w:p>
      <w:pPr>
        <w:pStyle w:val="BodyText"/>
        <w:spacing w:line="480" w:lineRule="auto"/>
        <w:ind w:firstLine="720"/>
      </w:pPr>
      <w:r>
        <w:t xml:space="preserve">What the learning curve pins down is whether attention in this literature piles up with age along a measurable track. A precise negative elasticity would say younger records already haul disproportionate attention, an odd and intriguing pattern; a precise value near a canonical progress ratio would say the field gathers citations in a ripened, orderly way; a fuzzy coefficient would say the corpus holds no clear age-based attention structure at all. The estimator cannot, on its own, split a genuine attention dynamic from citation-age mechanics, which is the exact reason it rides paired with the cross-sectional model rather than solo. The two estimators triangulate: structure minus maturity reads very differently from structure plus maturity, and only running both drags that split into view</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92"/>
    <w:bookmarkStart w:id="93" w:name="the-identifying-logic-of-the-pairing"/>
    <w:p>
      <w:pPr>
        <w:pStyle w:val="Heading2"/>
        <w:spacing w:line="480" w:lineRule="auto"/>
      </w:pPr>
      <w:r>
        <w:t xml:space="preserve">The identifying logic of the pairing</w:t>
      </w:r>
    </w:p>
    <w:p>
      <w:pPr>
        <w:pStyle w:val="FirstParagraph"/>
        <w:spacing w:line="480" w:lineRule="auto"/>
      </w:pPr>
      <w:r>
        <w:t xml:space="preserve">The core of the identification strategy is not either estimator alone but the contrast striking between them. Run through the four possible outcomes. Muscular cross-sectional structure alongside a muscular learning curve would flag a ripened field arrayed around canonical work, and the dissertation would spin a diffusion story. Thin structure alongside a thin curve would flag a topic that simply reads illegible in the record, and the dissertation would file a null and halt. Thin structure alongside a muscular curve would resist reading and would kick the analysis back to the data. Muscular structure alongside a thin curve, the outcome the theory forecast, flags a topic whose coordination cost is a real, scattered design worry that the literature is hammering out in practice quicker than it consolidates in citation</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That last pattern reads identifiable only because both models run and get reported. A lone regression could never split it from the others. This is the sense in which the design pins the effect down. It stakes no causal estimate of cost, and it does nail which of several qualitatively distinct corpus states the record actually sits in, and it does so under a pre-committed theoretical prediction about which state the hidden-cost mechanism implies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93"/>
    <w:bookmarkStart w:id="94" w:name="Xc16fcfb7c856cae6eebdf9f7739c43d16f7ff3b"/>
    <w:p>
      <w:pPr>
        <w:pStyle w:val="Heading2"/>
        <w:spacing w:line="480" w:lineRule="auto"/>
      </w:pPr>
      <w:r>
        <w:t xml:space="preserve">Threats the estimators cannot fix by themselves</w:t>
      </w:r>
    </w:p>
    <w:p>
      <w:pPr>
        <w:pStyle w:val="FirstParagraph"/>
        <w:spacing w:line="480" w:lineRule="auto"/>
      </w:pPr>
      <w:r>
        <w:t xml:space="preserve">No estimator mends a biased sample, and the honest spot to admit that is right here, ahead of the results. Should the retrieval have systematically over-weighted one venue family, the venue coefficient would mirror that rather than any substance. OLS cannot sniff this out; only inspection of the retrieval and the variable construction can, which is why Chapter 5 documents both down to the detail. In the same vein, the learning-curve model cannot part real attention dynamics from the mechanical drift of older papers toward gathering citations; it can only report the elasticity and leave the reading duly hedged. And neither model can wave off the worry that the deterministic topic-signal score, built from term hits in title, snippet, keyword, and author fields, gauges metadata richness as much as substantive massing. These are no defects begging apology. They are the identified boundary of the design, and naming them exactly is what lets the results in Chapter 6 be read for precisely as much as they are worth</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94"/>
    <w:bookmarkStart w:id="95" w:name="X1d2ccc38c7fc049ac990104efe57c778e88e719"/>
    <w:p>
      <w:pPr>
        <w:pStyle w:val="Heading2"/>
        <w:spacing w:line="480" w:lineRule="auto"/>
      </w:pPr>
      <w:r>
        <w:t xml:space="preserve">The specification choices, defended one at a time</w:t>
      </w:r>
    </w:p>
    <w:p>
      <w:pPr>
        <w:pStyle w:val="FirstParagraph"/>
        <w:spacing w:line="480" w:lineRule="auto"/>
      </w:pPr>
      <w:r>
        <w:t xml:space="preserve">Every modeling choice in a small-sample design marks a spot where a critic can lean, so the main ones repay an explicit defense rather than a posture of inevitability. The call to enter all three predictors together, instead of running three bivariate regressions, falls out of the theory. The mechanism forecasts that venue hauls structure conditional on recency and attention, so the estimator has to hold recency and citation count still while reading the venue coefficient. A bivariate venue regression would tangle the venue effect with the plain fact that venue families differ in their typical recency and citation levels, and the joint specification is what lets the venue coefficient read as the partial association the hypothesis is actually chasing</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call to keep the venue score ordinal rather than blow it out into indicator variables is a bow to sample size. With thirty records split across three families, a full set of venue dummies would burn degrees of freedom the design cannot spare, and the theoretical ordering, applied surveillance nearest the interface, economic framing farthest from it, lends the ordinal scale genuine content. The price of the call is that the venue coefficient reads as an average per-step effect rather than as three distinct family means, and Chapter 6 reads it accordingly, as a gradient rather than a constant. The design swallows that trade because the gradient is what the mechanism forecasts and because the sample cannot underwrite the richer specification with any precision</w:t>
      </w:r>
      <w:r>
        <w:t xml:space="preserve"> </w:t>
      </w:r>
      <w:hyperlink w:anchor="ref-3">
        <w:r>
          <w:rPr>
            <w:rStyle w:val="Hyperlink"/>
          </w:rPr>
          <w:t xml:space="preserve">[3]</w:t>
        </w:r>
      </w:hyperlink>
      <w:r>
        <w:t xml:space="preserve">.</w:t>
      </w:r>
    </w:p>
    <w:p>
      <w:pPr>
        <w:pStyle w:val="BodyText"/>
        <w:spacing w:line="480" w:lineRule="auto"/>
        <w:ind w:firstLine="720"/>
      </w:pPr>
      <w:r>
        <w:t xml:space="preserve">The call to use citations-plus-one in the learning curve, rather than junking uncited records, is the choice with the heaviest hand in what the second model can see. Roughly half the corpus reports zero citations in the local index, bunched in the AMOS and economic families. Junking them would pen Paper 2 to the</w:t>
      </w:r>
      <w:r>
        <w:t xml:space="preserve"> </w:t>
      </w:r>
      <w:r>
        <w:rPr>
          <w:i/>
          <w:iCs/>
        </w:rPr>
        <w:t xml:space="preserve">Acta Astronautica</w:t>
      </w:r>
      <w:r>
        <w:t xml:space="preserve"> </w:t>
      </w:r>
      <w:r>
        <w:t xml:space="preserve">records and flip a corpus-wide learning curve into a within-one-venue attention model, tipping the result toward the best-cited community and demolishing the cross-venue comparison the design leans on. The plus-one transform holds every record in the estimation at the price of squeezing the low end of the citation distribution, and the design swallows that squeeze as the cost of a complete sample</w:t>
      </w:r>
      <w:r>
        <w:t xml:space="preserve"> </w:t>
      </w:r>
      <w:hyperlink w:anchor="ref-5">
        <w:r>
          <w:rPr>
            <w:rStyle w:val="Hyperlink"/>
          </w:rPr>
          <w:t xml:space="preserve">[5]</w:t>
        </w:r>
      </w:hyperlink>
      <w:r>
        <w:t xml:space="preserve">.</w:t>
      </w:r>
    </w:p>
    <w:bookmarkEnd w:id="95"/>
    <w:bookmarkStart w:id="96" w:name="Xae526516add0183018dd310003f799bc9d0c19d"/>
    <w:p>
      <w:pPr>
        <w:pStyle w:val="Heading2"/>
        <w:spacing w:line="480" w:lineRule="auto"/>
      </w:pPr>
      <w:r>
        <w:t xml:space="preserve">Falsifiability as the organizing criterion</w:t>
      </w:r>
    </w:p>
    <w:p>
      <w:pPr>
        <w:pStyle w:val="FirstParagraph"/>
        <w:spacing w:line="480" w:lineRule="auto"/>
      </w:pPr>
      <w:r>
        <w:t xml:space="preserve">The estimators did not win their slots for statistical elegance. They won because together they render the dissertation’s single contribution falsifiable in a way a reader can check. Falsifiability here is no slogan; it is a concrete property of the design. The theory forecasts a specific joint pattern, structure in venue, no structure in time, and a thin learning curve, and each of those forecasts could crumble on its own. A significant recency coefficient would sink the claim that the cost is intrinsic rather than freshly discovered. A flat venue coefficient would sink the core mechanism. A muscular learning curve would hint at a ripened consensus field and kick the reading back for revision. The design is arranged so the world held many ways to declare the theory wrong</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That arrangement is what parts this from a fishing trip. A model run with no prior forecast can always turn up something to report, and its findings mean little because any pattern would have been trumpeted as a result. Pledging beforehand where the structure should park, and where it should not, flips the estimator output from a menu of possible tales into a test with a hard pass-fail spine. The worth of the results in Chapter 6 rides wholly on the fact that the forecasts came before the estimation and could have landed otherwise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6"/>
    <w:bookmarkStart w:id="97" w:name="X7fcc015f6b055205c25de8ac6c6f869acdcdd0b"/>
    <w:p>
      <w:pPr>
        <w:pStyle w:val="Heading2"/>
        <w:spacing w:line="480" w:lineRule="auto"/>
      </w:pPr>
      <w:r>
        <w:t xml:space="preserve">Standard errors and the small-sample inference regime</w:t>
      </w:r>
    </w:p>
    <w:p>
      <w:pPr>
        <w:pStyle w:val="FirstParagraph"/>
        <w:spacing w:line="480" w:lineRule="auto"/>
      </w:pPr>
      <w:r>
        <w:t xml:space="preserve">The choice of robust HC1 standard errors tangles with the small sample in ways worth teasing out, since inference on thirty records is a regime where the error estimate weighs as much as the point estimate. HC1 lays a finite-sample correction over the heteroskedasticity-consistent covariance estimate, scaling by a factor that reckons the number of parameters against the sample size. On thirty records fitted with a constant and three slopes, that correction is nothing trivial, and running the uncorrected form would undersell the standard errors and oversell the precision of the coefficients. The design pockets the more cautious HC1 estimate on purpose, because a corpus screen ought to lean toward wariness about what it claims to have nailed precisely</w:t>
      </w:r>
      <w:r>
        <w:t xml:space="preserve"> </w:t>
      </w:r>
      <w:hyperlink w:anchor="ref-4">
        <w:r>
          <w:rPr>
            <w:rStyle w:val="Hyperlink"/>
          </w:rPr>
          <w:t xml:space="preserve">[4]</w:t>
        </w:r>
      </w:hyperlink>
      <w:r>
        <w:t xml:space="preserve">.</w:t>
      </w:r>
    </w:p>
    <w:p>
      <w:pPr>
        <w:pStyle w:val="BodyText"/>
        <w:spacing w:line="480" w:lineRule="auto"/>
        <w:ind w:firstLine="720"/>
      </w:pPr>
      <w:r>
        <w:t xml:space="preserve">The regime bends how the results should be read across the two models. In Paper 1, the venue coefficient clears any conventional bar by many orders of magnitude, so the small-sample wariness poses it no threat; a p-value on the order of ten to the negative thirteenth shrugs off the finite-sample correction. The citation coefficient, perched just past the five-percent bar, sits exactly where small-sample inference turns most brittle, and the dissertation’s refusal to round it up into significance is the right answer to that brittleness</w:t>
      </w:r>
      <w:r>
        <w:t xml:space="preserve"> </w:t>
      </w:r>
      <w:hyperlink w:anchor="ref-1">
        <w:r>
          <w:rPr>
            <w:rStyle w:val="Hyperlink"/>
          </w:rPr>
          <w:t xml:space="preserve">[1]</w:t>
        </w:r>
      </w:hyperlink>
      <w:r>
        <w:t xml:space="preserve">. In Paper 2, the whole model camps in the brittle regime, saddled with a low R-squared and a fuzzy slope, and the design reads it as testimony against a muscular temporal account rather than an estimate to lean on</w:t>
      </w:r>
      <w:r>
        <w:t xml:space="preserve"> </w:t>
      </w:r>
      <w:hyperlink w:anchor="ref-5">
        <w:r>
          <w:rPr>
            <w:rStyle w:val="Hyperlink"/>
          </w:rPr>
          <w:t xml:space="preserve">[5]</w:t>
        </w:r>
      </w:hyperlink>
      <w:r>
        <w:t xml:space="preserve">. Sizing the strength of each claim to the sturdiness of its estimate under this inference regime is no timidity. It is the discipline the sample size extracts.</w:t>
      </w:r>
    </w:p>
    <w:bookmarkEnd w:id="97"/>
    <w:bookmarkStart w:id="98" w:name="why-not-a-more-elaborate-model"/>
    <w:p>
      <w:pPr>
        <w:pStyle w:val="Heading2"/>
        <w:spacing w:line="480" w:lineRule="auto"/>
      </w:pPr>
      <w:r>
        <w:t xml:space="preserve">Why not a more elaborate model</w:t>
      </w:r>
    </w:p>
    <w:p>
      <w:pPr>
        <w:pStyle w:val="FirstParagraph"/>
        <w:spacing w:line="480" w:lineRule="auto"/>
      </w:pPr>
      <w:r>
        <w:t xml:space="preserve">A reader might press on why the design does not reach for a fancier estimator, a count model for the signal score, a mixed model with venue random effects, or a survival specification for citation timing. The answer is that sophistication the sample cannot underwrite runs as a liability, not a virtue. A count or mixed model would burn degrees of freedom and load on distributional assumptions that thirty mismatched records cannot vouch for, swapping a transparent, checkable result for a murky one whose apparent precision would be borrowed off the assumptions rather than earned off the data</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spartan estimators won their slots precisely because their assumptions run minimal and their output opens to inspection line by line, which is what a falsifiable, reproducible corpus screen demands.</w:t>
      </w:r>
    </w:p>
    <w:p>
      <w:pPr>
        <w:pStyle w:val="BodyText"/>
        <w:spacing w:line="480" w:lineRule="auto"/>
        <w:ind w:firstLine="720"/>
      </w:pPr>
      <w:r>
        <w:t xml:space="preserve">There is a deeper principle at work about sizing method to evidentiary purpose. The aim is not to wring the maximum possible signal out of thirty records; it is to make one honest, checkable claim and to chalk clearly where the evidence gives out. An elaborate model optimizes for the former and sabotages the latter, since its complexity smears the boundary between what the data show and what the specification presumes. The ordinary least squares screen and the learning curve keep that boundary in plain view, and keeping it in plain view is the whole point of a design-stage inquiry that means to hand a sharpened, well-aimed hypothesis to a successor holding better data</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98"/>
    <w:bookmarkStart w:id="99" w:name="X3d73bef62037f226bbbc78744ae7c4f3ca68115"/>
    <w:p>
      <w:pPr>
        <w:pStyle w:val="Heading2"/>
        <w:spacing w:line="480" w:lineRule="auto"/>
      </w:pPr>
      <w:r>
        <w:t xml:space="preserve">Identification without a natural experiment</w:t>
      </w:r>
    </w:p>
    <w:p>
      <w:pPr>
        <w:pStyle w:val="FirstParagraph"/>
        <w:spacing w:line="480" w:lineRule="auto"/>
      </w:pPr>
      <w:r>
        <w:t xml:space="preserve">It repays candor to name what kind of identification this design has and lacks. It has no natural experiment, no instrument, no discontinuity, none of the machinery that lets an observational study lay claim to causal identification. What it has is a pre-committed structural forecast tried against a transparent regression, which pins down the location of structure in the corpus rather than a causal effect on cost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a weaker breed of identification, and calling it by its right name is part of the discipline. The venue coefficient pins down where the topic signal masses, conditional on the other predictors, and the theoretical argument, not the estimator, ferries the reading from that location to the coordination-cost mechanism.</w:t>
      </w:r>
    </w:p>
    <w:p>
      <w:pPr>
        <w:pStyle w:val="BodyText"/>
        <w:spacing w:line="480" w:lineRule="auto"/>
        <w:ind w:firstLine="720"/>
      </w:pPr>
      <w:r>
        <w:t xml:space="preserve">This candor about the identification regime is what keeps the results usable rather than brittle. A design that oversold causal identification off an ordinary least squares screen on thirty documents would invite a refutation it could never outlast. A design that claims exactly what it holds, structural location under a committed forecast, paired with a theory that says why that location counts, stakes a claim sized to its evidence</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The successor study holding mission data can furnish the stronger identification this design goes without; the design’s assignment is to hand that study a sharpened target, and pinning the location of the signal precisely is how it delivers.</w:t>
      </w:r>
    </w:p>
    <w:bookmarkEnd w:id="99"/>
    <w:bookmarkStart w:id="100" w:name="X9b8c5f9b189975acf3f102d59962be7442dcfae"/>
    <w:p>
      <w:pPr>
        <w:pStyle w:val="Heading2"/>
        <w:spacing w:line="480" w:lineRule="auto"/>
      </w:pPr>
      <w:r>
        <w:t xml:space="preserve">Reproducibility as a methodological commitment</w:t>
      </w:r>
    </w:p>
    <w:p>
      <w:pPr>
        <w:pStyle w:val="FirstParagraph"/>
        <w:spacing w:line="480" w:lineRule="auto"/>
      </w:pPr>
      <w:r>
        <w:t xml:space="preserve">One further methodological choice earns a spotlight. Every number in this dissertation is a workbook result. The data files carry a source column for every row; the estimators run standard and their outputs report to full precision; the variable construction runs deterministic, so the same retrieved records mint the same rows every time. This is no ornament. It is what renders the falsifiable contribution actually falsifiable. A doubting reader can reopen the data, rerun the OLS and the learning curve, and check every coefficient against Chapter 6.</w:t>
      </w:r>
    </w:p>
    <w:p>
      <w:pPr>
        <w:pStyle w:val="BodyText"/>
        <w:spacing w:line="480" w:lineRule="auto"/>
        <w:ind w:firstLine="720"/>
      </w:pPr>
      <w:r>
        <w:t xml:space="preserve">That commitment molds how the results chapter reads as much as how the analysis runs. Chapter 6 lays down every coefficient, standard error, and p-value to full precision rather than rounding to a tidy count of digits, because rounding is a small act of interpretation a reproducible design should leave to the reader</w:t>
      </w:r>
      <w:r>
        <w:t xml:space="preserve"> </w:t>
      </w:r>
      <w:hyperlink w:anchor="ref-5">
        <w:r>
          <w:rPr>
            <w:rStyle w:val="Hyperlink"/>
          </w:rPr>
          <w:t xml:space="preserve">[5]</w:t>
        </w:r>
      </w:hyperlink>
      <w:r>
        <w:t xml:space="preserve">. The full-precision reporting reads pedantic on the page, and it is the visible shape of the commitment: a number handed over to fifteen digits is a number the analyst cannot have doctored, and a reader who reruns the workbook will match it dead-on or turn up a discrepancy worth chasing. The spartan estimators and the precise reporting are two faces of one discipline, which is to make the analysis a thing that can be checked rather than a thing that has to be trusted</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method is picked so that disagreement, should it come, has to fall on interpretation or on the data, never on whether the numbers are what the dissertation says they are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00"/>
    <w:bookmarkEnd w:id="101"/>
    <w:bookmarkStart w:id="112" w:name="chapter-5.-data-and-measurement"/>
    <w:p>
      <w:pPr>
        <w:pStyle w:val="Heading1"/>
        <w:spacing w:line="480" w:lineRule="auto"/>
      </w:pPr>
      <w:r>
        <w:t xml:space="preserve">Chapter 5. Data and Measurement</w:t>
      </w:r>
    </w:p>
    <w:p>
      <w:pPr>
        <w:pStyle w:val="FirstParagraph"/>
        <w:spacing w:line="480" w:lineRule="auto"/>
      </w:pPr>
      <w:r>
        <w:t xml:space="preserve">The dataset runs small, deliberately open to inspection, and traceable end to end. It holds thirty retrieved source records, each one a genuine document carrying a preserved source identifier, and each variable gets built off observable fields by a deterministic rule. This chapter walks through where the records come from, how each variable gets constructed, and what the construction can and cannot stand for. The detail is no ceremony. A design that asks a thirty-row corpus to prop up a falsifiable claim owes the reader a full accounting of what those thirty rows actually are.</w:t>
      </w:r>
    </w:p>
    <w:bookmarkStart w:id="102" w:name="the-records-and-their-provenance"/>
    <w:p>
      <w:pPr>
        <w:pStyle w:val="Heading2"/>
        <w:spacing w:line="480" w:lineRule="auto"/>
      </w:pPr>
      <w:r>
        <w:t xml:space="preserve">The records and their provenance</w:t>
      </w:r>
    </w:p>
    <w:p>
      <w:pPr>
        <w:pStyle w:val="FirstParagraph"/>
        <w:spacing w:line="480" w:lineRule="auto"/>
      </w:pPr>
      <w:r>
        <w:t xml:space="preserve">The thirty records straddle three venue families that map onto three separate conversations about lunar systems. The first family is the AMOS conference literature, the applied space-domain-awareness and surveillance community, which coughs up records on lunar surface observatories, cislunar sensing, hybrid surface-and-space situational awareness, and lunar debris evolution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These sources park nearest the operational reality of distributed lunar sensing, where modular architecture and coordination cost are engineering problems lived rather than theorized. Each AMOS record hangs onto its source URL or DOI in the data file, so the provenance checks out down to the individual paper.</w:t>
      </w:r>
    </w:p>
    <w:p>
      <w:pPr>
        <w:pStyle w:val="BodyText"/>
        <w:spacing w:line="480" w:lineRule="auto"/>
        <w:ind w:firstLine="720"/>
      </w:pPr>
      <w:r>
        <w:t xml:space="preserve">The second family is the</w:t>
      </w:r>
      <w:r>
        <w:t xml:space="preserve"> </w:t>
      </w:r>
      <w:r>
        <w:rPr>
          <w:i/>
          <w:iCs/>
        </w:rPr>
        <w:t xml:space="preserve">Acta Astronautica</w:t>
      </w:r>
      <w:r>
        <w:t xml:space="preserve"> </w:t>
      </w:r>
      <w:r>
        <w:t xml:space="preserve">peer-reviewed literature, which drags in the systems-engineering and governance conversation: architectural solutions for lunar space traffic management, in-orbit servicing operations in the traffic-management context, controlled user studies of situational awareness in ISRU design, modular mechatronics for planetary exploration, in-orbit assembly of modular infrastructure, and lunar navigation constellation design</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These records tote DOIs and reported citation counts, and they are where the coordination-cost mechanism gets aired most openly, since peer-reviewed systems work has to make the case for interface and integration choices in detail.</w:t>
      </w:r>
    </w:p>
    <w:p>
      <w:pPr>
        <w:pStyle w:val="BodyText"/>
        <w:spacing w:line="480" w:lineRule="auto"/>
        <w:ind w:firstLine="720"/>
      </w:pPr>
      <w:r>
        <w:t xml:space="preserve">The third family is a clutch of space-economy records, roadmaps and economic-forecasting documents on the space economy, circular-economy takes on sustainability, and orbital-resource lifecycle assessment. These get coded as the highest venue-family value and are, revealingly, the records wearing the thinnest metadata: no keyword counts, no citation counts, barely any snippet text. That thinness is no flaw in the data. It is data. It mirrors a genuine gap in how the economic conversation about space gets documented against the technical conversations, and the analysis is rigged to drag that gap into view rather than paint over it.</w:t>
      </w:r>
    </w:p>
    <w:bookmarkEnd w:id="102"/>
    <w:bookmarkStart w:id="103" w:name="constructing-the-topic-signal-score"/>
    <w:p>
      <w:pPr>
        <w:pStyle w:val="Heading2"/>
        <w:spacing w:line="480" w:lineRule="auto"/>
      </w:pPr>
      <w:r>
        <w:t xml:space="preserve">Constructing the topic-signal score</w:t>
      </w:r>
    </w:p>
    <w:p>
      <w:pPr>
        <w:pStyle w:val="FirstParagraph"/>
        <w:spacing w:line="480" w:lineRule="auto"/>
      </w:pPr>
      <w:r>
        <w:t xml:space="preserve">The outcome variable, the topic-signal score, is a deterministic tally of candidate-theme term hits across four fields of each record: the title, the retrieved snippet, the keyword field, and the author metadata. The rule locks in beforehand and lands identically on every record, so the same retrieved records always mint the same score. In the data, the score spans a floor of 1, for the metadata-thin economic records, up to 14 for the domain-awareness and modular-systems records that flood the theme fields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construction wears one obvious property the analysis works rather than buries: records fatter in metadata offer more surface for term hits, so the score partly gauges how thoroughly a record got documented. Chapter 7 circles back to this as a validity threat. Here the point that counts is that the score reproduces and its lean on metadata richness reads transparent straight off the field structure.</w:t>
      </w:r>
    </w:p>
    <w:p>
      <w:pPr>
        <w:pStyle w:val="BodyText"/>
        <w:spacing w:line="480" w:lineRule="auto"/>
        <w:ind w:firstLine="720"/>
      </w:pPr>
      <w:r>
        <w:t xml:space="preserve">The score stakes no claim about the content of any single paper. A domain-awareness paper scoring 13 is not thereby weightier than an economic roadmap scoring 1. The score gauges how hard the modularity-and-cost theme rings through the retrievable metadata of each record, which is exactly the quantity the cross-sectional hypothesis is chasing.</w:t>
      </w:r>
    </w:p>
    <w:bookmarkEnd w:id="103"/>
    <w:bookmarkStart w:id="104" w:name="the-three-predictors"/>
    <w:p>
      <w:pPr>
        <w:pStyle w:val="Heading2"/>
        <w:spacing w:line="480" w:lineRule="auto"/>
      </w:pPr>
      <w:r>
        <w:t xml:space="preserve">The three predictors</w:t>
      </w:r>
    </w:p>
    <w:p>
      <w:pPr>
        <w:pStyle w:val="FirstParagraph"/>
        <w:spacing w:line="480" w:lineRule="auto"/>
      </w:pPr>
      <w:r>
        <w:t xml:space="preserve">The recency index gets reckoned as the publication year minus the minimum publication year in the sample plus one, so the oldest record in the set takes the value 1 and fresher records take larger values. In this corpus the records run from 2017 through 2026, handing a recency index from 1 to 10. The construction runs monotone and mechanical, which is what the identification in Chapter 4 demands: recency is a clean stand-in for novelty in the sample, with no discretionary coding anywhere.</w:t>
      </w:r>
    </w:p>
    <w:p>
      <w:pPr>
        <w:pStyle w:val="BodyText"/>
        <w:spacing w:line="480" w:lineRule="auto"/>
        <w:ind w:firstLine="720"/>
      </w:pPr>
      <w:r>
        <w:t xml:space="preserve">The citation count gets parsed straight off the local index’s reported citations field, dropped to zero where the index reported no count. This weighs on interpretation. Plenty of AMOS and economic records report zero citations in the local index, while the peer-reviewed</w:t>
      </w:r>
      <w:r>
        <w:t xml:space="preserve"> </w:t>
      </w:r>
      <w:r>
        <w:rPr>
          <w:i/>
          <w:iCs/>
        </w:rPr>
        <w:t xml:space="preserve">Acta Astronautica</w:t>
      </w:r>
      <w:r>
        <w:t xml:space="preserve"> </w:t>
      </w:r>
      <w:r>
        <w:t xml:space="preserve">records report counts running from 1 up to 35 for the most-cited servicing paper</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zeros are no missing data in the usual sense; they are the index’s report, and they get held rather than imputed so the variable stays faithful to what the corpus genuinely holds. For the learning-curve model this gets handled by the citations-plus-one transform documented in Chapter 4, which holds every record in the estimation.</w:t>
      </w:r>
    </w:p>
    <w:p>
      <w:pPr>
        <w:pStyle w:val="BodyText"/>
        <w:spacing w:line="480" w:lineRule="auto"/>
        <w:ind w:firstLine="720"/>
      </w:pPr>
      <w:r>
        <w:t xml:space="preserve">The venue-family score is an ordinal code: AMOS equals 1,</w:t>
      </w:r>
      <w:r>
        <w:t xml:space="preserve"> </w:t>
      </w:r>
      <w:r>
        <w:rPr>
          <w:i/>
          <w:iCs/>
        </w:rPr>
        <w:t xml:space="preserve">Acta Astronautica</w:t>
      </w:r>
      <w:r>
        <w:t xml:space="preserve"> </w:t>
      </w:r>
      <w:r>
        <w:t xml:space="preserve">equals 2, space-economy equals 3. The ordering is no arbitrary throw, and it is no interval scale either, and the dissertation treats it accordingly, reading the venue coefficient as evidence of structured difference across families rather than a constant per-unit effect. The three families genuinely split in their relationship to the coordination-cost mechanism, applied surveillance, peer-reviewed systems engineering, and economic framing, so the venue code totes real conceptual content, and it stays an ordinal stand-in the interpretation never lets slip.</w:t>
      </w:r>
    </w:p>
    <w:bookmarkEnd w:id="104"/>
    <w:bookmarkStart w:id="105" w:name="two-estimation-files-one-corpus"/>
    <w:p>
      <w:pPr>
        <w:pStyle w:val="Heading2"/>
        <w:spacing w:line="480" w:lineRule="auto"/>
      </w:pPr>
      <w:r>
        <w:t xml:space="preserve">Two estimation files, one corpus</w:t>
      </w:r>
    </w:p>
    <w:p>
      <w:pPr>
        <w:pStyle w:val="FirstParagraph"/>
        <w:spacing w:line="480" w:lineRule="auto"/>
      </w:pPr>
      <w:r>
        <w:t xml:space="preserve">The same thirty records feed both papers, and the two data files diverge in the variables they carry, since the two estimators chase different questions. Paper 1’s file carries the topic-signal score, the recency index, the citation count, and the venue score, alongside the intermediate fields, title words, snippet words, keyword count, and theme hits, that keep the signal-score construction auditable. Paper 2’s file carries an age index, reckoned as 2026 minus the publication year plus one, and the citations-plus-one outcome. The age index runs from 1 for the 2026 record to 10 for the 2017 record, the mirror image of the recency index, which is the natural frame for a learning curve where older means more time to gather attention</w:t>
      </w:r>
      <w:r>
        <w:t xml:space="preserve"> </w:t>
      </w:r>
      <w:hyperlink w:anchor="ref-5">
        <w:r>
          <w:rPr>
            <w:rStyle w:val="Hyperlink"/>
          </w:rPr>
          <w:t xml:space="preserve">[5]</w:t>
        </w:r>
      </w:hyperlink>
      <w:r>
        <w:t xml:space="preserve">.</w:t>
      </w:r>
    </w:p>
    <w:p>
      <w:pPr>
        <w:pStyle w:val="BodyText"/>
        <w:spacing w:line="480" w:lineRule="auto"/>
        <w:ind w:firstLine="720"/>
      </w:pPr>
      <w:r>
        <w:t xml:space="preserve">Holding the two files aligned to the same underlying records is what lets the two estimators triangulate. A reader can chase a single document, say the 2024 in-orbit servicing paper with 35 reported citations, through both files. In Paper 1 it turns up with venue score 2 and a topic-signal score of 7; in Paper 2 it turns up with age index 3 and citations-plus-one of 36</w:t>
      </w:r>
      <w:r>
        <w:t xml:space="preserve"> </w:t>
      </w:r>
      <w:hyperlink w:anchor="ref-10">
        <w:r>
          <w:rPr>
            <w:rStyle w:val="Hyperlink"/>
          </w:rPr>
          <w:t xml:space="preserve">[10]</w:t>
        </w:r>
      </w:hyperlink>
      <w:r>
        <w:t xml:space="preserve">. That breed of end-to-end traceability, from a named source through its constructed variables into the estimator, is the measurement discipline the whole design rides on.</w:t>
      </w:r>
    </w:p>
    <w:bookmarkEnd w:id="105"/>
    <w:bookmarkStart w:id="106" w:name="X6c2c2b6abeb7a471136ed2d35f70785aaeb7058"/>
    <w:p>
      <w:pPr>
        <w:pStyle w:val="Heading2"/>
        <w:spacing w:line="480" w:lineRule="auto"/>
      </w:pPr>
      <w:r>
        <w:t xml:space="preserve">Reading the distribution of the signal score</w:t>
      </w:r>
    </w:p>
    <w:p>
      <w:pPr>
        <w:pStyle w:val="FirstParagraph"/>
        <w:spacing w:line="480" w:lineRule="auto"/>
      </w:pPr>
      <w:r>
        <w:t xml:space="preserve">The topic-signal score refuses to spread evenly across the corpus, and its shape repays a close read, since that shape is what the cross-sectional model melts into a coefficient. The domain-awareness and modular-systems records bunch high, plenty at 13 or 14, mirroring titles, snippets, and keyword fields flooded with the sensing, interface, and coordination vocabulary the theme rule catches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1">
        <w:r>
          <w:rPr>
            <w:rStyle w:val="Hyperlink"/>
          </w:rPr>
          <w:t xml:space="preserve">[11]</w:t>
        </w:r>
      </w:hyperlink>
      <w:r>
        <w:t xml:space="preserve">. The peer-reviewed systems records park in a middle band, roughly 3 to 9, tall enough to ring the theme clearly yet short of the field saturation the applied surveillance papers reach</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economic records sit on the floor, a flat 1, since their aggregate metadata totes almost none of the interface-level language the rule tallies, in stark contrast to the coordination-dense applied records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three-tier shape is not stamped on; it drops out of the deterministic rule landing on the records as retrieved, and it is the empirical fact the venue coefficient boils down.</w:t>
      </w:r>
    </w:p>
    <w:p>
      <w:pPr>
        <w:pStyle w:val="BodyText"/>
        <w:spacing w:line="480" w:lineRule="auto"/>
        <w:ind w:firstLine="720"/>
      </w:pPr>
      <w:r>
        <w:t xml:space="preserve">Two records earn individual mention, since they gum up any lazy read of the tiers. A lunar-constellation delta-V paper scores only 5 despite parking in the applied family, because its subject is orbital mechanics rather than distributed sensing coordination, and an autonomous mission-planning paper scores 5 for the same breed of reason</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These within-family exceptions are exactly what one would expect if the score shadows proximity to the interface rather than venue membership on its own, and they get held rather than smoothed, since they are testimony that the signal trails the mechanism and not merely the venue label. The variable is doing conceptual work, not just sorting by source.</w:t>
      </w:r>
    </w:p>
    <w:bookmarkEnd w:id="106"/>
    <w:bookmarkStart w:id="107" w:name="provenance-discipline-and-its-limits"/>
    <w:p>
      <w:pPr>
        <w:pStyle w:val="Heading2"/>
        <w:spacing w:line="480" w:lineRule="auto"/>
      </w:pPr>
      <w:r>
        <w:t xml:space="preserve">Provenance discipline and its limits</w:t>
      </w:r>
    </w:p>
    <w:p>
      <w:pPr>
        <w:pStyle w:val="FirstParagraph"/>
        <w:spacing w:line="480" w:lineRule="auto"/>
      </w:pPr>
      <w:r>
        <w:t xml:space="preserve">Every row totes a source identifier, a URL for the conference records and a DOI for the journal and several economic records, and that identifier is the spine of the design’s reproducibility claim. A reader can grab any row, trail its source column to the original document, and check whether the constructed variables ring faithful to it. This end-to-end traceability from named source to constructed variable to estimator output is the property that renders the falsifiable contribution actually checkable rather than merely asserted</w:t>
      </w:r>
      <w:r>
        <w:t xml:space="preserve"> </w:t>
      </w:r>
      <w:hyperlink w:anchor="ref-3">
        <w:r>
          <w:rPr>
            <w:rStyle w:val="Hyperlink"/>
          </w:rPr>
          <w:t xml:space="preserve">[3]</w:t>
        </w:r>
      </w:hyperlink>
      <w:r>
        <w:t xml:space="preserve"> </w:t>
      </w:r>
      <w:hyperlink w:anchor="ref-7">
        <w:r>
          <w:rPr>
            <w:rStyle w:val="Hyperlink"/>
          </w:rPr>
          <w:t xml:space="preserve">[7]</w:t>
        </w:r>
      </w:hyperlink>
      <w:r>
        <w:t xml:space="preserve">. It is also the property that most parts a disciplined corpus screen from an impressionistic literature summary: nothing in the analysis floats loose of a document a doubter can crack open.</w:t>
      </w:r>
    </w:p>
    <w:p>
      <w:pPr>
        <w:pStyle w:val="BodyText"/>
        <w:spacing w:line="480" w:lineRule="auto"/>
        <w:ind w:firstLine="720"/>
      </w:pPr>
      <w:r>
        <w:t xml:space="preserve">The discipline wears a boundary that honesty demands naming here rather than tucking into Chapter 7. The citation counts are local-index measures, not universal citation counts, so a record’s reported zero means the local index turned up no count rather than that the paper goes uncited in the wider literature</w:t>
      </w:r>
      <w:r>
        <w:t xml:space="preserve"> </w:t>
      </w:r>
      <w:hyperlink w:anchor="ref-5">
        <w:r>
          <w:rPr>
            <w:rStyle w:val="Hyperlink"/>
          </w:rPr>
          <w:t xml:space="preserve">[5]</w:t>
        </w:r>
      </w:hyperlink>
      <w:r>
        <w:t xml:space="preserve">. The venue-family assignment is a coding decision, defensible and theoretically anchored and still a decision, and a different analyst might drop a borderline interdisciplinary paper into a different family. And the retrieval itself, the process that minted these thirty records rather than some other thirty, sits upstream of the data file and is not itself randomized. These are real limits on what the provenance discipline can promise. What it does promise is that, given the thirty records, every downstream step runs transparent and reproducible, which is the strongest claim a design-stage corpus screen can honestly stake</w:t>
      </w:r>
      <w:r>
        <w:t xml:space="preserve"> </w:t>
      </w:r>
      <w:hyperlink w:anchor="ref-9">
        <w:r>
          <w:rPr>
            <w:rStyle w:val="Hyperlink"/>
          </w:rPr>
          <w:t xml:space="preserve">[9]</w:t>
        </w:r>
      </w:hyperlink>
      <w:r>
        <w:t xml:space="preserve">.</w:t>
      </w:r>
    </w:p>
    <w:bookmarkEnd w:id="107"/>
    <w:bookmarkStart w:id="108" w:name="X40625f36a804ce47d222769edad92192e0022d7"/>
    <w:p>
      <w:pPr>
        <w:pStyle w:val="Heading2"/>
        <w:spacing w:line="480" w:lineRule="auto"/>
      </w:pPr>
      <w:r>
        <w:t xml:space="preserve">The citation distribution and its consequences</w:t>
      </w:r>
    </w:p>
    <w:p>
      <w:pPr>
        <w:pStyle w:val="FirstParagraph"/>
        <w:spacing w:line="480" w:lineRule="auto"/>
      </w:pPr>
      <w:r>
        <w:t xml:space="preserve">The reported citation counts earn a close look, since they are the most lopsided variable in the dataset and they drive the second model outright. Across the thirty records, the modal count is zero, bunched in the AMOS conference records and the economic documents, while the peer-reviewed</w:t>
      </w:r>
      <w:r>
        <w:t xml:space="preserve"> </w:t>
      </w:r>
      <w:r>
        <w:rPr>
          <w:i/>
          <w:iCs/>
        </w:rPr>
        <w:t xml:space="preserve">Acta Astronautica</w:t>
      </w:r>
      <w:r>
        <w:t xml:space="preserve"> </w:t>
      </w:r>
      <w:r>
        <w:t xml:space="preserve">records tote the positive counts, climbing to a single high value of 35 for the most-cited in-orbit servicing paper and a further high value of 30 for a green-propulsion comparison study</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distribution is thus not just lopsided but structured by venue: the counts are essentially an</w:t>
      </w:r>
      <w:r>
        <w:t xml:space="preserve"> </w:t>
      </w:r>
      <w:r>
        <w:rPr>
          <w:i/>
          <w:iCs/>
        </w:rPr>
        <w:t xml:space="preserve">Acta Astronautica</w:t>
      </w:r>
      <w:r>
        <w:t xml:space="preserve"> </w:t>
      </w:r>
      <w:r>
        <w:t xml:space="preserve">phenomenon, since that is the family the local index shadows with citation data. A reader has to hold that structure in mind when reading anything the citation variable does, in either model.</w:t>
      </w:r>
    </w:p>
    <w:p>
      <w:pPr>
        <w:pStyle w:val="BodyText"/>
        <w:spacing w:line="480" w:lineRule="auto"/>
        <w:ind w:firstLine="720"/>
      </w:pPr>
      <w:r>
        <w:t xml:space="preserve">In Paper 1, this structure means the citation coefficient gets identified almost wholly off the journal records, since the conference and economic records supply barely any variation in the count. That is part of why the coefficient perches just past significance: the effective sample for the attention question runs smaller than thirty</w:t>
      </w:r>
      <w:r>
        <w:t xml:space="preserve"> </w:t>
      </w:r>
      <w:hyperlink w:anchor="ref-1">
        <w:r>
          <w:rPr>
            <w:rStyle w:val="Hyperlink"/>
          </w:rPr>
          <w:t xml:space="preserve">[1]</w:t>
        </w:r>
      </w:hyperlink>
      <w:r>
        <w:t xml:space="preserve">. In Paper 2, the plus-one transform yanks the many zeros up to one and leaves the two high-count records as the leverage points that most bend the fitted slope. The 2024 servicing paper, entering the second model with an age index of 3 and citations-plus-one of 36, is the single most influential observation in the learning curve, and the thin, fuzzy slope the model hands back mirrors in part that a handful of well-cited recent journal papers stand against a mass of older, uncited conference work with no orderly age relationship running between them</w:t>
      </w:r>
      <w:r>
        <w:t xml:space="preserve"> </w:t>
      </w:r>
      <w:hyperlink w:anchor="ref-10">
        <w:r>
          <w:rPr>
            <w:rStyle w:val="Hyperlink"/>
          </w:rPr>
          <w:t xml:space="preserve">[10]</w:t>
        </w:r>
      </w:hyperlink>
      <w:r>
        <w:t xml:space="preserve">. Grasping the citation distribution is therefore no side note; it is the key to reading both models honestly.</w:t>
      </w:r>
    </w:p>
    <w:bookmarkEnd w:id="108"/>
    <w:bookmarkStart w:id="109" w:name="how-the-two-indices-relate"/>
    <w:p>
      <w:pPr>
        <w:pStyle w:val="Heading2"/>
        <w:spacing w:line="480" w:lineRule="auto"/>
      </w:pPr>
      <w:r>
        <w:t xml:space="preserve">How the two indices relate</w:t>
      </w:r>
    </w:p>
    <w:p>
      <w:pPr>
        <w:pStyle w:val="FirstParagraph"/>
        <w:spacing w:line="480" w:lineRule="auto"/>
      </w:pPr>
      <w:r>
        <w:t xml:space="preserve">The recency index in Paper 1 and the age index in Paper 2 are mirror images cut from the same publication years, and it repays being explicit about the relationship so the two models never get misread as leaning on unrelated time variables. Recency counts up from the oldest record, so larger means newer; age counts up from the present, so larger means older. A 2017 record wears the minimum recency of 1 and the maximum age of 10; a 2026 record wears near-maximum recency and the minimum age of 1. The two indices tote the same information about publication year, aimed oppositely to suit the two questions: recency frames novelty for the cross-sectional model, and age frames time-to-accumulate for the learning curve</w:t>
      </w:r>
      <w:r>
        <w:t xml:space="preserve"> </w:t>
      </w:r>
      <w:hyperlink w:anchor="ref-5">
        <w:r>
          <w:rPr>
            <w:rStyle w:val="Hyperlink"/>
          </w:rPr>
          <w:t xml:space="preserve">[5]</w:t>
        </w:r>
      </w:hyperlink>
      <w:r>
        <w:t xml:space="preserve">. Keeping them as separate, purpose-aimed variables rather than dragooning one into both roles keeps each model’s specification clean and each coefficient’s reading direct.</w:t>
      </w:r>
    </w:p>
    <w:p>
      <w:pPr>
        <w:pStyle w:val="BodyText"/>
        <w:spacing w:line="480" w:lineRule="auto"/>
        <w:ind w:firstLine="720"/>
      </w:pPr>
      <w:r>
        <w:t xml:space="preserve">That the same underlying years feed both indices is also what lets the two models triangulate on time from opposite headings. Were a diffusion story true, recency would haul the cross-sectional signal and age would haul the learning curve, and the two time variables would both flare. The finding that neither does, that recency runs flat in Paper 1 and age runs fuzzy in Paper 2, is a jointly consistent result precisely because the two indices are the same information turned around. The dataset is cut so the time question gets asked twice, in two frames, and answered the same way both times</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bookmarkEnd w:id="109"/>
    <w:bookmarkStart w:id="110" w:name="X35a80f0c979fa78240ec9866dbbed19ad94eca1"/>
    <w:p>
      <w:pPr>
        <w:pStyle w:val="Heading2"/>
        <w:spacing w:line="480" w:lineRule="auto"/>
      </w:pPr>
      <w:r>
        <w:t xml:space="preserve">The intermediate fields and why they are retained</w:t>
      </w:r>
    </w:p>
    <w:p>
      <w:pPr>
        <w:pStyle w:val="FirstParagraph"/>
        <w:spacing w:line="480" w:lineRule="auto"/>
      </w:pPr>
      <w:r>
        <w:t xml:space="preserve">The Paper 1 data file carries more than the four modeled variables; it holds the intermediate fields the topic-signal score gets built from, the title word count, the snippet word count, the keyword count, and the raw theme-hit count. These are not needed to run the regression, and a leaner file could shed them. They get kept because they keep the score’s construction auditable and its metadata lean visible</w:t>
      </w:r>
      <w:r>
        <w:t xml:space="preserve"> </w:t>
      </w:r>
      <w:hyperlink w:anchor="ref-1">
        <w:r>
          <w:rPr>
            <w:rStyle w:val="Hyperlink"/>
          </w:rPr>
          <w:t xml:space="preserve">[1]</w:t>
        </w:r>
      </w:hyperlink>
      <w:r>
        <w:t xml:space="preserve"> </w:t>
      </w:r>
      <w:hyperlink w:anchor="ref-4">
        <w:r>
          <w:rPr>
            <w:rStyle w:val="Hyperlink"/>
          </w:rPr>
          <w:t xml:space="preserve">[4]</w:t>
        </w:r>
      </w:hyperlink>
      <w:r>
        <w:t xml:space="preserve">. A reader who suspects the score gauges documentation richness rather than substance can inspect these fields outright and see, for each record, how many hits sprang from a lush keyword field against a bare one. The economic records, with zero keyword and snippet words, wear their metadata thinness on the face of the data file, unlike the field-flooded surveillance records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Holding the intermediate fields also arms the successor study named in Chapter 8. A follow-on aiming to part substantive massing from documentation practice can model the theme-hit count against the available metadata surface outright, working these very fields, rather than rebuilding them. The data file is thus cut not only to prop up the present regression but to hand the next analyst the raw stock for the robustness check the present design flags as most needed</w:t>
      </w:r>
      <w:r>
        <w:t xml:space="preserve"> </w:t>
      </w:r>
      <w:hyperlink w:anchor="ref-9">
        <w:r>
          <w:rPr>
            <w:rStyle w:val="Hyperlink"/>
          </w:rPr>
          <w:t xml:space="preserve">[9]</w:t>
        </w:r>
      </w:hyperlink>
      <w:r>
        <w:t xml:space="preserve">. Transparency here looks forward: the fields that keep this analysis auditable are the same fields that make the next one possible.</w:t>
      </w:r>
    </w:p>
    <w:bookmarkEnd w:id="110"/>
    <w:bookmarkStart w:id="111" w:name="Xe69d05c83e90226e802ba2c012e3ee5c13cd0b3"/>
    <w:p>
      <w:pPr>
        <w:pStyle w:val="Heading2"/>
        <w:spacing w:line="480" w:lineRule="auto"/>
      </w:pPr>
      <w:r>
        <w:t xml:space="preserve">What N equals thirty can and cannot support</w:t>
      </w:r>
    </w:p>
    <w:p>
      <w:pPr>
        <w:pStyle w:val="FirstParagraph"/>
        <w:spacing w:line="480" w:lineRule="auto"/>
      </w:pPr>
      <w:r>
        <w:t xml:space="preserve">Thirty records is plenty for a corpus screen and short of enough for a program cost estimate, and the dataset gets presented in exactly that spirit. With three predictors and thirty observations, Paper 1 holds adequate degrees of freedom to nail precise coefficients where the structure runs strong, and the venue effect in Chapter 6 gets estimated sharply for exactly that reason. But thirty records cannot stand in for the full lunar design literature, cannot net unpublished engineering trade studies, and cannot substitute for the procurement and telemetry data a real cost model would demand. The measurement chapter’s closing claim is therefore a careful one. The dataset faithfully stands for the structure of one candidate’s retrieved corpus, every variable reproduces from source, and the boundary of what these thirty rows can prop up gets documented rather than hidden</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Chapter 6 reports what the estimators hand back on this dataset, exactly as produced.</w:t>
      </w:r>
    </w:p>
    <w:bookmarkEnd w:id="111"/>
    <w:bookmarkEnd w:id="112"/>
    <w:bookmarkStart w:id="123" w:name="chapter-6.-results"/>
    <w:p>
      <w:pPr>
        <w:pStyle w:val="Heading1"/>
        <w:spacing w:line="480" w:lineRule="auto"/>
      </w:pPr>
      <w:r>
        <w:t xml:space="preserve">Chapter 6. Results</w:t>
      </w:r>
    </w:p>
    <w:p>
      <w:pPr>
        <w:pStyle w:val="FirstParagraph"/>
        <w:spacing w:line="480" w:lineRule="auto"/>
      </w:pPr>
      <w:r>
        <w:t xml:space="preserve">The results hone the dissertation’s central claim about modularity as a hidden cost in lunar surface systems. Priya Park’s question was never whether modular design earns its keep; the literature already settles why modular architectures lure lunar planners, dangling staged deployment, easier upkeep, graceful swap-out, and interoperability across surface observatories, cislunar traffic-management assets, robotic platforms, navigation constellations, and in-orbit assembly concepts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stiffer question is whether modularity also masses coordination burdens that slip past notice when a design gets weighed block by block. The two estimators field that question in a pointed, hedged way, and this chapter lays out their output whole before reading it.</w:t>
      </w:r>
    </w:p>
    <w:bookmarkStart w:id="113" w:name="paper-1-cross-sectional-structure"/>
    <w:p>
      <w:pPr>
        <w:pStyle w:val="Heading2"/>
        <w:spacing w:line="480" w:lineRule="auto"/>
      </w:pPr>
      <w:r>
        <w:t xml:space="preserve">Paper 1: cross-sectional structure</w:t>
      </w:r>
    </w:p>
    <w:p>
      <w:pPr>
        <w:pStyle w:val="FirstParagraph"/>
        <w:spacing w:line="480" w:lineRule="auto"/>
      </w:pPr>
      <w:r>
        <w:t xml:space="preserve">Paper 1 delivers the strongest empirical finding. The ordinary least squares model leans on thirty retrieved records and estimates topic signal as a function of recency, citation attention, and venue family, wrapped in robust HC1 standard errors. The model fit runs substantial for a small corpus screen. R-squared equals 0.656861092662346, adjusted R-squared equals 0.6172681418156937, F equals 34.47258902809455, and the F-test p-value equals 3.2773746898750625e-09. Those fit statistics prove no causal mechanism, and they do show the candidate’s document-level signal is not flung at random across the retained records. Inside this corpus, modularity-and-hidden-cost language wears observable structure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term-level results pin down where that structure parks. The constant is 17.198518444935782 with p equal to 1.475398667373638e-11. The recency index carries a coefficient of -0.1944656686358903 with p equal to 0.41499184529309785. The citation count carries a coefficient of 0.07017456285427058 with p equal to 0.057369799924577976. The venue score carries a coefficient of -5.023873570817996 with p equal to 3.195847810880226e-13. Read as a dissertation result, the precise venue coefficient totes the central finding: the intensity of the modularity signal splits strongly by venue family, while recency on its own fails to account for the signal in this retrieved set</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sign and heft of the venue coefficient repay attention. It runs negative and large, roughly negative five points of topic signal per step up the ordinal venue scale, and it gets estimated with a p-value on the order of ten to the negative thirteenth, about as tight as a thirty-record model can manage. Climbing the venue scale from AMOS at 1 to</w:t>
      </w:r>
      <w:r>
        <w:t xml:space="preserve"> </w:t>
      </w:r>
      <w:r>
        <w:rPr>
          <w:i/>
          <w:iCs/>
        </w:rPr>
        <w:t xml:space="preserve">Acta Astronautica</w:t>
      </w:r>
      <w:r>
        <w:t xml:space="preserve"> </w:t>
      </w:r>
      <w:r>
        <w:t xml:space="preserve">at 2 to the space-economy family at 3, the topic signal drops steeply. That is exactly the gradient the theory in Chapter 3 forecast off the mechanism, and it repays stating outright why. The applied domain-awareness venue, where distributed lunar sensing and its coordination troubles are the daily fare, floods the theme fields; the economic-framing venue, where modularity gets aired abstractly if at all, hardly rings the theme at all</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venue code stands in for how near a community sits to the interoperation problem, and the signal shadows that nearness.</w:t>
      </w:r>
    </w:p>
    <w:p>
      <w:pPr>
        <w:pStyle w:val="BodyText"/>
        <w:spacing w:line="480" w:lineRule="auto"/>
        <w:ind w:firstLine="720"/>
      </w:pPr>
      <w:r>
        <w:t xml:space="preserve">That pattern squares with the substance of the sources. Lunar surface observatory papers and space-domain-awareness architectures sketch modular sensing, site geometry, and observability troubles in operational terms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Lunar traffic-management and servicing work drags institutional coordination into frame, since modules have to swap data, hold interfaces, and run inside traffic and safety regimes that cannot be tuned one component at a time</w:t>
      </w:r>
      <w:r>
        <w:t xml:space="preserve"> </w:t>
      </w:r>
      <w:hyperlink w:anchor="ref-3">
        <w:r>
          <w:rPr>
            <w:rStyle w:val="Hyperlink"/>
          </w:rPr>
          <w:t xml:space="preserve">[3]</w:t>
        </w:r>
      </w:hyperlink>
      <w:r>
        <w:t xml:space="preserve"> </w:t>
      </w:r>
      <w:hyperlink w:anchor="ref-10">
        <w:r>
          <w:rPr>
            <w:rStyle w:val="Hyperlink"/>
          </w:rPr>
          <w:t xml:space="preserve">[10]</w:t>
        </w:r>
      </w:hyperlink>
      <w:r>
        <w:t xml:space="preserve">. ISRU design studies, modular mechatronics, and in-orbit assembly work press the issue harder: modularity drains some burdens out of fabrication and pours them into verification, interface discipline, logistics planning, and operational integration</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That is the hidden-cost mechanism the dissertation can hold from this corpus.</w:t>
      </w:r>
    </w:p>
    <w:bookmarkEnd w:id="113"/>
    <w:bookmarkStart w:id="114" w:name="X8be4d549ca5fe899ee5b94ff8057b617915806f"/>
    <w:p>
      <w:pPr>
        <w:pStyle w:val="Heading2"/>
        <w:spacing w:line="480" w:lineRule="auto"/>
      </w:pPr>
      <w:r>
        <w:t xml:space="preserve">What the imprecise recency coefficient tells us</w:t>
      </w:r>
    </w:p>
    <w:p>
      <w:pPr>
        <w:pStyle w:val="FirstParagraph"/>
        <w:spacing w:line="480" w:lineRule="auto"/>
      </w:pPr>
      <w:r>
        <w:t xml:space="preserve">The imprecise recency coefficient weighs as much as the precise venue coefficient, and reading it right sits at the center of the dissertation’s argument. Its point estimate runs slightly negative, -0.1944656686358903, and its p-value, 0.41499184529309785, camps nowhere near conventional significance. Were newer documents on their own hauling the modularity signal, the dissertation could spin a plain diffusion story: the field lately stumbled onto the coordination cost of modular lunar systems, and the signal is massing in recent work. The model backs no such tidy account. Recent work counts, and the retained record also holds older surface-observatory, debris-evolution, and lunar-domain-awareness papers that already stitch modularity pressures into measurement, deployment, and operational geometry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result therefore points to institutional location rather than calendar time. The topic surfaces where authors have to spell how parts mesh, not merely where the ink runs freshest.</w:t>
      </w:r>
    </w:p>
    <w:p>
      <w:pPr>
        <w:pStyle w:val="BodyText"/>
        <w:spacing w:line="480" w:lineRule="auto"/>
        <w:ind w:firstLine="720"/>
      </w:pPr>
      <w:r>
        <w:t xml:space="preserve">This is a case where a statistically thin result runs substantively muscular. The recency null failing to reject is no hole in the finding; it is half of the finding. A signal that lodges in venue structure and not in time is the signature of a coordination cost intrinsic to interoperation-heavy lunar work rather than a passing fashion, and that reading opens only because the recency coefficient came home flat while the venue coefficient came home sharp</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bookmarkEnd w:id="114"/>
    <w:bookmarkStart w:id="115" w:name="X65f33028878212551336f677100b213e7a791da"/>
    <w:p>
      <w:pPr>
        <w:pStyle w:val="Heading2"/>
        <w:spacing w:line="480" w:lineRule="auto"/>
      </w:pPr>
      <w:r>
        <w:t xml:space="preserve">Citation attention: suggestive, not decisive</w:t>
      </w:r>
    </w:p>
    <w:p>
      <w:pPr>
        <w:pStyle w:val="FirstParagraph"/>
        <w:spacing w:line="480" w:lineRule="auto"/>
      </w:pPr>
      <w:r>
        <w:t xml:space="preserve">Citation attention perches on the border. The citation coefficient runs positive, 0.07017456285427058, and its p-value is 0.057369799924577976, just past the conventional five-percent bar. A less careful read would round that up to significance and build a story about attention massing around modularity. This dissertation declines. The result gets treated as suggestive evidence that higher-attention records may haul a somewhat stronger topic signal, and the association stays just past the bar the paper pledged to beforehand, so the claim stays penned accordingly</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discipline here is the whole point. A coefficient at p equal to 0.057 is no discovery of an effect; it is a hint that a bigger corpus might break one way or the other, and pretending otherwise would swap the dissertation’s credibility for a headline it cannot underwrite.</w:t>
      </w:r>
    </w:p>
    <w:bookmarkEnd w:id="115"/>
    <w:bookmarkStart w:id="116" w:name="paper-2-the-learning-curve"/>
    <w:p>
      <w:pPr>
        <w:pStyle w:val="Heading2"/>
        <w:spacing w:line="480" w:lineRule="auto"/>
      </w:pPr>
      <w:r>
        <w:t xml:space="preserve">Paper 2: the learning curve</w:t>
      </w:r>
    </w:p>
    <w:p>
      <w:pPr>
        <w:pStyle w:val="FirstParagraph"/>
        <w:spacing w:line="480" w:lineRule="auto"/>
      </w:pPr>
      <w:r>
        <w:t xml:space="preserve">Paper 2 shores up that caution from the temporal flank. The log-log learning-curve model also leans on thirty records, regressing the log of citations-plus-one on the log of an age index with robust HC1 standard errors. Its R-squared is 0.06174807500523305, the elasticity is -0.4598884482941963, and the implied progress ratio, two raised to that elasticity, is 0.7270424726834211. The constant is 1.2974306999753946 with p equal to 0.019869016928179363. The log-age term carries coefficient -0.4598884482941963 and p equal to 0.19666480185695845. Put plainly, the retrieved corpus shows no precise age-based citation accumulation pattern. Older records are not simply massing attention with enough force to account for the dissertation signal.</w:t>
      </w:r>
    </w:p>
    <w:p>
      <w:pPr>
        <w:pStyle w:val="BodyText"/>
        <w:spacing w:line="480" w:lineRule="auto"/>
        <w:ind w:firstLine="720"/>
      </w:pPr>
      <w:r>
        <w:t xml:space="preserve">The low R-squared and the insignificant age coefficient are, once more, instructive rather than embarrassing. They tighten the reading. Modularity’s hidden cost fails to surface in this evidence base as a ripened bibliometric consensus arrayed around a cluster of heavily cited anchor papers. It surfaces instead as a structured design and governance problem scattered across venue families, riding in old and new work alike, still unconsolidated into a canonical citation network</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progress-ratio reading of 0.727, taken at face value, would hint that younger records haul disproportionate attention, and the coefficient’s p-value of 0.197 forbids leaning on that number, so the dissertation does not.</w:t>
      </w:r>
    </w:p>
    <w:bookmarkEnd w:id="116"/>
    <w:bookmarkStart w:id="117" w:name="the-two-models-together"/>
    <w:p>
      <w:pPr>
        <w:pStyle w:val="Heading2"/>
        <w:spacing w:line="480" w:lineRule="auto"/>
      </w:pPr>
      <w:r>
        <w:t xml:space="preserve">The two models together</w:t>
      </w:r>
    </w:p>
    <w:p>
      <w:pPr>
        <w:pStyle w:val="FirstParagraph"/>
        <w:spacing w:line="480" w:lineRule="auto"/>
      </w:pPr>
      <w:r>
        <w:t xml:space="preserve">Set the two estimators side by side and the pattern is the one Chapter 4 tagged as the theoretically expected outcome: muscular cross-sectional structure paired with a thin learning curve. Surface-domain-awareness sources make modular observation look inviting because sensors can be scattered across lunar terrain and cislunar geometry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Traffic-management and servicing sources show that such scattering raises coordination and safety questions</w:t>
      </w:r>
      <w:r>
        <w:t xml:space="preserve"> </w:t>
      </w:r>
      <w:hyperlink w:anchor="ref-3">
        <w:r>
          <w:rPr>
            <w:rStyle w:val="Hyperlink"/>
          </w:rPr>
          <w:t xml:space="preserve">[3]</w:t>
        </w:r>
      </w:hyperlink>
      <w:r>
        <w:t xml:space="preserve"> </w:t>
      </w:r>
      <w:hyperlink w:anchor="ref-10">
        <w:r>
          <w:rPr>
            <w:rStyle w:val="Hyperlink"/>
          </w:rPr>
          <w:t xml:space="preserve">[10]</w:t>
        </w:r>
      </w:hyperlink>
      <w:r>
        <w:t xml:space="preserve">. ISRU and modular-infrastructure studies drag the economic and technical trade into the open, since interfaces, assurance, and integration harden into cost-bearing design objects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venue gradient nets that structure; the flat learning curve confirms the structure is not merely an artifact of older papers gathering citations. Two methods, opposite in build, converge on the same reading.</w:t>
      </w:r>
    </w:p>
    <w:bookmarkEnd w:id="117"/>
    <w:bookmarkStart w:id="118" w:name="Xe13b928c3a3aa98dd34f842266c63e1702dd7af"/>
    <w:p>
      <w:pPr>
        <w:pStyle w:val="Heading2"/>
        <w:spacing w:line="480" w:lineRule="auto"/>
      </w:pPr>
      <w:r>
        <w:t xml:space="preserve">The magnitude of the venue effect in context</w:t>
      </w:r>
    </w:p>
    <w:p>
      <w:pPr>
        <w:pStyle w:val="FirstParagraph"/>
        <w:spacing w:line="480" w:lineRule="auto"/>
      </w:pPr>
      <w:r>
        <w:t xml:space="preserve">It repays dwelling on how large the venue coefficient runs, because the heft, not only the precision, totes meaning. A coefficient of -5.023873570817996 means each step up the ordinal venue scale ties to roughly five fewer points of topic signal, holding recency and citation count still. Against a signal score that spans 1 to 14 in the data, five points is no marginal nudge; it is a large slice of the entire observed span. Crossing the two steps from the applied domain-awareness family to the economic family forecasts a signal drop of about ten points, which covers most of the distribution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venue effect is no subtle statistical association detectable only in a big sample. It is a commanding feature of how the topic spreads across the corpus, which is why a thirty-record model can nail it so sharply.</w:t>
      </w:r>
    </w:p>
    <w:p>
      <w:pPr>
        <w:pStyle w:val="BodyText"/>
        <w:spacing w:line="480" w:lineRule="auto"/>
        <w:ind w:firstLine="720"/>
      </w:pPr>
      <w:r>
        <w:t xml:space="preserve">Weigh that against the constant of 17.198518444935782. The intercept pins the fitted signal high, near the top of the observed span, and the venue term drags it down steeply as one moves off the interface-proximate venue. The recency and citation terms, by contrast, budge the fitted value only slightly, and fuzzily. The arithmetic of the fitted model is therefore a compact statement of the whole finding: the venue family a source belongs to does most of the labor of forecasting its topic signal, and the calendar year does almost none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That is the mechanism’s signature cast as coefficients.</w:t>
      </w:r>
    </w:p>
    <w:bookmarkEnd w:id="118"/>
    <w:bookmarkStart w:id="119" w:name="why-the-r-squared-should-not-be-overread"/>
    <w:p>
      <w:pPr>
        <w:pStyle w:val="Heading2"/>
        <w:spacing w:line="480" w:lineRule="auto"/>
      </w:pPr>
      <w:r>
        <w:t xml:space="preserve">Why the R-squared should not be overread</w:t>
      </w:r>
    </w:p>
    <w:p>
      <w:pPr>
        <w:pStyle w:val="FirstParagraph"/>
        <w:spacing w:line="480" w:lineRule="auto"/>
      </w:pPr>
      <w:r>
        <w:t xml:space="preserve">The model’s R-squared of 0.656861092662346 and adjusted R-squared of 0.6172681418156937 run high for a corpus screen, and a careless reader might take that as evidence the model accounts for the phenomenon of modularity cost. It does not, and the split is important enough to state outright. The R-squared gauges how much of the variance in the topic-signal score the three predictors account for inside these thirty records. It says nothing about program cost, since the topic-signal score is no cost measure; it is a metadata-derived stand-in for how thickly a source rings the coordination-cost theme</w:t>
      </w:r>
      <w:r>
        <w:t xml:space="preserve"> </w:t>
      </w:r>
      <w:hyperlink w:anchor="ref-6">
        <w:r>
          <w:rPr>
            <w:rStyle w:val="Hyperlink"/>
          </w:rPr>
          <w:t xml:space="preserve">[6]</w:t>
        </w:r>
      </w:hyperlink>
      <w:r>
        <w:t xml:space="preserve"> </w:t>
      </w:r>
      <w:hyperlink w:anchor="ref-8">
        <w:r>
          <w:rPr>
            <w:rStyle w:val="Hyperlink"/>
          </w:rPr>
          <w:t xml:space="preserve">[8]</w:t>
        </w:r>
      </w:hyperlink>
      <w:r>
        <w:t xml:space="preserve">. A high R-squared here means the corpus wears strong internal structure, most of it netted by the venue term, and that pays off genuinely because it licenses leaning on the corpus as a measurement base. It is no claim that the model has accounted for why modular lunar systems cost what they cost.</w:t>
      </w:r>
    </w:p>
    <w:p>
      <w:pPr>
        <w:pStyle w:val="BodyText"/>
        <w:spacing w:line="480" w:lineRule="auto"/>
        <w:ind w:firstLine="720"/>
      </w:pPr>
      <w:r>
        <w:t xml:space="preserve">This is the discipline the whole dissertation pivots on. A strong fit on a stand-in outcome is a strong fit on a stand-in, and treating it as more would be exactly the overreach the design got built to dodge. The F-statistic of 34.47258902809455 with its p-value of 3.2773746898750625e-09 confirms the model as a whole is not fitting noise, and the same caution holds: a jointly significant model of topic signal is a significant model of topic signal, and the bridge to cost stays theoretical and still waits on mission data</w:t>
      </w:r>
      <w:r>
        <w:t xml:space="preserve"> </w:t>
      </w:r>
      <w:hyperlink w:anchor="ref-5">
        <w:r>
          <w:rPr>
            <w:rStyle w:val="Hyperlink"/>
          </w:rPr>
          <w:t xml:space="preserve">[5]</w:t>
        </w:r>
      </w:hyperlink>
      <w:r>
        <w:t xml:space="preserve">.</w:t>
      </w:r>
    </w:p>
    <w:bookmarkEnd w:id="119"/>
    <w:bookmarkStart w:id="120" w:name="X39682e9a1c1d072fa113cef8cc88681d4463e1e"/>
    <w:p>
      <w:pPr>
        <w:pStyle w:val="Heading2"/>
        <w:spacing w:line="480" w:lineRule="auto"/>
      </w:pPr>
      <w:r>
        <w:t xml:space="preserve">The learning curve read against its own leverage</w:t>
      </w:r>
    </w:p>
    <w:p>
      <w:pPr>
        <w:pStyle w:val="FirstParagraph"/>
        <w:spacing w:line="480" w:lineRule="auto"/>
      </w:pPr>
      <w:r>
        <w:t xml:space="preserve">The learning-curve numbers reward a closer read than their weakness might advertise. The elasticity of -0.4598884482941963 implies, taken literally, that a one-percent bump in article age ties to roughly a half-percent dip in accumulated attention, and the progress ratio of 0.7270424726834211 wraps that as a rate of decline per doubling of age. On its face this is a striking pattern: younger records hauling more attention than older ones flips the usual expectation that citations gather with time. And the coefficient’s p-value of 0.19666480185695845 forbids taking the pattern literally, and reading why it forbids it instructs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apparent flip gets driven by a few recent, well-cited</w:t>
      </w:r>
      <w:r>
        <w:t xml:space="preserve"> </w:t>
      </w:r>
      <w:r>
        <w:rPr>
          <w:i/>
          <w:iCs/>
        </w:rPr>
        <w:t xml:space="preserve">Acta Astronautica</w:t>
      </w:r>
      <w:r>
        <w:t xml:space="preserve"> </w:t>
      </w:r>
      <w:r>
        <w:t xml:space="preserve">records standing against a mass of older, uncited conference work, and with an R-squared of 0.06174807500523305 the model accounts for almost none of the variance in attention. The elasticity is real arithmetic on the fitted line, and the line accounts for so little and gets estimated so fuzzily that it cannot bear an interpretation.</w:t>
      </w:r>
    </w:p>
    <w:p>
      <w:pPr>
        <w:pStyle w:val="BodyText"/>
        <w:spacing w:line="480" w:lineRule="auto"/>
        <w:ind w:firstLine="720"/>
      </w:pPr>
      <w:r>
        <w:t xml:space="preserve">That is exactly the right outcome for the dissertation’s purpose. A precise learning curve, in either heading, would have tangled the story by dragging in a temporal mechanism to compete with the venue structure. The learning curve’s weakness clears the field: with age accounting for essentially nothing, the venue structure in Paper 1 stands as the uncontested organizing feature of the corpus, and the significant constant of 1.2974306999753946 at p equal to 0.019869016928179363 confirms only that records tote some baseline attention, not that attention is arrayed by age</w:t>
      </w:r>
      <w:r>
        <w:t xml:space="preserve"> </w:t>
      </w:r>
      <w:hyperlink w:anchor="ref-5">
        <w:r>
          <w:rPr>
            <w:rStyle w:val="Hyperlink"/>
          </w:rPr>
          <w:t xml:space="preserve">[5]</w:t>
        </w:r>
      </w:hyperlink>
      <w:r>
        <w:t xml:space="preserve">. The second model earns its slot in the design by ruling a competitor out, not by dropping a finding of its own.</w:t>
      </w:r>
    </w:p>
    <w:bookmarkEnd w:id="120"/>
    <w:bookmarkStart w:id="121" w:name="X186479b6c5982a1d2104389818bd6b04e6ee006"/>
    <w:p>
      <w:pPr>
        <w:pStyle w:val="Heading2"/>
        <w:spacing w:line="480" w:lineRule="auto"/>
      </w:pPr>
      <w:r>
        <w:t xml:space="preserve">Convergent evidence from two opposite methods</w:t>
      </w:r>
    </w:p>
    <w:p>
      <w:pPr>
        <w:pStyle w:val="FirstParagraph"/>
        <w:spacing w:line="480" w:lineRule="auto"/>
      </w:pPr>
      <w:r>
        <w:t xml:space="preserve">Step back and the two models fuse into a single argument rather than two loose results. Paper 1 asks, at a snapshot, where the topic signal masses, and answers: overwhelmingly by venue, negligibly by time. Paper 2 asks, across time, whether attention gathers by age, and answers: not measurably. These run methodologically opposite, a cross-sectional structural regression and a temporal accumulation curve, and they converge on the same reading of the corpus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coordination-cost topic is a standing, venue-structured feature of the lunar-systems literature, riding across vintages, not a wave rolling through recent work or a sediment settling in old, heavily cited papers.</w:t>
      </w:r>
    </w:p>
    <w:p>
      <w:pPr>
        <w:pStyle w:val="BodyText"/>
        <w:spacing w:line="480" w:lineRule="auto"/>
        <w:ind w:firstLine="720"/>
      </w:pPr>
      <w:r>
        <w:t xml:space="preserve">Convergence from opposite methods is worth more than agreement between look-alikes, since the two models fail differently and share few assumptions. The ordinary least squares screen could have turned up a recency effect and did not; the learning curve could have turned up an age effect and did not; and the one strong result, the venue gradient, surfaces in the model drawn to catch exactly that breed of cross-sectional structure. When two estimators cut on different logics point to the same conclusion and each independently rules out the diffusion and maturity alternatives, the conclusion holds firmer than either model alone could make it, even though both grind on the same thirty records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21"/>
    <w:bookmarkStart w:id="122" w:name="the-hypotheses-answered"/>
    <w:p>
      <w:pPr>
        <w:pStyle w:val="Heading2"/>
        <w:spacing w:line="480" w:lineRule="auto"/>
      </w:pPr>
      <w:r>
        <w:t xml:space="preserve">The hypotheses, answered</w:t>
      </w:r>
    </w:p>
    <w:p>
      <w:pPr>
        <w:pStyle w:val="FirstParagraph"/>
        <w:spacing w:line="480" w:lineRule="auto"/>
      </w:pPr>
      <w:r>
        <w:t xml:space="preserve">The chapter fields the dissertation’s hypotheses with a hedged finding. The null gets rejected for the claim that topic signal is unrelated to venue family inside the retrieved corpus; the venue coefficient’s p-value of roughly 3.2e-13 leaves no room for the no-relationship hypothesis there. The evidence declines to reject the null for recency, where the coefficient runs fuzzy at p equal to 0.415. Citation attention stays suggestive yet imprecise at p equal to 0.057. The learning-curve model bolts on a second caution: citation accumulation by article age is not the organizing mechanism in these data, the age coefficient insignificant at p equal to 0.197. Together, the models back a venue-structured reading of modularity as a hidden coordination cost, not a sweeping claim that modular design is always pricier or institutionally lesser</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practical implication runs methodological as much as substantive. Lunar surface systems cannot be weighed through module-level performance metrics alone. A modular architecture may cut development burden inside one subsystem while jacking up verification, interface control, data-sharing, spares, traffic-coordination, safety-assurance, and operator-training costs across the architecture. That does not brand modularity a mistake. It brands modularity a governance object. The dissertation’s empirical contribution is to show that this object already reads visible in the paper trail, especially where lunar observation, traffic management, servicing, ISRU, robotics, and assembly communities wrestle integration head-on</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Three limits hold, and they define the result rather than dent it. First, the models lean on document metadata and deterministic topic features rather than direct cost data. Second, the venue score is an ordinal coding, not a randomized institutional treatment. Third, the corpus holds thirty records, plenty for a screen and short for estimating program cost. The evidence backs a disciplined claim and no more: in the retained literature, hidden modularity costs read most visible where design communities have to spell interfaces among lunar surface, cislunar, servicing, and infrastructure systems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2"/>
    <w:bookmarkEnd w:id="123"/>
    <w:bookmarkStart w:id="135" w:name="chapter-7.-discussion-and-limitations"/>
    <w:p>
      <w:pPr>
        <w:pStyle w:val="Heading1"/>
        <w:spacing w:line="480" w:lineRule="auto"/>
      </w:pPr>
      <w:r>
        <w:t xml:space="preserve">Chapter 7. Discussion and Limitations</w:t>
      </w:r>
    </w:p>
    <w:p>
      <w:pPr>
        <w:pStyle w:val="FirstParagraph"/>
        <w:spacing w:line="480" w:lineRule="auto"/>
      </w:pPr>
      <w:r>
        <w:t xml:space="preserve">The results back one clean claim and slam the door on several tempting ones. This chapter chews through what the findings mean, then burns most of its length on the threats to validity and the frontier past which documentary evidence goes mute about program cost. The discipline of the discussion weighs heavier here than in most dissertations, since the phenomenon under study, hidden coordination cost, is exactly the breed of thing that baits overreach. A clean venue coefficient inflates easily into a verdict on modular lunar architecture. This chapter’s assignment is to hold the line at what the thirty-record corpus genuinely nailed down.</w:t>
      </w:r>
    </w:p>
    <w:bookmarkStart w:id="124" w:name="what-the-findings-mean"/>
    <w:p>
      <w:pPr>
        <w:pStyle w:val="Heading2"/>
        <w:spacing w:line="480" w:lineRule="auto"/>
      </w:pPr>
      <w:r>
        <w:t xml:space="preserve">What the findings mean</w:t>
      </w:r>
    </w:p>
    <w:p>
      <w:pPr>
        <w:pStyle w:val="FirstParagraph"/>
        <w:spacing w:line="480" w:lineRule="auto"/>
      </w:pPr>
      <w:r>
        <w:t xml:space="preserve">The defensible reading runs this way. In the retrieved lunar-systems literature, the modularity-and-cost topic signal is heavily structured by venue family and essentially structureless in publication time. The venue gradient runs steep and tightly estimated, and it points in the forecast heading, massing in the applied domain-awareness venue where distributed lunar sensing corners authors into confronting interface and coordination troubles head-on, and thinning toward the economic-framing venue where modularity gets aired abstractly</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flat recency coefficient and the thin learning curve together say this is no fresh preoccupation diffusing through recent work; it is a standing feature of interoperation-heavy lunar design that older and newer papers alike tote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Rendered into the dissertation’s governing question, the corpus shows modularity’s hidden cost reads legible where design communities have to spell how parts mesh, and only there. That is a real result. It lodges the cost in the interface, the data handoff, and the operational coordination, which is where the systems-engineering literature independently says it lives, in traffic management, in servicing, in ISRU integration, and in modular assembly</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paper trail and the engineering reasoning point to the same spot, and that convergence is worth something even though neither one puts a price on the cost.</w:t>
      </w:r>
    </w:p>
    <w:bookmarkEnd w:id="124"/>
    <w:bookmarkStart w:id="125" w:name="what-the-findings-do-not-mean"/>
    <w:p>
      <w:pPr>
        <w:pStyle w:val="Heading2"/>
        <w:spacing w:line="480" w:lineRule="auto"/>
      </w:pPr>
      <w:r>
        <w:t xml:space="preserve">What the findings do not mean</w:t>
      </w:r>
    </w:p>
    <w:p>
      <w:pPr>
        <w:pStyle w:val="FirstParagraph"/>
        <w:spacing w:line="480" w:lineRule="auto"/>
      </w:pPr>
      <w:r>
        <w:t xml:space="preserve">Now the disciplines. The result fails to show that modular lunar systems outspend monolithic ones. It shows the coordination-cost topic masses in certain venues, which is a statement about how the literature is arrayed, not about dollars, mass, or schedule on any real build. Anyone who reads the venue coefficient as a cost verdict has vaulted the boundary the design got built to honor. The dissertation gauged topic signal in metadata; it never gauged a program budget, and no heap of statistical precision on the former converts into evidence about the latter</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Nor does the result prop up a diffusion narrative. The bait, given a live and swelling lunar program environment, is to say the field is waking up to modularity’s cost. The recency coefficient’s insignificance forbids that reading. If anything, the finding runs the other way: the cost has ridden in the record for years, stitched into surface-observatory geometry and lunar-domain-awareness deployment troubles, and it is the venue, not the vintage, that forecasts where it surfaces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5"/>
    <w:bookmarkStart w:id="126" w:name="threats-to-validity"/>
    <w:p>
      <w:pPr>
        <w:pStyle w:val="Heading2"/>
        <w:spacing w:line="480" w:lineRule="auto"/>
      </w:pPr>
      <w:r>
        <w:t xml:space="preserve">Threats to validity</w:t>
      </w:r>
    </w:p>
    <w:p>
      <w:pPr>
        <w:pStyle w:val="FirstParagraph"/>
        <w:spacing w:line="480" w:lineRule="auto"/>
      </w:pPr>
      <w:r>
        <w:t xml:space="preserve">Four threats earn serious handling, and I take them in order of how far each could warp the central claim.</w:t>
      </w:r>
    </w:p>
    <w:p>
      <w:pPr>
        <w:pStyle w:val="BodyText"/>
        <w:spacing w:line="480" w:lineRule="auto"/>
        <w:ind w:firstLine="720"/>
      </w:pPr>
      <w:r>
        <w:t xml:space="preserve">The leading threat is venue coverage bias. The venue coefficient is the load-bearing result, and it would buckle if the retrieval merely dredged more theme-flooded language out of the AMOS family than the others for reasons of indexing rather than substance. This is a genuine risk documents alone cannot fully banish. The AMOS records tote lush snippets and keyword fields; the economic records tote almost none. Part of the venue gradient could therefore mirror that the AMOS venue documents its papers richly enough to offer more surface for theme-term hits</w:t>
      </w:r>
      <w:r>
        <w:t xml:space="preserve"> </w:t>
      </w:r>
      <w:hyperlink w:anchor="ref-4">
        <w:r>
          <w:rPr>
            <w:rStyle w:val="Hyperlink"/>
          </w:rPr>
          <w:t xml:space="preserve">[4]</w:t>
        </w:r>
      </w:hyperlink>
      <w:r>
        <w:t xml:space="preserve">. The dissertation’s honest stance is that the venue effect is real inside the corpus as built, and that pinning it to substance rather than documentation practice would demand a retrieval drawn to hold metadata richness still across venues, which this design did not attempt.</w:t>
      </w:r>
    </w:p>
    <w:p>
      <w:pPr>
        <w:pStyle w:val="BodyText"/>
        <w:spacing w:line="480" w:lineRule="auto"/>
        <w:ind w:firstLine="720"/>
      </w:pPr>
      <w:r>
        <w:t xml:space="preserve">The second threat is that the topic-signal score gauges metadata richness as much as substantive massing. Because the score tallies term hits across title, snippet, keyword, and author fields, records fatter in metadata get more room to score, and the economic records that score a flat 1 are also the records with empty keyword and snippet fields. This braids into the venue threat and cannot be cleanly parted from it in the present data. What can be said is that the intermediate fields survive in the estimation file, so the lean reads visible and a successor could model it outright rather than absorbing it into the venue coefficient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third threat is citation-age confounding in Paper 2. Citation counts mechanically flatter older papers, so any age-based reading has to be weighed against that baseline. The learning-curve specification won its slot precisely to model the expected age-citation relationship rather than mistake raw counts for attention, and the result came home thin and fuzzy, the age coefficient insignificant. That weakness actually shields the reading: the dissertation is not leaning on a temporal finding, so citation-age mechanics cannot manufacture the central result, which lodges entirely in the cross-sectional venue structure</w:t>
      </w:r>
      <w:r>
        <w:t xml:space="preserve"> </w:t>
      </w:r>
      <w:hyperlink w:anchor="ref-5">
        <w:r>
          <w:rPr>
            <w:rStyle w:val="Hyperlink"/>
          </w:rPr>
          <w:t xml:space="preserve">[5]</w:t>
        </w:r>
      </w:hyperlink>
      <w:r>
        <w:t xml:space="preserve">.</w:t>
      </w:r>
    </w:p>
    <w:p>
      <w:pPr>
        <w:pStyle w:val="BodyText"/>
        <w:spacing w:line="480" w:lineRule="auto"/>
        <w:ind w:firstLine="720"/>
      </w:pPr>
      <w:r>
        <w:t xml:space="preserve">The fourth threat is small-sample fragility. Thirty records with three predictors is plenty for the venue effect to get estimated sharply, and it is short of enough to banish the worry that a few high-leverage records are steering the fit. The most-cited servicing paper, with its 35 reported citations, is an obvious candidate for leverage in both models</w:t>
      </w:r>
      <w:r>
        <w:t xml:space="preserve"> </w:t>
      </w:r>
      <w:hyperlink w:anchor="ref-10">
        <w:r>
          <w:rPr>
            <w:rStyle w:val="Hyperlink"/>
          </w:rPr>
          <w:t xml:space="preserve">[10]</w:t>
        </w:r>
      </w:hyperlink>
      <w:r>
        <w:t xml:space="preserve">. A bigger corpus, or a leave-one-out check, would be the natural robustness step, and the design’s full reproducibility puts that step within reach of anyone who cares to run it. The dissertation reports the fit it holds and flags this as the first thing a successor should test.</w:t>
      </w:r>
    </w:p>
    <w:bookmarkEnd w:id="126"/>
    <w:bookmarkStart w:id="127" w:name="what-the-data-cannot-show-stated-plainly"/>
    <w:p>
      <w:pPr>
        <w:pStyle w:val="Heading2"/>
        <w:spacing w:line="480" w:lineRule="auto"/>
      </w:pPr>
      <w:r>
        <w:t xml:space="preserve">What the data cannot show, stated plainly</w:t>
      </w:r>
    </w:p>
    <w:p>
      <w:pPr>
        <w:pStyle w:val="FirstParagraph"/>
        <w:spacing w:line="480" w:lineRule="auto"/>
      </w:pPr>
      <w:r>
        <w:t xml:space="preserve">Past specific threats, there is a whole breed of question the design simply cannot field, and naming that breed is part of the contribution. The corpus cannot show the magnitude of any cost, since it holds no cost data. It cannot show whether, in a specific lunar architecture, the coordination burden of modularity outweighs the fabrication savings, since that is a program-model question demanding procurement, integration, and operations data the corpus goes without</w:t>
      </w:r>
      <w:r>
        <w:t xml:space="preserve"> </w:t>
      </w:r>
      <w:hyperlink w:anchor="ref-6">
        <w:r>
          <w:rPr>
            <w:rStyle w:val="Hyperlink"/>
          </w:rPr>
          <w:t xml:space="preserve">[6]</w:t>
        </w:r>
      </w:hyperlink>
      <w:r>
        <w:t xml:space="preserve">. It cannot show causation between design choice and lifecycle cost, since the venue code is an observed feature of the literature, not a randomized or even quasi-randomized treatment. And it cannot reach past the retrieved records to the full lunar design literature, since thirty documents are a screen, not a census.</w:t>
      </w:r>
    </w:p>
    <w:p>
      <w:pPr>
        <w:pStyle w:val="BodyText"/>
        <w:spacing w:line="480" w:lineRule="auto"/>
        <w:ind w:firstLine="720"/>
      </w:pPr>
      <w:r>
        <w:t xml:space="preserve">These are no hedges bolted on for safety. They are the specification of where the next research has to go, and stating them exactly is what keeps the dissertation’s positive claim credible. A reader who grants the limits can also grant the finding, since the finding got sized to fit inside them from the outset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27"/>
    <w:bookmarkStart w:id="128" w:name="Xa5b125fc088276e9cc766566432d14831e5ef33"/>
    <w:p>
      <w:pPr>
        <w:pStyle w:val="Heading2"/>
        <w:spacing w:line="480" w:lineRule="auto"/>
      </w:pPr>
      <w:r>
        <w:t xml:space="preserve">Construct validity: does the signal score measure the right thing</w:t>
      </w:r>
    </w:p>
    <w:p>
      <w:pPr>
        <w:pStyle w:val="FirstParagraph"/>
        <w:spacing w:line="480" w:lineRule="auto"/>
      </w:pPr>
      <w:r>
        <w:t xml:space="preserve">Past the sampling threats, there sits a prior question about whether the topic-signal score gauges coordination cost at all, or something adjacent that rides alongside it. This is a construct-validity question, and it cuts deeper than the coverage threats because it bears on the meaning of the outcome rather than the makeup of the sample. The score tallies theme-term hits, and theme-term density is a stand-in for how much coordination language a source totes, which is itself a stand-in for how much implicit integration the source got strong-armed into making explicit. Two stand-in steps part the gauged quantity from the cost of interest, and each step is a spot where the construct could slip</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defense is that the two stand-in steps run theoretically motivated rather than opportunistic, and that the within-family exceptions clocked in Chapter 5 behave as the construct forecasts: interface-distant papers in the applied venue score low, which is what should happen if the score shadows interface proximity rather than venue membership</w:t>
      </w:r>
      <w:r>
        <w:t xml:space="preserve"> </w:t>
      </w:r>
      <w:hyperlink w:anchor="ref-6">
        <w:r>
          <w:rPr>
            <w:rStyle w:val="Hyperlink"/>
          </w:rPr>
          <w:t xml:space="preserve">[6]</w:t>
        </w:r>
      </w:hyperlink>
      <w:r>
        <w:t xml:space="preserve">. And the defense is no proof, so the honest statement is that the dissertation gauges coordination-language density and argues, off theory and off the pattern of exceptions, that this density shadows the hidden cost. A successor study that hand-coded the specific coordination burdens each source names would test the construct outright and either vindicate the stand-in or expose where it drifts</w:t>
      </w:r>
      <w:r>
        <w:t xml:space="preserve"> </w:t>
      </w:r>
      <w:hyperlink w:anchor="ref-15">
        <w:r>
          <w:rPr>
            <w:rStyle w:val="Hyperlink"/>
          </w:rPr>
          <w:t xml:space="preserve">[15]</w:t>
        </w:r>
      </w:hyperlink>
      <w:r>
        <w:t xml:space="preserve">.</w:t>
      </w:r>
    </w:p>
    <w:bookmarkEnd w:id="128"/>
    <w:bookmarkStart w:id="129" w:name="X1ed51fe87244c89b579ba76f170169851a5c3f1"/>
    <w:p>
      <w:pPr>
        <w:pStyle w:val="Heading2"/>
        <w:spacing w:line="480" w:lineRule="auto"/>
      </w:pPr>
      <w:r>
        <w:t xml:space="preserve">The counterfactual the design cannot build</w:t>
      </w:r>
    </w:p>
    <w:p>
      <w:pPr>
        <w:pStyle w:val="FirstParagraph"/>
        <w:spacing w:line="480" w:lineRule="auto"/>
      </w:pPr>
      <w:r>
        <w:t xml:space="preserve">The sharpest limitation is one no heap of documentary care can mend: the design holds no counterfactual. To show that modularity totes a hidden cost in the sense the dissertation’s title asks, one would set a modular lunar architecture against an otherwise identical monolithic one and gauge the split in lifecycle cost. The corpus holds no such comparison, since the literature never pairs matched modular and monolithic concepts with cost data, and since the venue code is an observed feature of how papers get published, not a treatment assigned to otherwise-comparable systems</w:t>
      </w:r>
      <w:r>
        <w:t xml:space="preserve"> </w:t>
      </w:r>
      <w:hyperlink w:anchor="ref-3">
        <w:r>
          <w:rPr>
            <w:rStyle w:val="Hyperlink"/>
          </w:rPr>
          <w:t xml:space="preserve">[3]</w:t>
        </w:r>
      </w:hyperlink>
      <w:r>
        <w:t xml:space="preserve"> </w:t>
      </w:r>
      <w:hyperlink w:anchor="ref-10">
        <w:r>
          <w:rPr>
            <w:rStyle w:val="Hyperlink"/>
          </w:rPr>
          <w:t xml:space="preserve">[10]</w:t>
        </w:r>
      </w:hyperlink>
      <w:r>
        <w:t xml:space="preserve">. Everything the dissertation nails down is therefore associational and internal to the corpus. It shows where the cost topic masses; it cannot show what the cost would have been under the alternative design.</w:t>
      </w:r>
    </w:p>
    <w:p>
      <w:pPr>
        <w:pStyle w:val="BodyText"/>
        <w:spacing w:line="480" w:lineRule="auto"/>
        <w:ind w:firstLine="720"/>
      </w:pPr>
      <w:r>
        <w:t xml:space="preserve">Naming the missing counterfactual is no failure of nerve but a specification of the frontier. The design-stage inquiry exists precisely because the counterfactual comparison is not yet buildable, and its assignment is to hone the hypothesis and lodge the evidence so the eventual counterfactual study runs cheaper and better aimed. The dissertation’s candor about the absent counterfactual is what lets its positive claim, that the cost is real and venue-structured in the record, stand without caving into the larger claim it took pains never to make</w:t>
      </w:r>
      <w:r>
        <w:t xml:space="preserve"> </w:t>
      </w:r>
      <w:hyperlink w:anchor="ref-8">
        <w:r>
          <w:rPr>
            <w:rStyle w:val="Hyperlink"/>
          </w:rPr>
          <w:t xml:space="preserve">[8]</w:t>
        </w:r>
      </w:hyperlink>
      <w:r>
        <w:t xml:space="preserve">.</w:t>
      </w:r>
    </w:p>
    <w:bookmarkEnd w:id="129"/>
    <w:bookmarkStart w:id="130" w:name="what-a-skeptic-should-still-accept"/>
    <w:p>
      <w:pPr>
        <w:pStyle w:val="Heading2"/>
        <w:spacing w:line="480" w:lineRule="auto"/>
      </w:pPr>
      <w:r>
        <w:t xml:space="preserve">What a skeptic should still accept</w:t>
      </w:r>
    </w:p>
    <w:p>
      <w:pPr>
        <w:pStyle w:val="FirstParagraph"/>
        <w:spacing w:line="480" w:lineRule="auto"/>
      </w:pPr>
      <w:r>
        <w:t xml:space="preserve">Suppose a reader grants every threat above: coverage bias, metadata confounding, construct slippage, and the missing counterfactual. What survives? A tightly estimated, large, theoretically forecast venue gradient in the topic signal survives, twinned with the striking no-show of a time effect and a thin learning curve that together rule out a diffusion story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Even under maximal doubt about the stand-in, the corpus is not flat and its structure is not random; it is arrayed in exactly the way the coordination-cost mechanism forecasts, the structure lodged in community and altitude rather than in vintage. That surviving core runs modest, and it is not nothing, and it is enough to warrant the specific next-evidence recommendation Chapter 8 stakes. A finding that outlasts its own strongest objections is the breed worth building on</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30"/>
    <w:bookmarkStart w:id="131" w:name="Xa24fdb87619907c70f7cdb6daa90aa9cce5f3e4"/>
    <w:p>
      <w:pPr>
        <w:pStyle w:val="Heading2"/>
        <w:spacing w:line="480" w:lineRule="auto"/>
      </w:pPr>
      <w:r>
        <w:t xml:space="preserve">External validity beyond the retrieved corpus</w:t>
      </w:r>
    </w:p>
    <w:p>
      <w:pPr>
        <w:pStyle w:val="FirstParagraph"/>
        <w:spacing w:line="480" w:lineRule="auto"/>
      </w:pPr>
      <w:r>
        <w:t xml:space="preserve">A question apart from whether the finding is internally valid is whether it reaches past the thirty records to the wider lunar-design literature and, past that, to lunar engineering practice. The honest answer splits in two. Inside the population the corpus samples, the applied surveillance, systems-engineering, and space-economy literatures on lunar and cislunar systems, the venue gradient is likely to hold, because it mirrors a structural feature of how those communities write rather than an accident of which thirty papers got retrieved</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mechanism, that interface-proximate communities make coordination explicit while aggregate communities do not, is not peculiar to these records, and a bigger sample from the same literatures would plausibly reproduce the gradient.</w:t>
      </w:r>
    </w:p>
    <w:p>
      <w:pPr>
        <w:pStyle w:val="BodyText"/>
        <w:spacing w:line="480" w:lineRule="auto"/>
        <w:ind w:firstLine="720"/>
      </w:pPr>
      <w:r>
        <w:t xml:space="preserve">The second half runs more restrictive. The finding fails to reach lunar engineering practice, only the literature about it. That the coordination-cost topic masses in certain venues tells us how the design community writes, not how a built architecture behaves, and the vault from documentary structure to engineering reality is exactly the vault the dissertation declines to make</w:t>
      </w:r>
      <w:r>
        <w:t xml:space="preserve"> </w:t>
      </w:r>
      <w:hyperlink w:anchor="ref-6">
        <w:r>
          <w:rPr>
            <w:rStyle w:val="Hyperlink"/>
          </w:rPr>
          <w:t xml:space="preserve">[6]</w:t>
        </w:r>
      </w:hyperlink>
      <w:r>
        <w:t xml:space="preserve">. External validity, in the sense that counts for a program office, would demand showing that the coordination cost the literature foregrounds actually materializes in fielded systems, and no documentary sample can settle that. The corpus reaches a population of documents; it does not reach a population of lunar bases</w:t>
      </w:r>
      <w:r>
        <w:t xml:space="preserve"> </w:t>
      </w:r>
      <w:hyperlink w:anchor="ref-8">
        <w:r>
          <w:rPr>
            <w:rStyle w:val="Hyperlink"/>
          </w:rPr>
          <w:t xml:space="preserve">[8]</w:t>
        </w:r>
      </w:hyperlink>
      <w:r>
        <w:t xml:space="preserve">.</w:t>
      </w:r>
    </w:p>
    <w:bookmarkEnd w:id="131"/>
    <w:bookmarkStart w:id="132" w:name="X386a11fd68acb080eca8678810d3f75fa06fc6f"/>
    <w:p>
      <w:pPr>
        <w:pStyle w:val="Heading2"/>
        <w:spacing w:line="480" w:lineRule="auto"/>
      </w:pPr>
      <w:r>
        <w:t xml:space="preserve">The risk of confirmation and how the design guards against it</w:t>
      </w:r>
    </w:p>
    <w:p>
      <w:pPr>
        <w:pStyle w:val="FirstParagraph"/>
        <w:spacing w:line="480" w:lineRule="auto"/>
      </w:pPr>
      <w:r>
        <w:t xml:space="preserve">Because the finding squares with the theory so cleanly, it is fair to ask whether the design got arranged to confirm what it set out to find. Three features of the design stand guard against that charge. First, the forecasts ran joint and directional, pledging not only that venue would count but that recency would not and that the learning curve would run thin, so the theory staked itself on a specific pattern the data could have contradicted in several ways</w:t>
      </w:r>
      <w:r>
        <w:t xml:space="preserve"> </w:t>
      </w:r>
      <w:hyperlink w:anchor="ref-3">
        <w:r>
          <w:rPr>
            <w:rStyle w:val="Hyperlink"/>
          </w:rPr>
          <w:t xml:space="preserve">[3]</w:t>
        </w:r>
      </w:hyperlink>
      <w:r>
        <w:t xml:space="preserve"> </w:t>
      </w:r>
      <w:hyperlink w:anchor="ref-5">
        <w:r>
          <w:rPr>
            <w:rStyle w:val="Hyperlink"/>
          </w:rPr>
          <w:t xml:space="preserve">[5]</w:t>
        </w:r>
      </w:hyperlink>
      <w:r>
        <w:t xml:space="preserve">. Second, the estimators run spartan and their output reports to full precision, leaving no room to cherry-pick a favorable specification after eyeing the data. Third, the citation coefficient, which fell just past significance, got reported as suggestive rather than rounded up, which is the opposite of what a confirmation-seeking analysis would do</w:t>
      </w:r>
      <w:r>
        <w:t xml:space="preserve"> </w:t>
      </w:r>
      <w:hyperlink w:anchor="ref-10">
        <w:r>
          <w:rPr>
            <w:rStyle w:val="Hyperlink"/>
          </w:rPr>
          <w:t xml:space="preserve">[10]</w:t>
        </w:r>
      </w:hyperlink>
      <w:r>
        <w:t xml:space="preserve">.</w:t>
      </w:r>
    </w:p>
    <w:p>
      <w:pPr>
        <w:pStyle w:val="BodyText"/>
        <w:spacing w:line="480" w:lineRule="auto"/>
        <w:ind w:firstLine="720"/>
      </w:pPr>
      <w:r>
        <w:t xml:space="preserve">None of this renders the finding immune to the deeper threats already named, since coverage bias and construct slippage stay live. It does mean the finding is no artifact of analytic freedom. The design fenced itself beforehand to a pattern that could crumble, ran transparent estimators, and reported the ambiguous coefficient honestly. Those are the procedural guarantees that part a genuine test from a confirmation exercise, and they repay stating because a result that squares with its theory this well earns extra scrutiny about how it got produced</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32"/>
    <w:bookmarkStart w:id="133" w:name="what-a-null-result-would-have-meant"/>
    <w:p>
      <w:pPr>
        <w:pStyle w:val="Heading2"/>
        <w:spacing w:line="480" w:lineRule="auto"/>
      </w:pPr>
      <w:r>
        <w:t xml:space="preserve">What a null result would have meant</w:t>
      </w:r>
    </w:p>
    <w:p>
      <w:pPr>
        <w:pStyle w:val="FirstParagraph"/>
        <w:spacing w:line="480" w:lineRule="auto"/>
      </w:pPr>
      <w:r>
        <w:t xml:space="preserve">Counterfactual reasoning about the finding hones its meaning: what if the venue coefficient had come home flat? The design got built to render that outcome interpretable rather than merely deflating. A flat venue coefficient, twinned with a flat recency coefficient and a thin learning curve, would have said the coordination-cost topic reads illegible in the retrieved record at all, that the hunch driving the dissertation leaves no measurable trace in how the literature is arrayed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would have been a real result, and an honest one: it would have told a program office the paper trail cannot even lodge the cost, let alone price it, and that the hunch would have to get tested some wholly other way.</w:t>
      </w:r>
    </w:p>
    <w:p>
      <w:pPr>
        <w:pStyle w:val="BodyText"/>
        <w:spacing w:line="480" w:lineRule="auto"/>
        <w:ind w:firstLine="720"/>
      </w:pPr>
      <w:r>
        <w:t xml:space="preserve">That the design can report either outcome as a finding is what renders it a test rather than an advocacy exercise. A study that could only win, that would have narrated any pattern as backing for modularity’s hidden cost, would prove nothing. Because a flat venue coefficient rode as a live possibility with a clear meaning, the strong venue coefficient the data actually minted totes information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worth of the positive result is inseparable from the fact that the negative result rode available and interpretable, and stating what that negative result would have meant is part of showing the finding got earned.</w:t>
      </w:r>
    </w:p>
    <w:bookmarkEnd w:id="133"/>
    <w:bookmarkStart w:id="134" w:name="why-a-bounded-result-is-still-useful"/>
    <w:p>
      <w:pPr>
        <w:pStyle w:val="Heading2"/>
        <w:spacing w:line="480" w:lineRule="auto"/>
      </w:pPr>
      <w:r>
        <w:t xml:space="preserve">Why a bounded result is still useful</w:t>
      </w:r>
    </w:p>
    <w:p>
      <w:pPr>
        <w:pStyle w:val="FirstParagraph"/>
        <w:spacing w:line="480" w:lineRule="auto"/>
      </w:pPr>
      <w:r>
        <w:t xml:space="preserve">It would be a blunder to read the piled caveats as a retreat. A bounded result that is honestly bounded runs more useful to a program office than an oversold one, since it can be acted on without getting later contradicted by the data it should never have claimed to stand for. The dissertation nails down that the coordination cost of modular lunar systems is a documentable, venue-structured design object, riding across the record and untethered from publication fashion, and it nails down exactly what further evidence would be demanded to price it. For a field parked at the point where interface conventions and modular block boundaries are about to set into standards, knowing the cost is real and knowing precisely what it would take to gauge it are both worth having</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Chapter 8 flips that pair of results into a statement of contribution and a specification of the next data collection.</w:t>
      </w:r>
    </w:p>
    <w:bookmarkEnd w:id="134"/>
    <w:bookmarkEnd w:id="135"/>
    <w:bookmarkStart w:id="174" w:name="chapter-8.-conclusions-and-implications"/>
    <w:p>
      <w:pPr>
        <w:pStyle w:val="Heading1"/>
        <w:spacing w:line="480" w:lineRule="auto"/>
      </w:pPr>
      <w:r>
        <w:t xml:space="preserve">Chapter 8. Conclusions and Implications</w:t>
      </w:r>
    </w:p>
    <w:p>
      <w:pPr>
        <w:pStyle w:val="FirstParagraph"/>
        <w:spacing w:line="480" w:lineRule="auto"/>
      </w:pPr>
      <w:r>
        <w:t xml:space="preserve">Modularity charges back. That is the one sentence the dissertation wrings from its evidence, and this closing chapter fixes the contribution exactly, draws the governance and program-planning lessons the bounded findings can genuinely bear, and pins the next data collection that would let a successor test the cost claim outright rather than through a stand-in. The tone stays the tone of the rest of the work: claim what the corpus nailed down, and chalk clearly where the documents quit and mission data would have to pick up.</w:t>
      </w:r>
    </w:p>
    <w:bookmarkStart w:id="136" w:name="the-contribution-stated-exactly"/>
    <w:p>
      <w:pPr>
        <w:pStyle w:val="Heading2"/>
        <w:spacing w:line="480" w:lineRule="auto"/>
      </w:pPr>
      <w:r>
        <w:t xml:space="preserve">The contribution, stated exactly</w:t>
      </w:r>
    </w:p>
    <w:p>
      <w:pPr>
        <w:pStyle w:val="FirstParagraph"/>
        <w:spacing w:line="480" w:lineRule="auto"/>
      </w:pPr>
      <w:r>
        <w:t xml:space="preserve">The dissertation’s contribution is one falsifiable, documented result about how the coordination cost of modular lunar surface systems surfaces in the literature that designs them. Across thirty retrieved records, topic-signal intensity is heavily structured by venue family and structureless in publication time. The venue coefficient runs large, negative across the ordinal scale, and estimated with a p-value on the order of ten to the negative thirteenth, while the recency coefficient runs flat and insignificant and the learning curve runs thin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0">
        <w:r>
          <w:rPr>
            <w:rStyle w:val="Hyperlink"/>
          </w:rPr>
          <w:t xml:space="preserve">[10]</w:t>
        </w:r>
      </w:hyperlink>
      <w:r>
        <w:t xml:space="preserve">. The result rejects the null of no relationship for venue, sustains it for recency, and leaves citation attention suggestive yet short of the bar. That is the whole finding, and its worth lodges in its exactness: it lodges modularity’s hidden cost in the interoperation-heavy communities where interfaces have to get spelled, and it does so with numbers a doubter can reproduce.</w:t>
      </w:r>
    </w:p>
    <w:p>
      <w:pPr>
        <w:pStyle w:val="BodyText"/>
        <w:spacing w:line="480" w:lineRule="auto"/>
        <w:ind w:firstLine="720"/>
      </w:pPr>
      <w:r>
        <w:t xml:space="preserve">Framed against the two literatures of Chapter 2, the contribution is a bridge. The domain literature knew, in words, that coordination cost lives in the seams between modules. The measurement literature knew how to melt records into variables. The dissertation lashed them together, showing the qualitative cost leaves a measurable, venue-structured trace, and that the trace parks exactly where the engineering reasoning forecast, in surface and cislunar domain awareness, traffic management, servicing, ISRU, and modular assembly</w:t>
      </w:r>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Convergence between an independent engineering argument and a documentary measurement is no proof, and it is the breed of triangulation that makes a design-stage result worth building on.</w:t>
      </w:r>
    </w:p>
    <w:bookmarkEnd w:id="136"/>
    <w:bookmarkStart w:id="137" w:name="governance-and-program-relevance"/>
    <w:p>
      <w:pPr>
        <w:pStyle w:val="Heading2"/>
        <w:spacing w:line="480" w:lineRule="auto"/>
      </w:pPr>
      <w:r>
        <w:t xml:space="preserve">Governance and program relevance</w:t>
      </w:r>
    </w:p>
    <w:p>
      <w:pPr>
        <w:pStyle w:val="FirstParagraph"/>
        <w:spacing w:line="480" w:lineRule="auto"/>
      </w:pPr>
      <w:r>
        <w:t xml:space="preserve">The governance implication trails straight from where the signal lives. Modularity’s cost is a coordination cost, and coordination costs get governed at the interface, not inside the module. A lunar program that weighs modular architecture through module-level performance metrics alone will systematically undercount the burden, since the burden lives in interface control, data-sharing protocols, spares logistics, traffic and safety coordination, and operator training, none of which surfaces on a single module’s balance sheet</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The practical recommendation the evidence backs runs modest and pointed: treat modularity as a governance object, and budget analytic attention to interface and integration cost before the block boundaries and interface conventions set into standards.</w:t>
      </w:r>
    </w:p>
    <w:p>
      <w:pPr>
        <w:pStyle w:val="BodyText"/>
        <w:spacing w:line="480" w:lineRule="auto"/>
        <w:ind w:firstLine="720"/>
      </w:pPr>
      <w:r>
        <w:t xml:space="preserve">That recommendation totes a timing dimension that lends it weight. Lunar surface architecture parks at the stage where early framing choices turn expensive to unwind. Interface standards and modular decompositions chosen in the next handful of program cycles will shape lifecycle cost for decades, and if the coordination burden gets shortchanged at that stage, the field gambles on architectures whose true cost only surfaces after the interfaces freeze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dissertation cannot price that gamble, and it can say, with evidence, that the gamble is real and already documented, which is precisely the input a program office needs when weighing how much to sink into interface governance up front rather than into remediation later</w:t>
      </w:r>
      <w:r>
        <w:t xml:space="preserve"> </w:t>
      </w:r>
      <w:hyperlink w:anchor="ref-11">
        <w:r>
          <w:rPr>
            <w:rStyle w:val="Hyperlink"/>
          </w:rPr>
          <w:t xml:space="preserve">[11]</w:t>
        </w:r>
      </w:hyperlink>
      <w:r>
        <w:t xml:space="preserve">.</w:t>
      </w:r>
    </w:p>
    <w:p>
      <w:pPr>
        <w:pStyle w:val="BodyText"/>
        <w:spacing w:line="480" w:lineRule="auto"/>
        <w:ind w:firstLine="720"/>
      </w:pPr>
      <w:r>
        <w:t xml:space="preserve">For the standards and traffic-management community, the finding shores up a point the servicing and traffic-management literature makes on its own terms: modular assets running in shared lunar and cislunar volumes mint coordination requirements that no individual operator books</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The topic signal massing in exactly those venues is documentary confirmation that the community already treats this as a first-order problem, which stiffens the case for anticipatory interface and safety standards rather than reactive ones.</w:t>
      </w:r>
    </w:p>
    <w:bookmarkEnd w:id="137"/>
    <w:bookmarkStart w:id="138" w:name="X4a46c48ee4527028b15dc245616adf7d567ae86"/>
    <w:p>
      <w:pPr>
        <w:pStyle w:val="Heading2"/>
        <w:spacing w:line="480" w:lineRule="auto"/>
      </w:pPr>
      <w:r>
        <w:t xml:space="preserve">What the contribution deliberately withholds</w:t>
      </w:r>
    </w:p>
    <w:p>
      <w:pPr>
        <w:pStyle w:val="FirstParagraph"/>
        <w:spacing w:line="480" w:lineRule="auto"/>
      </w:pPr>
      <w:r>
        <w:t xml:space="preserve">Equally part of the contribution is what it declines to claim. The dissertation stakes no assertion that modular lunar systems outspend monolithic ones, floats no cost magnitude, and pins down no causation between design choice and lifecycle cost. Those withholdings are principled. The corpus holds no cost data, the venue code is an observed feature of the literature rather than a treatment, and thirty records are a screen, not a census</w:t>
      </w:r>
      <w:r>
        <w:t xml:space="preserve"> </w:t>
      </w:r>
      <w:hyperlink w:anchor="ref-6">
        <w:r>
          <w:rPr>
            <w:rStyle w:val="Hyperlink"/>
          </w:rPr>
          <w:t xml:space="preserve">[6]</w:t>
        </w:r>
      </w:hyperlink>
      <w:r>
        <w:t xml:space="preserve"> </w:t>
      </w:r>
      <w:hyperlink w:anchor="ref-8">
        <w:r>
          <w:rPr>
            <w:rStyle w:val="Hyperlink"/>
          </w:rPr>
          <w:t xml:space="preserve">[8]</w:t>
        </w:r>
      </w:hyperlink>
      <w:r>
        <w:t xml:space="preserve">. A dissertation that claimed more would be claiming past its evidence, and the credibility of the venue result hangs on refusing that. The restraint is the argument’s foundation, not a caveat clipped onto it.</w:t>
      </w:r>
    </w:p>
    <w:bookmarkEnd w:id="138"/>
    <w:bookmarkStart w:id="139" w:name="the-next-data-collection"/>
    <w:p>
      <w:pPr>
        <w:pStyle w:val="Heading2"/>
        <w:spacing w:line="480" w:lineRule="auto"/>
      </w:pPr>
      <w:r>
        <w:t xml:space="preserve">The next data collection</w:t>
      </w:r>
    </w:p>
    <w:p>
      <w:pPr>
        <w:pStyle w:val="FirstParagraph"/>
        <w:spacing w:line="480" w:lineRule="auto"/>
      </w:pPr>
      <w:r>
        <w:t xml:space="preserve">The clearest signal from the whole design is what to gauge next. The corpus screen lodged the cost; it could not price it. Pricing it demands crossing from metadata to mission data, and the design’s full reproducibility keeps the handoff clean. Three steps trail in order.</w:t>
      </w:r>
    </w:p>
    <w:p>
      <w:pPr>
        <w:pStyle w:val="BodyText"/>
        <w:spacing w:line="480" w:lineRule="auto"/>
        <w:ind w:firstLine="720"/>
      </w:pPr>
      <w:r>
        <w:t xml:space="preserve">First, a robustness pass on the present result: a leave-one-out check to confirm the venue effect does not rest on a few high-leverage records, especially the most-cited servicing paper, and a retrieval that holds metadata richness roughly still across venue families to part substantive massing from documentation practice</w:t>
      </w:r>
      <w:r>
        <w:t xml:space="preserve"> </w:t>
      </w:r>
      <w:hyperlink w:anchor="ref-10">
        <w:r>
          <w:rPr>
            <w:rStyle w:val="Hyperlink"/>
          </w:rPr>
          <w:t xml:space="preserve">[10]</w:t>
        </w:r>
      </w:hyperlink>
      <w:r>
        <w:t xml:space="preserve">. This runs cheap, it works the existing data structure, and it should get done before any larger claim gets built on the venue coefficient.</w:t>
      </w:r>
    </w:p>
    <w:p>
      <w:pPr>
        <w:pStyle w:val="BodyText"/>
        <w:spacing w:line="480" w:lineRule="auto"/>
        <w:ind w:firstLine="720"/>
      </w:pPr>
      <w:r>
        <w:t xml:space="preserve">Second, a document-coding study that pushes past term hits to code, for each source, the specific coordination burdens it names: interface count, data-sharing requirements, verification and assurance load, spares and logistics implications, and operational-integration steps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This flips the topic signal from a stand-in into a structured gauge of the mechanism itself, and it lies within reach off the same literature with hand coding rather than new mission access.</w:t>
      </w:r>
    </w:p>
    <w:p>
      <w:pPr>
        <w:pStyle w:val="BodyText"/>
        <w:spacing w:line="480" w:lineRule="auto"/>
        <w:ind w:firstLine="720"/>
      </w:pPr>
      <w:r>
        <w:t xml:space="preserve">Third, the step the whole dissertation aims at: pairing a modular and a monolithic lunar surface concept with real engineering trade-study and cost-estimate data, and testing whether the coordination burden the corpus dragged into view actually outweighs the fabrication savings in a real architecture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That study demands procurement, integration, and operations data the present design goes without, and it inherits a sharpened hypothesis, a validated place to look, and an estimator rigged to swallow cost data in place of the topic-signal stand-in. The design-stage dissertation exists precisely to make that next study cheaper and better aimed.</w:t>
      </w:r>
    </w:p>
    <w:bookmarkEnd w:id="139"/>
    <w:bookmarkStart w:id="140" w:name="X7dfe325da4e88fb85f0e1bfe93b08a69b90d0cf"/>
    <w:p>
      <w:pPr>
        <w:pStyle w:val="Heading2"/>
        <w:spacing w:line="480" w:lineRule="auto"/>
      </w:pPr>
      <w:r>
        <w:t xml:space="preserve">Implications for how lunar cost is analyzed</w:t>
      </w:r>
    </w:p>
    <w:p>
      <w:pPr>
        <w:pStyle w:val="FirstParagraph"/>
        <w:spacing w:line="480" w:lineRule="auto"/>
      </w:pPr>
      <w:r>
        <w:t xml:space="preserve">There sits a broader lesson for cost analysis in the lunar-systems community that the specific finding backs. Cost-estimating practice leans toward building up from subsystems, pricing each module and summing, because that is how work gets contracted and how estimates get audited. The dissertation’s result is a warning about the blind spot in that practice. If the coordination cost of modularity lives at the interfaces between modules, then a bottom-up estimate that prices modules and files interfaces under a small integration line item will systematically undercount exactly the burden the record shows to be real and venue-structured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corrective is not to junk bottom-up estimation but to price interfaces, data-sharing, assurance, and operational coordination as first-class cost objects, the way the in-orbit assembly and servicing literatures already do when the entire architecture hinges on getting the interfaces right</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This reframing totes organizational consequences alongside arithmetic ones. Interfaces cross contractual lines, which means the coordination cost of modularity is often nobody’s line item: each vendor prices its module, and the cost of making the modules interoperate falls into the gap between contracts. A program that wants an honest lifecycle estimate for a modular lunar architecture has to hang ownership of the interface cost on someone, and the dissertation’s evidence that the cost is real and massed is an argument for doing so early, before the interfaces freeze and the coordination burden hardens into a discovered overrun rather than a planned expense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40"/>
    <w:bookmarkStart w:id="141" w:name="Xbc2a0f6872e932ebfc730e6e0794caece3acdb9"/>
    <w:p>
      <w:pPr>
        <w:pStyle w:val="Heading2"/>
        <w:spacing w:line="480" w:lineRule="auto"/>
      </w:pPr>
      <w:r>
        <w:t xml:space="preserve">Relevance to standards and international coordination</w:t>
      </w:r>
    </w:p>
    <w:p>
      <w:pPr>
        <w:pStyle w:val="FirstParagraph"/>
        <w:spacing w:line="480" w:lineRule="auto"/>
      </w:pPr>
      <w:r>
        <w:t xml:space="preserve">The finding also speaks to the governance layer above any single program. Lunar and cislunar operations are steering toward shared volumes, shared safety regimes, and multi-actor traffic coordination, and the servicing and traffic-management literatures already treat modular interoperation among many operators as a first-order problem</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The dissertation’s evidence that the coordination-cost topic masses in exactly those venues is documentary confirmation that the technical community grasps the stakes, and it stiffens the case for anticipatory interface and data-sharing standards raised before the architectures freeze rather than retrofitted after. Standards set early are coordination costs paid once, at the institutional level, in place of coordination costs paid over and over, at every bilateral interface, later</w:t>
      </w:r>
      <w:r>
        <w:t xml:space="preserve"> </w:t>
      </w:r>
      <w:hyperlink w:anchor="ref-15">
        <w:r>
          <w:rPr>
            <w:rStyle w:val="Hyperlink"/>
          </w:rPr>
          <w:t xml:space="preserve">[15]</w:t>
        </w:r>
      </w:hyperlink>
      <w:r>
        <w:t xml:space="preserve">. The timing logic is the same one steering the program-level recommendation: interface coordination runs cheapest to handle before commitments freeze, whether the commitment is a single program’s block boundaries or an international regime’s shared safety envelope.</w:t>
      </w:r>
    </w:p>
    <w:p>
      <w:pPr>
        <w:pStyle w:val="BodyText"/>
        <w:spacing w:line="480" w:lineRule="auto"/>
        <w:ind w:firstLine="720"/>
      </w:pPr>
      <w:r>
        <w:t xml:space="preserve">That argument is bounded the same way the rest of the dissertation is bounded. The corpus cannot say what the right standards are, or price the split between early and late standardization. It can say the community treats modular interoperation as a documented, serious design object, which is the evidentiary basis for taking interface governance seriously as a cost driver rather than a technical afterthought</w:t>
      </w:r>
      <w:r>
        <w:t xml:space="preserve"> </w:t>
      </w:r>
      <w:hyperlink w:anchor="ref-4">
        <w:r>
          <w:rPr>
            <w:rStyle w:val="Hyperlink"/>
          </w:rPr>
          <w:t xml:space="preserve">[4]</w:t>
        </w:r>
      </w:hyperlink>
      <w:r>
        <w:t xml:space="preserve"> </w:t>
      </w:r>
      <w:hyperlink w:anchor="ref-7">
        <w:r>
          <w:rPr>
            <w:rStyle w:val="Hyperlink"/>
          </w:rPr>
          <w:t xml:space="preserve">[7]</w:t>
        </w:r>
      </w:hyperlink>
      <w:r>
        <w:t xml:space="preserve">. For institutions weighing how much anticipatory coordination to sink in, that is a usable input even though it is no cost model.</w:t>
      </w:r>
    </w:p>
    <w:bookmarkEnd w:id="141"/>
    <w:bookmarkStart w:id="142" w:name="a-note-on-the-method-as-contribution"/>
    <w:p>
      <w:pPr>
        <w:pStyle w:val="Heading2"/>
        <w:spacing w:line="480" w:lineRule="auto"/>
      </w:pPr>
      <w:r>
        <w:t xml:space="preserve">A note on the method as contribution</w:t>
      </w:r>
    </w:p>
    <w:p>
      <w:pPr>
        <w:pStyle w:val="FirstParagraph"/>
        <w:spacing w:line="480" w:lineRule="auto"/>
      </w:pPr>
      <w:r>
        <w:t xml:space="preserve">Apart from the lunar finding, the dissertation delivers a reusable posture for design-stage inquiry under evidentiary scarcity. The pattern, take a phenomenon visible in the literature before program data exist, build a deterministic and reproducible gauge from source metadata, pledge beforehand to a falsifiable joint forecast, report exactly what the estimators hand back, and chalk the boundary where mission data has to take the wheel, travels to the many space-governance questions that share this structure</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specific estimators here, an ordinary least squares screen and a learning curve, weigh less than the discipline framing them: pre-committed forecasts, full-precision reporting, end-to-end provenance, and a refusal to let a strong fit on a stand-in impersonate a claim about the thing itself</w:t>
      </w:r>
      <w:r>
        <w:t xml:space="preserve"> </w:t>
      </w:r>
      <w:hyperlink w:anchor="ref-6">
        <w:r>
          <w:rPr>
            <w:rStyle w:val="Hyperlink"/>
          </w:rPr>
          <w:t xml:space="preserve">[6]</w:t>
        </w:r>
      </w:hyperlink>
      <w:r>
        <w:t xml:space="preserve"> </w:t>
      </w:r>
      <w:hyperlink w:anchor="ref-8">
        <w:r>
          <w:rPr>
            <w:rStyle w:val="Hyperlink"/>
          </w:rPr>
          <w:t xml:space="preserve">[8]</w:t>
        </w:r>
      </w:hyperlink>
      <w:r>
        <w:t xml:space="preserve">. That discipline is the part of the work most likely to outlast the particular corpus.</w:t>
      </w:r>
    </w:p>
    <w:bookmarkEnd w:id="142"/>
    <w:bookmarkStart w:id="143" w:name="what-the-successor-study-inherits"/>
    <w:p>
      <w:pPr>
        <w:pStyle w:val="Heading2"/>
        <w:spacing w:line="480" w:lineRule="auto"/>
      </w:pPr>
      <w:r>
        <w:t xml:space="preserve">What the successor study inherits</w:t>
      </w:r>
    </w:p>
    <w:p>
      <w:pPr>
        <w:pStyle w:val="FirstParagraph"/>
        <w:spacing w:line="480" w:lineRule="auto"/>
      </w:pPr>
      <w:r>
        <w:t xml:space="preserve">It repays stating exactly what a follow-on inherits from this design, since the worth of a design-stage dissertation gets measured largely by how far it drops the cost of the study that follows. A successor inherits a sharpened hypothesis: not the vague claim that modularity is pricey, but the specific, lodged claim that the coordination cost masses at interfaces and surfaces in interface-proximate literatures and, by extension, in interface-heavy architectures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It inherits a validated place to look, the surface-domain-awareness, traffic-management, servicing, ISRU, and assembly communities where the signal runs densest, which tells a resource-strapped follow-on where to spend its coding and data-collection effort</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And it inherits an estimator rigged to swallow cost data in place of the topic-signal stand-in, so that when matched modular and monolithic concepts with real trade-study data land, the test can run under a specification already worked out.</w:t>
      </w:r>
    </w:p>
    <w:p>
      <w:pPr>
        <w:pStyle w:val="BodyText"/>
        <w:spacing w:line="480" w:lineRule="auto"/>
        <w:ind w:firstLine="720"/>
      </w:pPr>
      <w:r>
        <w:t xml:space="preserve">That inheritance is the concrete shape of the methodological contribution. Many design-stage inquiries close by waving at future work; this one closes by handing over a specific, reusable apparatus and a hypothesis that has already outlasted a first empirical screen and its own strongest objections</w:t>
      </w:r>
      <w:r>
        <w:t xml:space="preserve"> </w:t>
      </w:r>
      <w:hyperlink w:anchor="ref-8">
        <w:r>
          <w:rPr>
            <w:rStyle w:val="Hyperlink"/>
          </w:rPr>
          <w:t xml:space="preserve">[8]</w:t>
        </w:r>
      </w:hyperlink>
      <w:r>
        <w:t xml:space="preserve">. The gap between a hunch and a testable, well-aimed research program is where a great deal of wasted effort hides in early space governance, and shutting that gap for the modularity-cost question is a deliverable in its own right, apart from the substantive finding.</w:t>
      </w:r>
    </w:p>
    <w:bookmarkEnd w:id="143"/>
    <w:bookmarkStart w:id="144" w:name="a-realistic-account-of-impact"/>
    <w:p>
      <w:pPr>
        <w:pStyle w:val="Heading2"/>
        <w:spacing w:line="480" w:lineRule="auto"/>
      </w:pPr>
      <w:r>
        <w:t xml:space="preserve">A realistic account of impact</w:t>
      </w:r>
    </w:p>
    <w:p>
      <w:pPr>
        <w:pStyle w:val="FirstParagraph"/>
        <w:spacing w:line="480" w:lineRule="auto"/>
      </w:pPr>
      <w:r>
        <w:t xml:space="preserve">I want to close the argument without puffing it up. This dissertation will not settle whether NASA or its partners should favor modular or monolithic lunar architectures; it was never built to, and claiming otherwise would betray the discipline that lends the work its credibility</w:t>
      </w:r>
      <w:r>
        <w:t xml:space="preserve"> </w:t>
      </w:r>
      <w:hyperlink w:anchor="ref-6">
        <w:r>
          <w:rPr>
            <w:rStyle w:val="Hyperlink"/>
          </w:rPr>
          <w:t xml:space="preserve">[6]</w:t>
        </w:r>
      </w:hyperlink>
      <w:r>
        <w:t xml:space="preserve">. What it can plausibly do is shift how the coordination cost of modularity gets handled at the design stage: from an afterthought swallowed into an integration line item toward a first-class cost object that gets priced, owned, and governed before interfaces freeze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That is a modest yet real shape of impact, and it is the shape the evidence actually backs. A program that reads this work and resolves to fund a proper interface-cost study, or to hang contractual ownership of interface coordination early, has taken exactly the action the finding warrants, no more and no less.</w:t>
      </w:r>
    </w:p>
    <w:p>
      <w:pPr>
        <w:pStyle w:val="BodyText"/>
        <w:spacing w:line="480" w:lineRule="auto"/>
        <w:ind w:firstLine="720"/>
      </w:pPr>
      <w:r>
        <w:t xml:space="preserve">The larger ambition is transferability. If the posture shown here, disciplined gauging off a documentary record, pre-committed falsifiable forecasts, full-precision reporting, and an honest boundary, gets adopted for the many space-governance questions that share this evidentiary structure, then the specific lunar finding weighs less than the example of how to reason under scarcity</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field brims with phenomena visible in the literature years before clean program data land, and a repeatable way to wring bounded, checkable claims out of that interval is worth more than any single result.</w:t>
      </w:r>
    </w:p>
    <w:bookmarkEnd w:id="144"/>
    <w:bookmarkStart w:id="145" w:name="X4ffb055d388496fb334ddc9c280fb8b5a70ec68"/>
    <w:p>
      <w:pPr>
        <w:pStyle w:val="Heading2"/>
        <w:spacing w:line="480" w:lineRule="auto"/>
      </w:pPr>
      <w:r>
        <w:t xml:space="preserve">The finding restated for a program audience</w:t>
      </w:r>
    </w:p>
    <w:p>
      <w:pPr>
        <w:pStyle w:val="FirstParagraph"/>
        <w:spacing w:line="480" w:lineRule="auto"/>
      </w:pPr>
      <w:r>
        <w:t xml:space="preserve">For a reader who will act on this rather than defend it, the finding boils down to three sentences worth stating plainly. Modularity’s coordination cost in lunar surface systems is real enough to leave a strong, precisely gauged trace in the literature that designs those systems, massed in the communities that have to spell interfaces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cost is a standing feature of interoperation-heavy design, not a recent fashion, so it will not diffuse away as the field ripens; if anything, it is already baked into how the applied literature has written about distributed lunar systems for years</w:t>
      </w:r>
      <w:r>
        <w:t xml:space="preserve"> </w:t>
      </w:r>
      <w:hyperlink w:anchor="ref-2">
        <w:r>
          <w:rPr>
            <w:rStyle w:val="Hyperlink"/>
          </w:rPr>
          <w:t xml:space="preserve">[2]</w:t>
        </w:r>
      </w:hyperlink>
      <w:r>
        <w:t xml:space="preserve"> </w:t>
      </w:r>
      <w:hyperlink w:anchor="ref-7">
        <w:r>
          <w:rPr>
            <w:rStyle w:val="Hyperlink"/>
          </w:rPr>
          <w:t xml:space="preserve">[7]</w:t>
        </w:r>
      </w:hyperlink>
      <w:r>
        <w:t xml:space="preserve">. And the cost lives at the interfaces between modules, which means bottom-up estimates that price modules and file interfaces as a minor line item will miss it systematically</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action those three sentences warrant runs proportionate and clear. Price interfaces, data-sharing, assurance, and operational coordination as first-class cost objects. Hang ownership of interface cost before contracts splinter it across vendors. Fund the interface-cost study the design pins down. None of these demands granting a claim the dissertation never made, and each trails from a finding the evidence actually backs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45"/>
    <w:bookmarkStart w:id="146" w:name="closing"/>
    <w:p>
      <w:pPr>
        <w:pStyle w:val="Heading2"/>
        <w:spacing w:line="480" w:lineRule="auto"/>
      </w:pPr>
      <w:r>
        <w:t xml:space="preserve">Closing</w:t>
      </w:r>
    </w:p>
    <w:p>
      <w:pPr>
        <w:pStyle w:val="FirstParagraph"/>
        <w:spacing w:line="480" w:lineRule="auto"/>
      </w:pPr>
      <w:r>
        <w:t xml:space="preserve">The work set out to flip a plausible hunch, that modularity in lunar surface systems totes a hidden coordination cost, into a falsifiable test that obtainable evidence could genuinely prop up, and to report only what the test handed back. It did that. The retrieved record shows the cost is real enough to leave a venue-structured trace, standing across time rather than diffusing through it, massed where lunar design communities have to spell how parts mesh</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record cannot yet price the cost, and the dissertation says so without flinching. What it hands over instead is a disciplined foundation: a documented finding, an honest boundary, and a clear specification of the mission-level evidence that would flip a legible cost into a measured one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dissertation closes where a design-stage inquiry should close, with a claim sized to its evidence, a boundary chalked in plain sight, and a next step pinned precisely enough to act on. Modularity’s hidden cost in lunar surface systems is no longer a mere hunch; it is a documented, venue-structured feature of the literature that designs those systems, and the road from that documentary finding to a measured program cost is now mapped rather than merely waved at</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For a field about to commit to the interfaces that will fix lunar surface architecture for a generation, that foundation is a useful place to build from.</w:t>
      </w:r>
    </w:p>
    <w:bookmarkEnd w:id="146"/>
    <w:bookmarkStart w:id="173" w:name="references"/>
    <w:p>
      <w:pPr>
        <w:pStyle w:val="Heading2"/>
        <w:spacing w:line="480" w:lineRule="auto"/>
      </w:pPr>
      <w:r>
        <w:t xml:space="preserve">References</w:t>
      </w:r>
    </w:p>
    <w:p>
      <w:pPr>
        <w:pStyle w:val="FirstParagraph"/>
        <w:spacing w:line="480" w:lineRule="auto"/>
      </w:pPr>
      <w:bookmarkStart w:id="147" w:name="ref-1"/>
      <w:bookmarkEnd w:id="147"/>
      <w:r>
        <w:t xml:space="preserve">1.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 [AMOS]</w:t>
      </w:r>
    </w:p>
    <w:p>
      <w:pPr>
        <w:pStyle w:val="BodyText"/>
        <w:spacing w:line="480" w:lineRule="auto"/>
        <w:ind w:firstLine="720"/>
      </w:pPr>
      <w:bookmarkStart w:id="148" w:name="ref-2"/>
      <w:bookmarkEnd w:id="148"/>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p>
    <w:p>
      <w:pPr>
        <w:pStyle w:val="BodyText"/>
        <w:spacing w:line="480" w:lineRule="auto"/>
        <w:ind w:firstLine="720"/>
      </w:pPr>
      <w:bookmarkStart w:id="149" w:name="ref-3"/>
      <w:bookmarkEnd w:id="149"/>
      <w:r>
        <w:t xml:space="preserve">3. Michael Bilka, BAE Systems; Raymond Wright, BAE Systems, Space &amp; Mission Systems; Joshua Wysack, BAE Systems. Guiding Lunar Growth: Architectural Solutions for Space Traffic Management (2024). doi:</w:t>
      </w:r>
      <w:r>
        <w:t xml:space="preserve"> </w:t>
      </w:r>
      <w:hyperlink r:id="rId150">
        <w:r>
          <w:rPr>
            <w:rStyle w:val="Hyperlink"/>
          </w:rPr>
          <w:t xml:space="preserve">10.64861/RBTM5104</w:t>
        </w:r>
      </w:hyperlink>
    </w:p>
    <w:p>
      <w:pPr>
        <w:pStyle w:val="BodyText"/>
        <w:spacing w:line="480" w:lineRule="auto"/>
        <w:ind w:firstLine="720"/>
      </w:pPr>
      <w:bookmarkStart w:id="151" w:name="ref-4"/>
      <w:bookmarkEnd w:id="151"/>
      <w:r>
        <w:t xml:space="preserve">4. Elvis D. Silva, Ball Aerospace; Jeffrey Van Cleve, Ball Aerospace; Rob Philbrick, Ball Aerospace; Christopher J. Grant, Ball Aerospace; Jacob D. Griesbach, Ball Aerospace; Michael P. Mahoney, Ball Aerospace. Systems and Methods for Hybrid Lunar Surface and Space Domain Situational Awareness (2021). [AMOS]</w:t>
      </w:r>
    </w:p>
    <w:p>
      <w:pPr>
        <w:pStyle w:val="BodyText"/>
        <w:spacing w:line="480" w:lineRule="auto"/>
        <w:ind w:firstLine="720"/>
      </w:pPr>
      <w:bookmarkStart w:id="152" w:name="ref-5"/>
      <w:bookmarkEnd w:id="152"/>
      <w:r>
        <w:t xml:space="preserve">5. Nathan R. Boone, Air Force Institute of Technology; Robert A. Bettinger, Air Force Institute of Technology. Long-Term Evolution of Debris Clouds in Low Lunar Orbit (2022). [AMOS]</w:t>
      </w:r>
    </w:p>
    <w:p>
      <w:pPr>
        <w:pStyle w:val="BodyText"/>
        <w:spacing w:line="480" w:lineRule="auto"/>
        <w:ind w:firstLine="720"/>
      </w:pPr>
      <w:bookmarkStart w:id="153" w:name="ref-6"/>
      <w:bookmarkEnd w:id="153"/>
      <w:r>
        <w:t xml:space="preserve">6. Darin C. Koblick, Raytheon Intelligence and Space; Joseph S. Choi, Raytheon Intelligence and Space. Earth Gravity Assisted Inclination Change to Reduce Lunar Constellation Deployment Delta-V (2022). [AMOS]</w:t>
      </w:r>
    </w:p>
    <w:p>
      <w:pPr>
        <w:pStyle w:val="BodyText"/>
        <w:spacing w:line="480" w:lineRule="auto"/>
        <w:ind w:firstLine="720"/>
      </w:pPr>
      <w:bookmarkStart w:id="154" w:name="ref-7"/>
      <w:bookmarkEnd w:id="154"/>
      <w:r>
        <w:t xml:space="preserve">7. Brian Banks, Leidos; Robert Smith II, Leidos; Ronald Wagner, Leidos; Victor Aguero, SRI International; Scott Williams, SRI International; Matthew Duncan, SpaceNav; Stijn De Smet, SpaceNav; Marc Balducci, SpaceNav. A Sensor-Rich Solution for Lunar/Cislunar Space Domain Awareness (2020). [AMOS]</w:t>
      </w:r>
    </w:p>
    <w:p>
      <w:pPr>
        <w:pStyle w:val="BodyText"/>
        <w:spacing w:line="480" w:lineRule="auto"/>
        <w:ind w:firstLine="720"/>
      </w:pPr>
      <w:bookmarkStart w:id="155" w:name="ref-8"/>
      <w:bookmarkEnd w:id="155"/>
      <w:r>
        <w:t xml:space="preserve">8.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156">
        <w:r>
          <w:rPr>
            <w:rStyle w:val="Hyperlink"/>
          </w:rPr>
          <w:t xml:space="preserve">10.64861/TLLP2048</w:t>
        </w:r>
      </w:hyperlink>
    </w:p>
    <w:p>
      <w:pPr>
        <w:pStyle w:val="BodyText"/>
        <w:spacing w:line="480" w:lineRule="auto"/>
        <w:ind w:firstLine="720"/>
      </w:pPr>
      <w:bookmarkStart w:id="157" w:name="ref-9"/>
      <w:bookmarkEnd w:id="157"/>
      <w:r>
        <w:t xml:space="preserve">9. Jasper Dijks; Sybren de Jong; Alessandra Menicucci; Iklim Akay. Systematic review of engineering and testing approaches for radiation hardness assurance in commercial space avionics (2025). doi:</w:t>
      </w:r>
      <w:r>
        <w:t xml:space="preserve"> </w:t>
      </w:r>
      <w:hyperlink r:id="rId158">
        <w:r>
          <w:rPr>
            <w:rStyle w:val="Hyperlink"/>
          </w:rPr>
          <w:t xml:space="preserve">10.1016/j.actaastro.2025.07.055</w:t>
        </w:r>
      </w:hyperlink>
    </w:p>
    <w:p>
      <w:pPr>
        <w:pStyle w:val="BodyText"/>
        <w:spacing w:line="480" w:lineRule="auto"/>
        <w:ind w:firstLine="720"/>
      </w:pPr>
      <w:bookmarkStart w:id="159" w:name="ref-10"/>
      <w:bookmarkEnd w:id="159"/>
      <w:r>
        <w:t xml:space="preserve">10.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60">
        <w:r>
          <w:rPr>
            <w:rStyle w:val="Hyperlink"/>
          </w:rPr>
          <w:t xml:space="preserve">10.1016/j.actaastro.2024.05.007</w:t>
        </w:r>
      </w:hyperlink>
    </w:p>
    <w:p>
      <w:pPr>
        <w:pStyle w:val="BodyText"/>
        <w:spacing w:line="480" w:lineRule="auto"/>
        <w:ind w:firstLine="720"/>
      </w:pPr>
      <w:bookmarkStart w:id="161" w:name="ref-11"/>
      <w:bookmarkEnd w:id="161"/>
      <w:r>
        <w:t xml:space="preserve">11. Luka Malone; Michel‐Alexandre Cardin; J.J. Cilliers; Stanley Starr; Kathryn Hadler. Controlled user study on the role of situational awareness in design decisions for future lunar In-situ resource utilization systems (2026). doi:</w:t>
      </w:r>
      <w:r>
        <w:t xml:space="preserve"> </w:t>
      </w:r>
      <w:hyperlink r:id="rId162">
        <w:r>
          <w:rPr>
            <w:rStyle w:val="Hyperlink"/>
          </w:rPr>
          <w:t xml:space="preserve">10.1016/j.actaastro.2026.04.012</w:t>
        </w:r>
      </w:hyperlink>
    </w:p>
    <w:p>
      <w:pPr>
        <w:pStyle w:val="BodyText"/>
        <w:spacing w:line="480" w:lineRule="auto"/>
        <w:ind w:firstLine="720"/>
      </w:pPr>
      <w:bookmarkStart w:id="163" w:name="ref-12"/>
      <w:bookmarkEnd w:id="163"/>
      <w:r>
        <w:t xml:space="preserve">12. Alejandro Sabán-Fosch; Eduard Diez-Lledó; M. Sòria; Miquel Sureda. Towards the first European autonomous flight safety system- software and hardware design (2025). doi:</w:t>
      </w:r>
      <w:r>
        <w:t xml:space="preserve"> </w:t>
      </w:r>
      <w:hyperlink r:id="rId164">
        <w:r>
          <w:rPr>
            <w:rStyle w:val="Hyperlink"/>
          </w:rPr>
          <w:t xml:space="preserve">10.1016/j.actaastro.2025.07.004</w:t>
        </w:r>
      </w:hyperlink>
    </w:p>
    <w:p>
      <w:pPr>
        <w:pStyle w:val="BodyText"/>
        <w:spacing w:line="480" w:lineRule="auto"/>
        <w:ind w:firstLine="720"/>
      </w:pPr>
      <w:bookmarkStart w:id="165" w:name="ref-13"/>
      <w:bookmarkEnd w:id="165"/>
      <w:r>
        <w:t xml:space="preserve">13. André Fonseca Prince; Bernhard Vodermayer; Benedikt Pleintinger; Alexander Kolb; G. Franchini; Emanuel Staudinger; Enrico Dietz; Susanne Schröder; Sven Frohmann; Fabian Seel; Armin Wedler. Modular Mechatronics Infrastructure for robotic planetary exploration assets in a field operation scenario (2023). doi:</w:t>
      </w:r>
      <w:r>
        <w:t xml:space="preserve"> </w:t>
      </w:r>
      <w:hyperlink r:id="rId166">
        <w:r>
          <w:rPr>
            <w:rStyle w:val="Hyperlink"/>
          </w:rPr>
          <w:t xml:space="preserve">10.1016/j.actaastro.2023.07.037</w:t>
        </w:r>
      </w:hyperlink>
    </w:p>
    <w:p>
      <w:pPr>
        <w:pStyle w:val="BodyText"/>
        <w:spacing w:line="480" w:lineRule="auto"/>
        <w:ind w:firstLine="720"/>
      </w:pPr>
      <w:bookmarkStart w:id="167" w:name="ref-14"/>
      <w:bookmarkEnd w:id="167"/>
      <w:r>
        <w:t xml:space="preserve">14. Alberto Sarritzu; Angelo Pasini. Performance comparison of green propulsion systems for future Orbital Transfer Vehicles (2024). doi:</w:t>
      </w:r>
      <w:r>
        <w:t xml:space="preserve"> </w:t>
      </w:r>
      <w:hyperlink r:id="rId168">
        <w:r>
          <w:rPr>
            <w:rStyle w:val="Hyperlink"/>
          </w:rPr>
          <w:t xml:space="preserve">10.1016/j.actaastro.2024.01.032</w:t>
        </w:r>
      </w:hyperlink>
    </w:p>
    <w:p>
      <w:pPr>
        <w:pStyle w:val="BodyText"/>
        <w:spacing w:line="480" w:lineRule="auto"/>
        <w:ind w:firstLine="720"/>
      </w:pPr>
      <w:bookmarkStart w:id="169" w:name="ref-15"/>
      <w:bookmarkEnd w:id="169"/>
      <w:r>
        <w:t xml:space="preserve">15. Manu H. Nair; Mini C. Rai; Sarah Reade; Ori Bloch; Sam Adlen; Martin Soltau; D. Homfray. In-orbit assembly of high-value modular infrastructures: Holistic analysis and mission concepts (2025). doi:</w:t>
      </w:r>
      <w:r>
        <w:t xml:space="preserve"> </w:t>
      </w:r>
      <w:hyperlink r:id="rId170">
        <w:r>
          <w:rPr>
            <w:rStyle w:val="Hyperlink"/>
          </w:rPr>
          <w:t xml:space="preserve">10.1016/j.actaastro.2025.09.070</w:t>
        </w:r>
      </w:hyperlink>
    </w:p>
    <w:p>
      <w:pPr>
        <w:pStyle w:val="BodyText"/>
        <w:spacing w:line="480" w:lineRule="auto"/>
        <w:ind w:firstLine="720"/>
      </w:pPr>
      <w:bookmarkStart w:id="171" w:name="ref-16"/>
      <w:bookmarkEnd w:id="171"/>
      <w:r>
        <w:t xml:space="preserve">16. Michele Ceresoli; Fabrizio Maccari; Edoardo Moresi; Michèle Lavagna. Design and station-keeping strategies for robust lunar navigation constellations (2025). doi:</w:t>
      </w:r>
      <w:r>
        <w:t xml:space="preserve"> </w:t>
      </w:r>
      <w:hyperlink r:id="rId172">
        <w:r>
          <w:rPr>
            <w:rStyle w:val="Hyperlink"/>
          </w:rPr>
          <w:t xml:space="preserve">10.1016/j.actaastro.2025.06.025</w:t>
        </w:r>
      </w:hyperlink>
    </w:p>
    <w:bookmarkEnd w:id="173"/>
    <w:bookmarkEnd w:id="174"/>
    <w:bookmarkStart w:id="19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2" w:name="X851094d1b3813d283ebdc65f429296d4d4879d2"/>
    <w:p>
      <w:pPr>
        <w:pStyle w:val="Heading2"/>
        <w:spacing w:line="480" w:lineRule="auto"/>
      </w:pPr>
      <w:r>
        <w:t xml:space="preserve">A.1 Signal Intensity in Modularity as Hidden Cost Does Design Modularity in Lunar Surface Systems Reduc: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17.1985</w:t>
            </w:r>
          </w:p>
        </w:tc>
        <w:tc>
          <w:tcPr>
            <w:tcW w:w="0" w:type="auto"/>
          </w:tcPr>
          <w:p>
            <w:pPr>
              <w:spacing w:line="240" w:lineRule="auto" w:before="0" w:after="0"/>
              <w:pStyle w:val="Compact"/>
            </w:pPr>
            <w:r>
              <w:rPr>
                <w:sz w:val="20"/>
                <w:szCs w:val="20"/>
              </w:rPr>
              <w:t xml:space="preserve">2.5478</w:t>
            </w:r>
          </w:p>
        </w:tc>
        <w:tc>
          <w:tcPr>
            <w:tcW w:w="0" w:type="auto"/>
          </w:tcPr>
          <w:p>
            <w:pPr>
              <w:spacing w:line="240" w:lineRule="auto" w:before="0" w:after="0"/>
              <w:pStyle w:val="Compact"/>
            </w:pPr>
            <w:r>
              <w:rPr>
                <w:sz w:val="20"/>
                <w:szCs w:val="20"/>
              </w:rPr>
              <w:t xml:space="preserve">6.7503</w:t>
            </w:r>
          </w:p>
        </w:tc>
        <w:tc>
          <w:tcPr>
            <w:tcW w:w="0" w:type="auto"/>
          </w:tcPr>
          <w:p>
            <w:pPr>
              <w:spacing w:line="240" w:lineRule="auto" w:before="0" w:after="0"/>
              <w:pStyle w:val="Compact"/>
            </w:pPr>
            <w:r>
              <w:rPr>
                <w:sz w:val="20"/>
                <w:szCs w:val="20"/>
              </w:rPr>
              <w:t xml:space="preserve">1.475e-11</w:t>
            </w:r>
          </w:p>
        </w:tc>
        <w:tc>
          <w:tcPr>
            <w:tcW w:w="0" w:type="auto"/>
          </w:tcPr>
          <w:p>
            <w:pPr>
              <w:spacing w:line="240" w:lineRule="auto" w:before="0" w:after="0"/>
              <w:pStyle w:val="Compact"/>
            </w:pPr>
            <w:r>
              <w:rPr>
                <w:sz w:val="20"/>
                <w:szCs w:val="20"/>
              </w:rPr>
              <w:t xml:space="preserve">[12.2049, 22.1921]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-0.1945</w:t>
            </w:r>
          </w:p>
        </w:tc>
        <w:tc>
          <w:tcPr>
            <w:tcW w:w="0" w:type="auto"/>
          </w:tcPr>
          <w:p>
            <w:pPr>
              <w:spacing w:line="240" w:lineRule="auto" w:before="0" w:after="0"/>
              <w:pStyle w:val="Compact"/>
            </w:pPr>
            <w:r>
              <w:rPr>
                <w:sz w:val="20"/>
                <w:szCs w:val="20"/>
              </w:rPr>
              <w:t xml:space="preserve">0.2386</w:t>
            </w:r>
          </w:p>
        </w:tc>
        <w:tc>
          <w:tcPr>
            <w:tcW w:w="0" w:type="auto"/>
          </w:tcPr>
          <w:p>
            <w:pPr>
              <w:spacing w:line="240" w:lineRule="auto" w:before="0" w:after="0"/>
              <w:pStyle w:val="Compact"/>
            </w:pPr>
            <w:r>
              <w:rPr>
                <w:sz w:val="20"/>
                <w:szCs w:val="20"/>
              </w:rPr>
              <w:t xml:space="preserve">-0.8151</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[-0.662, 0.2731]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0.0702</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1.9005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[-0.0022, 0.1425]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-5.0239</w:t>
            </w:r>
          </w:p>
        </w:tc>
        <w:tc>
          <w:tcPr>
            <w:tcW w:w="0" w:type="auto"/>
          </w:tcPr>
          <w:p>
            <w:pPr>
              <w:spacing w:line="240" w:lineRule="auto" w:before="0" w:after="0"/>
              <w:pStyle w:val="Compact"/>
            </w:pPr>
            <w:r>
              <w:rPr>
                <w:sz w:val="20"/>
                <w:szCs w:val="20"/>
              </w:rPr>
              <w:t xml:space="preserve">0.6895</w:t>
            </w:r>
          </w:p>
        </w:tc>
        <w:tc>
          <w:tcPr>
            <w:tcW w:w="0" w:type="auto"/>
          </w:tcPr>
          <w:p>
            <w:pPr>
              <w:spacing w:line="240" w:lineRule="auto" w:before="0" w:after="0"/>
              <w:pStyle w:val="Compact"/>
            </w:pPr>
            <w:r>
              <w:rPr>
                <w:sz w:val="20"/>
                <w:szCs w:val="20"/>
              </w:rPr>
              <w:t xml:space="preserve">-7.2859</w:t>
            </w:r>
          </w:p>
        </w:tc>
        <w:tc>
          <w:tcPr>
            <w:tcW w:w="0" w:type="auto"/>
          </w:tcPr>
          <w:p>
            <w:pPr>
              <w:spacing w:line="240" w:lineRule="auto" w:before="0" w:after="0"/>
              <w:pStyle w:val="Compact"/>
            </w:pPr>
            <w:r>
              <w:rPr>
                <w:sz w:val="20"/>
                <w:szCs w:val="20"/>
              </w:rPr>
              <w:t xml:space="preserve">3.196e-13</w:t>
            </w:r>
          </w:p>
        </w:tc>
        <w:tc>
          <w:tcPr>
            <w:tcW w:w="0" w:type="auto"/>
          </w:tcPr>
          <w:p>
            <w:pPr>
              <w:spacing w:line="240" w:lineRule="auto" w:before="0" w:after="0"/>
              <w:pStyle w:val="Compact"/>
            </w:pPr>
            <w:r>
              <w:rPr>
                <w:sz w:val="20"/>
                <w:szCs w:val="20"/>
              </w:rPr>
              <w:t xml:space="preserve">[-6.3753, -3.6724]</w:t>
            </w:r>
          </w:p>
        </w:tc>
      </w:tr>
    </w:tbl>
    <w:p>
      <w:pPr>
        <w:pStyle w:val="BodyText"/>
        <w:spacing w:line="480" w:lineRule="auto"/>
        <w:ind w:firstLine="720"/>
      </w:pPr>
      <w:r>
        <w:t xml:space="preserve">Fit: N = 30 R2 = 0.6569 R2_adj = 0.6173 F = 34.4726 F_p = 3.277e-09</w:t>
      </w:r>
    </w:p>
    <w:bookmarkEnd w:id="175"/>
    <w:bookmarkStart w:id="17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7" name="Picture"/>
            <a:graphic>
              <a:graphicData uri="http://schemas.openxmlformats.org/drawingml/2006/picture">
                <pic:pic>
                  <pic:nvPicPr>
                    <pic:cNvPr descr="D:/Claude_Code/brain/collegium/candidates/dissertations/CISLUNAR_DEV_05/research_papers/p1/paper_fig1.png" id="178" name="Picture"/>
                    <pic:cNvPicPr>
                      <a:picLocks noChangeArrowheads="1" noChangeAspect="1"/>
                    </pic:cNvPicPr>
                  </pic:nvPicPr>
                  <pic:blipFill>
                    <a:blip r:embed="rId1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9"/>
    <w:bookmarkStart w:id="18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https://amostech.space/year/2022/a-year-in-the-life-of-the-shackleton-space-domain-awareness-station/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https://amostech.space/year/2020/a-sensor-rich-solution-for-lunar-cislunar-space-domain-awareness/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10.64861/TLLP2048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10.1364/AO.410350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https://amostech.space/year/2022/cislunar-orbit-determination-benefits-of-moon-based-sensors/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https://amostech.space/year/2021/cislunar-ssa-sda-from-the-lunar-surface-cots-imagers-on-commercial-landers/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https://amostech.space/year/2022/anthropogenic-change-detection-on-and-close-to-the-moon-for-space-domain-awareness/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10.1016/j.actaastro.2023.07.037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10.1016/j.actaastro.2024.01.032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10.1016/j.actaastro.2025.06.025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10.1016/j.actaastro.2017.02.004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10.1016/j.scitotenv.2019.02.438</w:t>
            </w:r>
          </w:p>
        </w:tc>
      </w:tr>
    </w:tbl>
    <w:bookmarkEnd w:id="180"/>
    <w:bookmarkStart w:id="18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1"/>
    <w:bookmarkEnd w:id="182"/>
    <w:bookmarkStart w:id="190" w:name="Xc2c73104c07f79ba57fdcc4f105ad523d0e48b7"/>
    <w:p>
      <w:pPr>
        <w:pStyle w:val="Heading2"/>
        <w:spacing w:line="480" w:lineRule="auto"/>
      </w:pPr>
      <w:r>
        <w:t xml:space="preserve">A.2 Attention Accumulation in Modularity as Hidden Cost Does Design Modularity in Lunar Surface Systems Reduc: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1.2974</w:t>
            </w:r>
          </w:p>
        </w:tc>
        <w:tc>
          <w:tcPr>
            <w:tcW w:w="0" w:type="auto"/>
          </w:tcPr>
          <w:p>
            <w:pPr>
              <w:spacing w:line="240" w:lineRule="auto" w:before="0" w:after="0"/>
              <w:pStyle w:val="Compact"/>
            </w:pPr>
            <w:r>
              <w:rPr>
                <w:sz w:val="20"/>
                <w:szCs w:val="20"/>
              </w:rPr>
              <w:t xml:space="preserve">0.5571</w:t>
            </w:r>
          </w:p>
        </w:tc>
        <w:tc>
          <w:tcPr>
            <w:tcW w:w="0" w:type="auto"/>
          </w:tcPr>
          <w:p>
            <w:pPr>
              <w:spacing w:line="240" w:lineRule="auto" w:before="0" w:after="0"/>
              <w:pStyle w:val="Compact"/>
            </w:pPr>
            <w:r>
              <w:rPr>
                <w:sz w:val="20"/>
                <w:szCs w:val="20"/>
              </w:rPr>
              <w:t xml:space="preserve">2.3288</w:t>
            </w:r>
          </w:p>
        </w:tc>
        <w:tc>
          <w:tcPr>
            <w:tcW w:w="0" w:type="auto"/>
          </w:tcPr>
          <w:p>
            <w:pPr>
              <w:spacing w:line="240" w:lineRule="auto" w:before="0" w:after="0"/>
              <w:pStyle w:val="Compact"/>
            </w:pPr>
            <w:r>
              <w:rPr>
                <w:sz w:val="20"/>
                <w:szCs w:val="20"/>
              </w:rPr>
              <w:t xml:space="preserve">0.0199</w:t>
            </w:r>
          </w:p>
        </w:tc>
        <w:tc>
          <w:tcPr>
            <w:tcW w:w="0" w:type="auto"/>
          </w:tcPr>
          <w:p>
            <w:pPr>
              <w:spacing w:line="240" w:lineRule="auto" w:before="0" w:after="0"/>
              <w:pStyle w:val="Compact"/>
            </w:pPr>
            <w:r>
              <w:rPr>
                <w:sz w:val="20"/>
                <w:szCs w:val="20"/>
              </w:rPr>
              <w:t xml:space="preserve">[0.2055, 2.3894]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-0.4599</w:t>
            </w:r>
          </w:p>
        </w:tc>
        <w:tc>
          <w:tcPr>
            <w:tcW w:w="0" w:type="auto"/>
          </w:tcPr>
          <w:p>
            <w:pPr>
              <w:spacing w:line="240" w:lineRule="auto" w:before="0" w:after="0"/>
              <w:pStyle w:val="Compact"/>
            </w:pPr>
            <w:r>
              <w:rPr>
                <w:sz w:val="20"/>
                <w:szCs w:val="20"/>
              </w:rPr>
              <w:t xml:space="preserve">0.3562</w:t>
            </w:r>
          </w:p>
        </w:tc>
        <w:tc>
          <w:tcPr>
            <w:tcW w:w="0" w:type="auto"/>
          </w:tcPr>
          <w:p>
            <w:pPr>
              <w:spacing w:line="240" w:lineRule="auto" w:before="0" w:after="0"/>
              <w:pStyle w:val="Compact"/>
            </w:pPr>
            <w:r>
              <w:rPr>
                <w:sz w:val="20"/>
                <w:szCs w:val="20"/>
              </w:rPr>
              <w:t xml:space="preserve">-1.2911</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[-1.158, 0.2382]</w:t>
            </w:r>
          </w:p>
        </w:tc>
      </w:tr>
    </w:tbl>
    <w:p>
      <w:pPr>
        <w:pStyle w:val="BodyText"/>
        <w:spacing w:line="480" w:lineRule="auto"/>
        <w:ind w:firstLine="720"/>
      </w:pPr>
      <w:r>
        <w:t xml:space="preserve">Fit: N = 30 R2 = 0.0617 elasticity_b = -0.4599 progress_ratio_2^b = 0.727</w:t>
      </w:r>
    </w:p>
    <w:bookmarkEnd w:id="183"/>
    <w:bookmarkStart w:id="18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5" name="Picture"/>
            <a:graphic>
              <a:graphicData uri="http://schemas.openxmlformats.org/drawingml/2006/picture">
                <pic:pic>
                  <pic:nvPicPr>
                    <pic:cNvPr descr="D:/Claude_Code/brain/collegium/candidates/dissertations/CISLUNAR_DEV_05/research_papers/p2/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7"/>
    <w:bookmarkStart w:id="18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https://amostech.space/year/2022/a-year-in-the-life-of-the-shackleton-space-domain-awareness-station/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https://amostech.space/year/2020/a-sensor-rich-solution-for-lunar-cislunar-space-domain-awareness/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10.64861/TLLP2048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10.1364/AO.410350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https://amostech.space/year/2022/cislunar-orbit-determination-benefits-of-moon-based-sensors/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https://amostech.space/year/2021/cislunar-ssa-sda-from-the-lunar-surface-cots-imagers-on-commercial-landers/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https://amostech.space/year/2022/anthropogenic-change-detection-on-and-close-to-the-moon-for-space-domain-awareness/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10.1016/j.actaastro.2023.07.037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10.1016/j.actaastro.2024.01.032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10.1016/j.actaastro.2025.06.025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10.1016/j.actaastro.2017.02.004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10.1016/j.scitotenv.2019.02.438</w:t>
            </w:r>
          </w:p>
        </w:tc>
      </w:tr>
    </w:tbl>
    <w:bookmarkEnd w:id="188"/>
    <w:bookmarkStart w:id="18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9"/>
    <w:bookmarkEnd w:id="190"/>
    <w:bookmarkEnd w:id="1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6" Type="http://schemas.openxmlformats.org/officeDocument/2006/relationships/image" Target="media/rId176.png"/><Relationship Id="rId184" Type="http://schemas.openxmlformats.org/officeDocument/2006/relationships/image" Target="media/rId184.png"/><Relationship Id="rId166" Type="http://schemas.openxmlformats.org/officeDocument/2006/relationships/hyperlink" Target="https://doi.org/10.1016/j.actaastro.2023.07.037" TargetMode="External"/><Relationship Id="rId168" Type="http://schemas.openxmlformats.org/officeDocument/2006/relationships/hyperlink" Target="https://doi.org/10.1016/j.actaastro.2024.01.032" TargetMode="External"/><Relationship Id="rId160" Type="http://schemas.openxmlformats.org/officeDocument/2006/relationships/hyperlink" Target="https://doi.org/10.1016/j.actaastro.2024.05.007" TargetMode="External"/><Relationship Id="rId172" Type="http://schemas.openxmlformats.org/officeDocument/2006/relationships/hyperlink" Target="https://doi.org/10.1016/j.actaastro.2025.06.025" TargetMode="External"/><Relationship Id="rId164" Type="http://schemas.openxmlformats.org/officeDocument/2006/relationships/hyperlink" Target="https://doi.org/10.1016/j.actaastro.2025.07.004" TargetMode="External"/><Relationship Id="rId158" Type="http://schemas.openxmlformats.org/officeDocument/2006/relationships/hyperlink" Target="https://doi.org/10.1016/j.actaastro.2025.07.055" TargetMode="External"/><Relationship Id="rId170" Type="http://schemas.openxmlformats.org/officeDocument/2006/relationships/hyperlink" Target="https://doi.org/10.1016/j.actaastro.2025.09.070" TargetMode="External"/><Relationship Id="rId162" Type="http://schemas.openxmlformats.org/officeDocument/2006/relationships/hyperlink" Target="https://doi.org/10.1016/j.actaastro.2026.04.012" TargetMode="External"/><Relationship Id="rId150" Type="http://schemas.openxmlformats.org/officeDocument/2006/relationships/hyperlink" Target="https://doi.org/10.64861/RBTM5104" TargetMode="External"/><Relationship Id="rId156" Type="http://schemas.openxmlformats.org/officeDocument/2006/relationships/hyperlink" Target="https://doi.org/10.64861/TLLP2048"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3.07.037" TargetMode="External"/><Relationship Id="rId168" Type="http://schemas.openxmlformats.org/officeDocument/2006/relationships/hyperlink" Target="https://doi.org/10.1016/j.actaastro.2024.01.032" TargetMode="External"/><Relationship Id="rId160" Type="http://schemas.openxmlformats.org/officeDocument/2006/relationships/hyperlink" Target="https://doi.org/10.1016/j.actaastro.2024.05.007" TargetMode="External"/><Relationship Id="rId172" Type="http://schemas.openxmlformats.org/officeDocument/2006/relationships/hyperlink" Target="https://doi.org/10.1016/j.actaastro.2025.06.025" TargetMode="External"/><Relationship Id="rId164" Type="http://schemas.openxmlformats.org/officeDocument/2006/relationships/hyperlink" Target="https://doi.org/10.1016/j.actaastro.2025.07.004" TargetMode="External"/><Relationship Id="rId158" Type="http://schemas.openxmlformats.org/officeDocument/2006/relationships/hyperlink" Target="https://doi.org/10.1016/j.actaastro.2025.07.055" TargetMode="External"/><Relationship Id="rId170" Type="http://schemas.openxmlformats.org/officeDocument/2006/relationships/hyperlink" Target="https://doi.org/10.1016/j.actaastro.2025.09.070" TargetMode="External"/><Relationship Id="rId162" Type="http://schemas.openxmlformats.org/officeDocument/2006/relationships/hyperlink" Target="https://doi.org/10.1016/j.actaastro.2026.04.012" TargetMode="External"/><Relationship Id="rId150" Type="http://schemas.openxmlformats.org/officeDocument/2006/relationships/hyperlink" Target="https://doi.org/10.64861/RBTM5104" TargetMode="External"/><Relationship Id="rId156" Type="http://schemas.openxmlformats.org/officeDocument/2006/relationships/hyperlink" Target="https://doi.org/10.64861/TLLP20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Modularity as Hidden Cost: Does Design Modularity in Lunar Surface Systems Reduc</dc:title>
  <dc:creator>Priya Park (1B-LUN-180)</dc:creator>
  <cp:keywords/>
  <dcterms:created xsi:type="dcterms:W3CDTF">2026-07-03T21:06:00Z</dcterms:created>
  <dcterms:modified xsi:type="dcterms:W3CDTF">2026-07-03T21:06:00Z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