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COMMONS OR ENCLOSURE? EMPIRICAL TEST OF POLYCENTRIC VERSUS FIRST-MOVER GOVERNANCE FOR LUNAR RESOURCE EXTRACTION SITES</w:t>
      </w:r>
    </w:p>
    <w:p>
      <w:pPr>
        <w:jc w:val="center"/>
      </w:pPr>
    </w:p>
    <w:p>
      <w:pPr>
        <w:jc w:val="center"/>
      </w:pPr>
      <w:r>
        <w:rPr>
          <w:rFonts w:ascii="Times New Roman" w:hAnsi="Times New Roman"/>
          <w:sz w:val="24"/>
        </w:rPr>
        <w:t>by</w:t>
      </w:r>
    </w:p>
    <w:p>
      <w:pPr>
        <w:jc w:val="center"/>
      </w:pPr>
      <w:r>
        <w:rPr>
          <w:rFonts w:ascii="Times New Roman" w:hAnsi="Times New Roman"/>
          <w:b/>
          <w:sz w:val="28"/>
        </w:rPr>
        <w:t>Cyrus Ito</w:t>
      </w:r>
    </w:p>
    <w:p>
      <w:pPr>
        <w:jc w:val="center"/>
      </w:pPr>
      <w:r>
        <w:rPr>
          <w:rFonts w:ascii="Times New Roman" w:hAnsi="Times New Roman"/>
          <w:sz w:val="24"/>
        </w:rPr>
        <w:t>1B-LUN-166</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9" w:name="chapter-1.-introduction"/>
    <w:p>
      <w:pPr>
        <w:pStyle w:val="Heading1"/>
        <w:spacing w:line="480" w:lineRule="auto"/>
      </w:pPr>
      <w:r>
        <w:t xml:space="preserve">Chapter 1. Introduction</w:t>
      </w:r>
    </w:p>
    <w:p>
      <w:pPr>
        <w:pStyle w:val="FirstParagraph"/>
        <w:spacing w:line="480" w:lineRule="auto"/>
      </w:pPr>
      <w:r>
        <w:t xml:space="preserve">What happens at the Moon’s south pole will reveal something well beyond the pole itself. It will show whether the rules governing off-world activity can remain open, shared, and genuinely multi-party once the good real estate runs short. Treaty language keeps refusing to bless ownership, and that refusal will not soften. Yet a state or a company can grip a place tightly without ever raising a flag over it. Park a lander on a rim that stays sunlit and you have gripped it. Build the one relay that a given landing path must pass through, ring off a hazard buffer that neighbors learn to give a wide berth, or write a mining roadmap that quietly earmarks a dark crater floor for later, and you have gripped it again. None of these gestures draws a boundary, and all of them decide who gets in, on what schedule. That deciding layer is my subject. The whole inquiry turns on a single yes-or-no: does the behavior we can actually watch at prized lunar locations look like a shared, many-handed order, or like the earliest arrivals fencing off the best ground?</w:t>
      </w:r>
    </w:p>
    <w:p>
      <w:pPr>
        <w:pStyle w:val="BodyText"/>
        <w:spacing w:line="480" w:lineRule="auto"/>
        <w:ind w:firstLine="720"/>
      </w:pPr>
      <w:r>
        <w:t xml:space="preserve">The matter is not hypothetical any longer. Agencies now publish where they mean to go, they float hazard-buffer wording, they quarrel over who owes whom operational risk data, and they sketch cislunar plumbing in the open. All of it leaves tracks, tracks that say plainly how each player frames getting in, going first, working together, and keeping others out. We have reached the moment when lofty principle collides with a chosen map coordinate, and coordinates are unforgiving. A metaphor either survives that collision or it does not.</w:t>
      </w:r>
    </w:p>
    <w:p>
      <w:pPr>
        <w:pStyle w:val="BodyText"/>
        <w:spacing w:line="480" w:lineRule="auto"/>
        <w:ind w:firstLine="720"/>
      </w:pPr>
      <w:r>
        <w:t xml:space="preserve">Weigh what the Outer Space Treaty inheritance gives us against what it omits. It gives a fierce prohibition on claiming sovereignty. On the practical questions of who goes when, who carries which risk, who builds what, and who talks to whom, it is nearly silent, and silence is precisely where the real jockeying now lives. A player can swear, and swear honestly, that no territory is being seized, while banking a lasting edge simply by getting there early and boxing others out through the way it operates. That is why I define enclosure by conduct rather than by any entry in a legal ledger. My raw material is out in the open: statements about where missions will land, hazard-buffer wording, relay and comms paperwork, which ores get named, and the exact phrasing states and firms reach for when they talk about going first, staying protected, and coordinating. Do not mistake that phrasing for window dressing. As practical primacy gets made routine, the phrasing is one of the tools doing the routinizing.</w:t>
      </w:r>
    </w:p>
    <w:p>
      <w:pPr>
        <w:pStyle w:val="BodyText"/>
        <w:spacing w:line="480" w:lineRule="auto"/>
        <w:ind w:firstLine="720"/>
      </w:pPr>
      <w:r>
        <w:t xml:space="preserve">Everything shifts once you count the seats. A shared order has never meant lawlessness. It leans on watching, on earned trust, on the habits that keep players honest, and on bodies that let a handful of separate authorities work in concert instead of folding into one boss. Research on operational risk data holds that pooling it can grow norms and let compliance be checked</w:t>
      </w:r>
      <w:r>
        <w:t xml:space="preserve"> </w:t>
      </w:r>
      <w:hyperlink w:anchor="ref-15">
        <w:r>
          <w:rPr>
            <w:rStyle w:val="Hyperlink"/>
          </w:rPr>
          <w:t xml:space="preserve">[15]</w:t>
        </w:r>
      </w:hyperlink>
      <w:r>
        <w:t xml:space="preserve">. Research on distributed space data sharing puts a trust framework at the heart of keeping the domain intact</w:t>
      </w:r>
      <w:r>
        <w:t xml:space="preserve"> </w:t>
      </w:r>
      <w:hyperlink w:anchor="ref-17">
        <w:r>
          <w:rPr>
            <w:rStyle w:val="Hyperlink"/>
          </w:rPr>
          <w:t xml:space="preserve">[17]</w:t>
        </w:r>
      </w:hyperlink>
      <w:r>
        <w:t xml:space="preserve">. Mokhnatkin, writing on distributed awareness-data sharing inside ISON, sketches how spread-out information habits could knit coordination across separate institutions</w:t>
      </w:r>
      <w:r>
        <w:t xml:space="preserve"> </w:t>
      </w:r>
      <w:hyperlink w:anchor="ref-11">
        <w:r>
          <w:rPr>
            <w:rStyle w:val="Hyperlink"/>
          </w:rPr>
          <w:t xml:space="preserve">[11]</w:t>
        </w:r>
      </w:hyperlink>
      <w:r>
        <w:t xml:space="preserve">. Together these make a many-centered order believable. None of them shows that lunar resource conduct is heading there, and my reading stays pinned to what can be measured: shifts in timing, in venue, in where attention lands, in the topical signal. Bolder operational verdicts belong to studies with live mission telemetry in hand.</w:t>
      </w:r>
    </w:p>
    <w:p>
      <w:pPr>
        <w:pStyle w:val="BodyText"/>
        <w:spacing w:line="480" w:lineRule="auto"/>
        <w:ind w:firstLine="720"/>
      </w:pPr>
      <w:r>
        <w:t xml:space="preserve">The rival pattern, first-mover enclosure, is subtler and easier to miss. It surfaces when the earliest players lean on the vocabulary of safety, of infrastructure, of technical must-haves, of coordination, to lock in lasting first claim over spots no one else can readily swap for another. Nobody has to announce that they own anything. The pattern accretes through habit: the choice sites keep gathering around the same few names, the working corridors grow politically hard to reroute, and open talk slides from let-us-coordinate toward this-is-protected. Line those three up and the setting stops resembling a commons and starts resembling a fence with no posts. The whole thing moves without noise, and the noiselessness is the hazard. It asks to be counted, not merely feared.</w:t>
      </w:r>
    </w:p>
    <w:bookmarkStart w:id="61" w:name="the-falsifiable-thesis"/>
    <w:p>
      <w:pPr>
        <w:pStyle w:val="Heading2"/>
        <w:spacing w:line="480" w:lineRule="auto"/>
      </w:pPr>
      <w:r>
        <w:t xml:space="preserve">The falsifiable thesis</w:t>
      </w:r>
    </w:p>
    <w:p>
      <w:pPr>
        <w:pStyle w:val="FirstParagraph"/>
        <w:spacing w:line="480" w:lineRule="auto"/>
      </w:pPr>
      <w:r>
        <w:t xml:space="preserve">I have built the core claim so that it can lose. Hold mission density and site desirability constant, and the claiming we observe ought to be no more spatially bunched, and no more exclusion-flavored, than a many-centered commons would throw off. Should bunching and exclusion clear that bar, enclosure gains ground as the better reading. Should they not, enclosure has to be dropped. A single claim steers the whole design, and it is allowed to break.</w:t>
      </w:r>
    </w:p>
    <w:p>
      <w:pPr>
        <w:pStyle w:val="BodyText"/>
        <w:spacing w:line="480" w:lineRule="auto"/>
        <w:ind w:firstLine="720"/>
      </w:pPr>
      <w:r>
        <w:t xml:space="preserve">Look closely and this asks for less than most lunar-governance writing does. I do not presume every early move is a land grab. I do not read technical crowding as political seizure. I ask only whether the visible patterns still square with cooperation once the plain engineering pull toward the same spots is granted its due, and that caveat pulls real weight the whole way through. Sunlit rims and ice-bearing shadows will draw traffic on their own merits, no one’s governance motives required. A design blind to that pull would mix up rock with rivalry. So I wrote the thesis to refuse the word enclosure until two things show up together: crowding past the cooperative bar, and wording that signals a claim meant to last.</w:t>
      </w:r>
    </w:p>
    <w:p>
      <w:pPr>
        <w:pStyle w:val="BodyText"/>
        <w:spacing w:line="480" w:lineRule="auto"/>
        <w:ind w:firstLine="720"/>
      </w:pPr>
      <w:r>
        <w:t xml:space="preserve">Comparisons from other institutions raise the stakes without deciding them. What we know from managing the environment and pooling risk hints at how rulebooks might mature under technical fog</w:t>
      </w:r>
      <w:r>
        <w:t xml:space="preserve"> </w:t>
      </w:r>
      <w:hyperlink w:anchor="ref-10">
        <w:r>
          <w:rPr>
            <w:rStyle w:val="Hyperlink"/>
          </w:rPr>
          <w:t xml:space="preserve">[10]</w:t>
        </w:r>
      </w:hyperlink>
      <w:r>
        <w:t xml:space="preserve"> </w:t>
      </w:r>
      <w:hyperlink w:anchor="ref-22">
        <w:r>
          <w:rPr>
            <w:rStyle w:val="Hyperlink"/>
          </w:rPr>
          <w:t xml:space="preserve">[22]</w:t>
        </w:r>
      </w:hyperlink>
      <w:r>
        <w:t xml:space="preserve">. Accounts of how space governance is changing trace a drift away from old state-run templates toward tangled New Space setups, where firms, joint ventures, and infrastructure owners all leave fingerprints on practice</w:t>
      </w:r>
      <w:r>
        <w:t xml:space="preserve"> </w:t>
      </w:r>
      <w:hyperlink w:anchor="ref-21">
        <w:r>
          <w:rPr>
            <w:rStyle w:val="Hyperlink"/>
          </w:rPr>
          <w:t xml:space="preserve">[21]</w:t>
        </w:r>
      </w:hyperlink>
      <w:r>
        <w:t xml:space="preserve">. Analysis of the scramble in low Earth orbit shows that owning the pipes and holding the market can bite geopolitically even where no one claims to own anything</w:t>
      </w:r>
      <w:r>
        <w:t xml:space="preserve"> </w:t>
      </w:r>
      <w:hyperlink w:anchor="ref-14">
        <w:r>
          <w:rPr>
            <w:rStyle w:val="Hyperlink"/>
          </w:rPr>
          <w:t xml:space="preserve">[14]</w:t>
        </w:r>
      </w:hyperlink>
      <w:r>
        <w:t xml:space="preserve">. These bodies of work light up why the lunar case earns attention. They also leave the central empirical puzzle untouched. Are the players treating scarce lunar ground as shared workspace, or are they engineering exclusion by simply showing up first?</w:t>
      </w:r>
    </w:p>
    <w:bookmarkEnd w:id="61"/>
    <w:bookmarkStart w:id="62" w:name="why-the-stakes-are-concrete"/>
    <w:p>
      <w:pPr>
        <w:pStyle w:val="Heading2"/>
        <w:spacing w:line="480" w:lineRule="auto"/>
      </w:pPr>
      <w:r>
        <w:t xml:space="preserve">Why the stakes are concrete</w:t>
      </w:r>
    </w:p>
    <w:p>
      <w:pPr>
        <w:pStyle w:val="FirstParagraph"/>
        <w:spacing w:line="480" w:lineRule="auto"/>
      </w:pPr>
      <w:r>
        <w:t xml:space="preserve">Nothing here is merely rhetorical. It is bricks and vacuum.</w:t>
      </w:r>
    </w:p>
    <w:p>
      <w:pPr>
        <w:pStyle w:val="BodyText"/>
        <w:spacing w:line="480" w:lineRule="auto"/>
        <w:ind w:firstLine="720"/>
      </w:pPr>
      <w:r>
        <w:t xml:space="preserve">Permanently shadowed floors, polar supply corridors, relay chokepoints, sites hugging an ore body: each is scarce in the working sense even if not in the legal one. Count the rims that sit near a believable ice deposit and also bask in light through most of a lunar day, and the count is small; count the corridors one relay can cover before a second asset is unavoidable, and that count is small too. The law can go on denying ownership in the textbook sense, and operational crowding plus exclusion-flavored signaling can still fence a place off in fact. Let that arrive and the governance puzzle leaves the classroom. It lands on access, on running order, on who holds leverage at the table, on what lunar activity will even mean, right down to which states and firms get to write the arrival terms for everyone trailing behind.</w:t>
      </w:r>
    </w:p>
    <w:p>
      <w:pPr>
        <w:pStyle w:val="BodyText"/>
        <w:spacing w:line="480" w:lineRule="auto"/>
        <w:ind w:firstLine="720"/>
      </w:pPr>
      <w:r>
        <w:t xml:space="preserve">Timing supplies the second concrete stake. Governments and multilateral bodies have to learn whether today’s conduct fits a spread-out regime or a narrower earliest-mover one, because that answer dictates how openness rules, notice-giving habits, and clash-avoidance norms ought to be engineered. A theory nobody can measure steers those calls badly, and the stretch when norms are still cheap to lay down is narrowing fast as flight hardware graduates from slide decks to real manifests. Any body that stalls until a fight breaks out will discover the behavioral verdict already welded into the plumbing.</w:t>
      </w:r>
    </w:p>
    <w:bookmarkEnd w:id="62"/>
    <w:bookmarkStart w:id="63" w:name="Xa0825612fd72223cc32647f0a19a6cf24765864"/>
    <w:p>
      <w:pPr>
        <w:pStyle w:val="Heading2"/>
        <w:spacing w:line="480" w:lineRule="auto"/>
      </w:pPr>
      <w:r>
        <w:t xml:space="preserve">Two completed papers and their limited role</w:t>
      </w:r>
    </w:p>
    <w:p>
      <w:pPr>
        <w:pStyle w:val="FirstParagraph"/>
        <w:spacing w:line="480" w:lineRule="auto"/>
      </w:pPr>
      <w:r>
        <w:t xml:space="preserve">The full mixed-method trial still sits on the drawing board, and I owe the reader candor about that. Two empirical papers are finished. Neither estimates the lunar enclosure claim; both examine the local pool of sources the dissertation fishes from. The first checks whether a source’s signal strength can be predicted from how recent it is, how often it is cited, and how its venue ranks. The second checks whether citation attention grows with a paper’s age. Their job is to take the temperature. They tell me whether the evidence base itself is already sorted by lazy shortcuts before the bigger question ever leans on it.</w:t>
      </w:r>
    </w:p>
    <w:p>
      <w:pPr>
        <w:pStyle w:val="BodyText"/>
        <w:spacing w:line="480" w:lineRule="auto"/>
        <w:ind w:firstLine="720"/>
      </w:pPr>
      <w:r>
        <w:t xml:space="preserve">Why plant source-vetting studies in a governance dissertation? Because a measurement effort inherits the health of the evidence it stands on. Were the available writing neatly ranked by prestige signals, a candidate could slyly let citation tallies or venue shine substitute for genuine fit. The two papers put that shortcut on trial and, as later chapters recount, catch the pool only faintly ordered. That verdict is no stand-in for the enclosure test. It is a railing bolted alongside the path by which the enclosure test will pick and weight its sources.</w:t>
      </w:r>
    </w:p>
    <w:p>
      <w:pPr>
        <w:pStyle w:val="BodyText"/>
        <w:spacing w:line="480" w:lineRule="auto"/>
        <w:ind w:firstLine="720"/>
      </w:pPr>
      <w:r>
        <w:t xml:space="preserve">Keeping the finished papers walled off from the planned heart of the work also spares the reader from overrating what has been proven. No paper here gauges how lunar site claims bunch. None tags exclusion wording in mission notices. None probes relay stand-ins or hazard-buffer statements. Smearing those lines would be overreach. The chapters ahead hold the line in view, and Chapter 6 restates it as bluntly as language allows.</w:t>
      </w:r>
    </w:p>
    <w:bookmarkEnd w:id="63"/>
    <w:bookmarkStart w:id="64" w:name="enclosure-as-behavior-not-doctrine"/>
    <w:p>
      <w:pPr>
        <w:pStyle w:val="Heading2"/>
        <w:spacing w:line="480" w:lineRule="auto"/>
      </w:pPr>
      <w:r>
        <w:t xml:space="preserve">Enclosure as behavior, not doctrine</w:t>
      </w:r>
    </w:p>
    <w:p>
      <w:pPr>
        <w:pStyle w:val="FirstParagraph"/>
        <w:spacing w:line="480" w:lineRule="auto"/>
      </w:pPr>
      <w:r>
        <w:t xml:space="preserve">Choosing to treat enclosure as conduct rather than as a legal category colors all that follows, so it deserves a pause. The old Earthbound enclosure story recounts common fields turned private by hedges, acts of Parliament, and the courts. Any lunar version, should one come, will almost surely wear a different face. No lander will drive a stake a treaty could ratify or a court could strike down. The lever will be gentler and slipperier to label: who touches down first, who erects the relay the rest are stuck routing through, whose hazard ring the next crew silently designs around. Enclosure of that stripe hides from any purely legal read, because the law hunts for a claim of title and turns up empty. A conduct read hunts instead for the marks title would have left, and asks whether those marks are here despite no title at all.</w:t>
      </w:r>
    </w:p>
    <w:p>
      <w:pPr>
        <w:pStyle w:val="BodyText"/>
        <w:spacing w:line="480" w:lineRule="auto"/>
        <w:ind w:firstLine="720"/>
      </w:pPr>
      <w:r>
        <w:t xml:space="preserve">The switch has a price, and I pay it in the open. Conduct-based enclosure resists proof harder than a legal claim does, because no paper trail confesses to it. It has to be pieced together from signs that line up, and each sign wears an innocent second reading. A hazard ring shields a dangerous job; it also nudges neighbors off. A relay covers a corridor efficiently; it also tilts the field toward one path. That inferential weight is genuine. I carry it not by softening the burden of proof but by insisting that several independent signs point the same direction before I will entertain any enclosure read. One suggestive scrap settles nothing here. That is by design.</w:t>
      </w:r>
    </w:p>
    <w:p>
      <w:pPr>
        <w:pStyle w:val="BodyText"/>
        <w:spacing w:line="480" w:lineRule="auto"/>
        <w:ind w:firstLine="720"/>
      </w:pPr>
      <w:r>
        <w:t xml:space="preserve">The identical reasoning is why the commons alternative gets the same respect. A many-centered commons is equally a matter of conduct, not legal standing, and it too has to be inferred from deeds. I do not walk in tilting toward either verdict. I lay out ahead of time the visible fingerprint each pattern would leave, then let the record rule. That evenhandedness marks the line between measuring and campaigning, and holding it is the first duty owed by any study whose topic is as combustible as who ends up controlling the choicest ground on the Moon.</w:t>
      </w:r>
    </w:p>
    <w:bookmarkEnd w:id="64"/>
    <w:bookmarkStart w:id="65" w:name="why-measurement-is-the-intervention"/>
    <w:p>
      <w:pPr>
        <w:pStyle w:val="Heading2"/>
        <w:spacing w:line="480" w:lineRule="auto"/>
      </w:pPr>
      <w:r>
        <w:t xml:space="preserve">Why measurement is the intervention</w:t>
      </w:r>
    </w:p>
    <w:p>
      <w:pPr>
        <w:pStyle w:val="FirstParagraph"/>
        <w:spacing w:line="480" w:lineRule="auto"/>
      </w:pPr>
      <w:r>
        <w:t xml:space="preserve">In a field this loaded with values, it tempts one to file measurement as the warmup before the real event of prescribing. I refuse that running order, because the measuring is the event. Enclosure, if underway, is underway right now, piling up in public statements and infrastructure filings whether anyone tallies them or not. By the time a quarrel grows sharp enough to demand a legal or diplomatic reply, the conduct will already be locked, fused into metal and routine. A coding regime is worth building precisely because it makes that conduct readable while it is still soft, while disclosure customs and hazard-ring conventions can still be nudged cheaply. A commons you can keep an eye on is a commons you can guard. One you cannot watch gets fenced in the dark, and the fencing surfaces only when contesting it has turned ruinously expensive.</w:t>
      </w:r>
    </w:p>
    <w:bookmarkEnd w:id="65"/>
    <w:bookmarkStart w:id="66" w:name="contribution"/>
    <w:p>
      <w:pPr>
        <w:pStyle w:val="Heading2"/>
        <w:spacing w:line="480" w:lineRule="auto"/>
      </w:pPr>
      <w:r>
        <w:t xml:space="preserve">Contribution</w:t>
      </w:r>
    </w:p>
    <w:p>
      <w:pPr>
        <w:pStyle w:val="FirstParagraph"/>
        <w:spacing w:line="480" w:lineRule="auto"/>
      </w:pPr>
      <w:r>
        <w:t xml:space="preserve">The dissertation earns its keep three ways. It recasts a values argument as a counting problem, fixing the visible markers of bunching and exclusion so that the commons-or-enclosure question yields to evidence instead of to whoever argues loudest. It ties lunar resource governance to four neighboring bodies of work, each naming a lever: spread-out data sharing, institutions in flux, sustainability design, and the fight over infrastructure</w:t>
      </w:r>
      <w:r>
        <w:t xml:space="preserve"> </w:t>
      </w:r>
      <w:hyperlink w:anchor="ref-15">
        <w:r>
          <w:rPr>
            <w:rStyle w:val="Hyperlink"/>
          </w:rPr>
          <w:t xml:space="preserve">[15]</w:t>
        </w:r>
      </w:hyperlink>
      <w:r>
        <w:t xml:space="preserve"> </w:t>
      </w:r>
      <w:hyperlink w:anchor="ref-17">
        <w:r>
          <w:rPr>
            <w:rStyle w:val="Hyperlink"/>
          </w:rPr>
          <w:t xml:space="preserve">[17]</w:t>
        </w:r>
      </w:hyperlink>
      <w:r>
        <w:t xml:space="preserve"> </w:t>
      </w:r>
      <w:hyperlink w:anchor="ref-21">
        <w:r>
          <w:rPr>
            <w:rStyle w:val="Hyperlink"/>
          </w:rPr>
          <w:t xml:space="preserve">[21]</w:t>
        </w:r>
      </w:hyperlink>
      <w:r>
        <w:t xml:space="preserve"> </w:t>
      </w:r>
      <w:hyperlink w:anchor="ref-22">
        <w:r>
          <w:rPr>
            <w:rStyle w:val="Hyperlink"/>
          </w:rPr>
          <w:t xml:space="preserve">[22]</w:t>
        </w:r>
      </w:hyperlink>
      <w:r>
        <w:t xml:space="preserve">. And it fences the inquiry off from overreach by casting the two present papers as source hygiene, never as a stand-in for the real evidence. What emerges is a study that asks what would have to appear before anyone could trust a lunar enclosure verdict, then constructs the coding and identification gear to go looking for it.</w:t>
      </w:r>
    </w:p>
    <w:bookmarkEnd w:id="66"/>
    <w:bookmarkStart w:id="67" w:name="the-south-polar-setting"/>
    <w:p>
      <w:pPr>
        <w:pStyle w:val="Heading2"/>
        <w:spacing w:line="480" w:lineRule="auto"/>
      </w:pPr>
      <w:r>
        <w:t xml:space="preserve">The south polar setting</w:t>
      </w:r>
    </w:p>
    <w:p>
      <w:pPr>
        <w:pStyle w:val="FirstParagraph"/>
        <w:spacing w:line="480" w:lineRule="auto"/>
      </w:pPr>
      <w:r>
        <w:t xml:space="preserve">The abstractions have a real address, and it repays a visit before the argument gets technical. The lunar south pole packs together the very traits that make the commons-or-enclosure question bite. A few crater rims stay lit almost without pause across a lunar day, which makes them prizes for solar power and heat control, and there are few. Right beside them sit permanently dark hollows where water ice might linger, which makes them prizes for fuel and life support, and those are few too. That adjacency is the whole trap. The best ground to live on and power up abuts the best ground to dig, both are scarce, both are near-impossible to swap out, and both are pinned on every planner’s map before launch. A place that mixed plenty with obscurity would carry no enclosure danger. This one fuses scarcity with shared foreknowledge, which is exactly the recipe that pays off for whoever lands first.</w:t>
      </w:r>
    </w:p>
    <w:p>
      <w:pPr>
        <w:pStyle w:val="BodyText"/>
        <w:spacing w:line="480" w:lineRule="auto"/>
        <w:ind w:firstLine="720"/>
      </w:pPr>
      <w:r>
        <w:t xml:space="preserve">Signal geometry tightens the vise. The south pole cannot see Earth without a break, so anything sustained hangs on relays, and a relay that covers one approach path well may cover another badly. Whoever flies the first workable relay thus governs not just its own reach but how reachable the neighboring sites are for everybody else. Here is infrastructure hardening into sway with no deed changing hands, and it is the plainest reason I read architecture as a governance dial. A corridor is not owned. It is relied upon, and reliance can accomplish what a deed would.</w:t>
      </w:r>
    </w:p>
    <w:p>
      <w:pPr>
        <w:pStyle w:val="BodyText"/>
        <w:spacing w:line="480" w:lineRule="auto"/>
        <w:ind w:firstLine="720"/>
      </w:pPr>
      <w:r>
        <w:t xml:space="preserve">None of this makes enclosure fated. Players could split relay coverage, post their site plans, keep hazard rings tight, and hold access mutual, and then the same cramped geography would carry a working commons. Anchoring the argument at the south pole is not about calling the result. It is about proving the result is truly up for grabs, that the ground itself permits either ending, and that which ending shows up rides on the very conduct this dissertation is built to observe.</w:t>
      </w:r>
    </w:p>
    <w:bookmarkEnd w:id="67"/>
    <w:bookmarkStart w:id="68" w:name="roadmap"/>
    <w:p>
      <w:pPr>
        <w:pStyle w:val="Heading2"/>
        <w:spacing w:line="480" w:lineRule="auto"/>
      </w:pPr>
      <w:r>
        <w:t xml:space="preserve">Roadmap</w:t>
      </w:r>
    </w:p>
    <w:p>
      <w:pPr>
        <w:pStyle w:val="FirstParagraph"/>
        <w:spacing w:line="480" w:lineRule="auto"/>
      </w:pPr>
      <w:r>
        <w:t xml:space="preserve">The chapters ahead run in sequence. Chapter 2 sets the argument beside earlier work on shared-risk governance, distributed data sharing, institutional change, and the infrastructure contest, and pins down the empirical hole the dissertation plugs. Chapter 3 grows the theory, prying legal form apart from operational effect and casting the two rival levers as claims one can test. Chapter 4 lays out the data strata, from mission notices through technical site studies to the vetted local pool, and argues why public evidence suits a question about visible conduct. Chapter 5 unfolds the mixed-method plan and the identification reasoning that lets spatial bunching and exclusion wording speak to enclosure without confusing engineering worth for political grip. Chapter 6 relays the finished estimator output verbatim, reading the signs and sizes of both source-vetting models. Chapter 7 pulls out governance consequences and names the validity threats that hold every recommendation in check. Chapter 8 closes on the contribution, the program relevance, and the research plan a coded lunar dataset would round out.</w:t>
      </w:r>
    </w:p>
    <w:p>
      <w:pPr>
        <w:pStyle w:val="BodyText"/>
        <w:spacing w:line="480" w:lineRule="auto"/>
        <w:ind w:firstLine="720"/>
      </w:pPr>
      <w:r>
        <w:t xml:space="preserve">A word on vocabulary steadies the argument. Throughout, commons names a conduct pattern of spread-out, watched, mutual access, not a legal rank and not a blessing. Enclosure names a conduct pattern of bunched, exclusion-leaning grip that acts like property without saying so, again not a courtroom finding. Site value names a spot’s non-political draw for engineering reasons, held as a control rather than a judgment. And the cooperative benchmark names the level of bunching and exclusion wording that honest coordination on its own would throw off. These four terms carry the analysis, and each is fixed by what one can see rather than by what the law will admit.</w:t>
      </w:r>
    </w:p>
    <w:p>
      <w:pPr>
        <w:pStyle w:val="BodyText"/>
        <w:spacing w:line="480" w:lineRule="auto"/>
        <w:ind w:firstLine="720"/>
      </w:pPr>
      <w:r>
        <w:t xml:space="preserve">One thread ties it all. A lunar commons will not last because anyone christens it one. It will last only if public conduct keeps fitting shared access under scarcity, and only if institutions can spot the seam between coordinating and controlling soon enough to act.</w:t>
      </w:r>
    </w:p>
    <w:bookmarkEnd w:id="68"/>
    <w:bookmarkEnd w:id="69"/>
    <w:bookmarkStart w:id="81" w:name="chapter-2.-literature-review"/>
    <w:p>
      <w:pPr>
        <w:pStyle w:val="Heading1"/>
        <w:spacing w:line="480" w:lineRule="auto"/>
      </w:pPr>
      <w:r>
        <w:t xml:space="preserve">Chapter 2. Literature Review</w:t>
      </w:r>
    </w:p>
    <w:p>
      <w:pPr>
        <w:pStyle w:val="FirstParagraph"/>
        <w:spacing w:line="480" w:lineRule="auto"/>
      </w:pPr>
      <w:r>
        <w:t xml:space="preserve">Scholarship on lunar resource governance straddles four conversations at once: how commons hold together, how space stays sustainable, how institutions are designed, and how rivals fight over infrastructure. For my purposes the writing that helps least is the writing that pronounces the Moon a shared inheritance on moral grounds, or the writing that treats a land grab as foregone. The writing that helps most points to gears an observer can catch turning. Trust, the pooling of data, the shortness of good sites, the geometry of operating, the way institutions bend: each of these earns its keep here because it deposits residue in public conduct, and residue is what a coding plan can pin down. I comb the field by that one measure. Which earlier work turns a hunch about governance into a thing somebody could watch, tally, or sort?</w:t>
      </w:r>
    </w:p>
    <w:p>
      <w:pPr>
        <w:pStyle w:val="BodyText"/>
        <w:spacing w:line="480" w:lineRule="auto"/>
        <w:ind w:firstLine="720"/>
      </w:pPr>
      <w:r>
        <w:t xml:space="preserve">Four threads structure what follows, and each buys its seat by making exactly that turn. Shared-risk governance teaches that a commons needs working parts, not warm intentions. Distributed data sharing shows how a spread-out order might actually operate. Institutional change explains why the treaty text can never close the question. The infrastructure contest reveals how plain links and plain places curdle into leverage. Every thread is real. Every thread also falls short of the precise trial I am proposing, and pointing out where it falls short is the whole reason for the review.</w:t>
      </w:r>
    </w:p>
    <w:bookmarkStart w:id="70" w:name="shared-risk-governance"/>
    <w:p>
      <w:pPr>
        <w:pStyle w:val="Heading2"/>
        <w:spacing w:line="480" w:lineRule="auto"/>
      </w:pPr>
      <w:r>
        <w:t xml:space="preserve">Shared-risk governance</w:t>
      </w:r>
    </w:p>
    <w:p>
      <w:pPr>
        <w:pStyle w:val="FirstParagraph"/>
        <w:spacing w:line="480" w:lineRule="auto"/>
      </w:pPr>
      <w:r>
        <w:t xml:space="preserve">The first thread gathers around collective action when the technology is still uncertain. Zhang and Balakrishnan set orbital debris beside the Montreal Protocol and read environmental governance as that species of problem</w:t>
      </w:r>
      <w:r>
        <w:t xml:space="preserve"> </w:t>
      </w:r>
      <w:hyperlink w:anchor="ref-10">
        <w:r>
          <w:rPr>
            <w:rStyle w:val="Hyperlink"/>
          </w:rPr>
          <w:t xml:space="preserve">[10]</w:t>
        </w:r>
      </w:hyperlink>
      <w:r>
        <w:t xml:space="preserve">. The parallel limps, and it limps in several joints. Debris and lunar resources part ways on spatial shape, on market form, on legal backdrop, and the ozone deal had a swap-out path for chlorofluorocarbons with no tidy lunar twin. The Montreal takeaway survives anyway. It proves that shared-risk arrangements demand more than hope, and what they demand instead is a working kit of parts: watching, fallback options, institutional trust, and repeated rounds of readjustment as the situation shifts under everyone’s feet. Sharpened for the Moon, the lesson bites hard. You cannot read a commons off the mere lack of ownership claims, because visible coordination has to hold it up, and where that coordination goes missing, the very absence of it counts as data of its own.</w:t>
      </w:r>
    </w:p>
    <w:p>
      <w:pPr>
        <w:pStyle w:val="BodyText"/>
        <w:spacing w:line="480" w:lineRule="auto"/>
        <w:ind w:firstLine="720"/>
      </w:pPr>
      <w:r>
        <w:t xml:space="preserve">Cirkovic and Wood run the shared-risk thread out across planetary lines</w:t>
      </w:r>
      <w:r>
        <w:t xml:space="preserve"> </w:t>
      </w:r>
      <w:hyperlink w:anchor="ref-22">
        <w:r>
          <w:rPr>
            <w:rStyle w:val="Hyperlink"/>
          </w:rPr>
          <w:t xml:space="preserve">[22]</w:t>
        </w:r>
      </w:hyperlink>
      <w:r>
        <w:t xml:space="preserve">. Their earth-and-outer-space design frame declines to sever space activity from the governance load carried on the ground. Read that way, lunar mining is no lone technical frontier; it is one piece of a wider design puzzle laced with spillovers, accountability, and feedback into institutions. The frame earns its place here by cautioning against a narrow read, one that grades lunar bunching only against lunar yardsticks. Should extraction rerun the enclosure dynamics that centuries of Earthbound commons study have already logged, then the yardstick that matters runs wider than any one mission’s engineering excuse.</w:t>
      </w:r>
    </w:p>
    <w:bookmarkEnd w:id="70"/>
    <w:bookmarkStart w:id="71" w:name="decentralized-information-sharing"/>
    <w:p>
      <w:pPr>
        <w:pStyle w:val="Heading2"/>
        <w:spacing w:line="480" w:lineRule="auto"/>
      </w:pPr>
      <w:r>
        <w:t xml:space="preserve">Decentralized information sharing</w:t>
      </w:r>
    </w:p>
    <w:p>
      <w:pPr>
        <w:pStyle w:val="FirstParagraph"/>
        <w:spacing w:line="480" w:lineRule="auto"/>
      </w:pPr>
      <w:r>
        <w:t xml:space="preserve">The second thread treats the plumbing of information as the operating system a commons would run on. Reed and colleagues contend that pooling operational risk data can grease the growth of norms and the checking of compliance</w:t>
      </w:r>
      <w:r>
        <w:t xml:space="preserve"> </w:t>
      </w:r>
      <w:hyperlink w:anchor="ref-15">
        <w:r>
          <w:rPr>
            <w:rStyle w:val="Hyperlink"/>
          </w:rPr>
          <w:t xml:space="preserve">[15]</w:t>
        </w:r>
      </w:hyperlink>
      <w:r>
        <w:t xml:space="preserve">. Their move welds technical data habits to governance results. Sharing is no mere engineering nicety; it lets players learn whether others are keeping to expected behavior, whether risk is being dumped on neighbors, and whether cooperative norms have gone from talk to practice. Reed, Dailey, Stilwell, and Weeden push the logic on, casting distributed space data sharing as a prime enabler of trust and of holding the domain together</w:t>
      </w:r>
      <w:r>
        <w:t xml:space="preserve"> </w:t>
      </w:r>
      <w:hyperlink w:anchor="ref-17">
        <w:r>
          <w:rPr>
            <w:rStyle w:val="Hyperlink"/>
          </w:rPr>
          <w:t xml:space="preserve">[17]</w:t>
        </w:r>
      </w:hyperlink>
      <w:r>
        <w:t xml:space="preserve">. Mokhnatkin, discussing ISON, argues the parallel from a different institutional perch, stressing consortium-style pooling over any central command</w:t>
      </w:r>
      <w:r>
        <w:t xml:space="preserve"> </w:t>
      </w:r>
      <w:hyperlink w:anchor="ref-11">
        <w:r>
          <w:rPr>
            <w:rStyle w:val="Hyperlink"/>
          </w:rPr>
          <w:t xml:space="preserve">[11]</w:t>
        </w:r>
      </w:hyperlink>
      <w:r>
        <w:t xml:space="preserve">. Stack them and you get the terms under which a many-centered lunar commons could ring true.</w:t>
      </w:r>
    </w:p>
    <w:p>
      <w:pPr>
        <w:pStyle w:val="BodyText"/>
        <w:spacing w:line="480" w:lineRule="auto"/>
        <w:ind w:firstLine="720"/>
      </w:pPr>
      <w:r>
        <w:t xml:space="preserve">A strain runs through this thread, and I lean on it hard. A shared information layer can prop up cooperation, and it can just as readily record who holds the edge, so that the same pipe which promised to level the field ends up charting exactly who stands above whom. Should a few players win sharper awareness of site conditions, relay openings, or approach hazards, then information joins the power grid rather than dissolving it. So I read trust plumbing as two-faced. It can crack a commons open. It can also, once access to the pooled data turns lopsided or conditional, quietly cement a club whose members verify one another while everyone outside stays in the dark. That two-facedness is no defect in the earlier work. It is a variable I intend to gauge, because whether shared data widens the door or narrows it is exactly the sort of conduct a coding scheme can catch.</w:t>
      </w:r>
    </w:p>
    <w:bookmarkEnd w:id="71"/>
    <w:bookmarkStart w:id="72" w:name="institutional-change"/>
    <w:p>
      <w:pPr>
        <w:pStyle w:val="Heading2"/>
        <w:spacing w:line="480" w:lineRule="auto"/>
      </w:pPr>
      <w:r>
        <w:t xml:space="preserve">Institutional change</w:t>
      </w:r>
    </w:p>
    <w:p>
      <w:pPr>
        <w:pStyle w:val="FirstParagraph"/>
        <w:spacing w:line="480" w:lineRule="auto"/>
      </w:pPr>
      <w:r>
        <w:t xml:space="preserve">Institutional change is a third body of writing. Zancan, Paravano, Locatelli, and Trucco chart space governance drifting from its old templates toward New Space shapes</w:t>
      </w:r>
      <w:r>
        <w:t xml:space="preserve"> </w:t>
      </w:r>
      <w:hyperlink w:anchor="ref-21">
        <w:r>
          <w:rPr>
            <w:rStyle w:val="Hyperlink"/>
          </w:rPr>
          <w:t xml:space="preserve">[21]</w:t>
        </w:r>
      </w:hyperlink>
      <w:r>
        <w:t xml:space="preserve">. Their read helps show why lunar resource governance will not collapse into treaty parsing. Firms, public-private tie-ups, mission consortia, infrastructure owners: all of them shape the conduct that later sets into governance habit. This is not to say treaties do not matter. It is to say the working rules of lunar operating are being drafted in operating choices faster than in legal text, which is exactly why a conduct-based measurement approach fits better than a doctrinal one.</w:t>
      </w:r>
    </w:p>
    <w:p>
      <w:pPr>
        <w:pStyle w:val="BodyText"/>
        <w:spacing w:line="480" w:lineRule="auto"/>
        <w:ind w:firstLine="720"/>
      </w:pPr>
      <w:r>
        <w:t xml:space="preserve">The change literature also warns off a frozen read of enclosure. Governance shifts, and an early bout of bunching need not fix the eventual regime. That bears on my cautious stance. A lone snapshot of packed activity might just mark a passing New Space stage rather than a durable fence, which is one reason the design tracks motion over time instead of a single slice. Should coordinating talk later yield to priority talk as sites gain worth, that arc tells more than any frozen instant.</w:t>
      </w:r>
    </w:p>
    <w:bookmarkEnd w:id="72"/>
    <w:bookmarkStart w:id="73" w:name="infrastructure-competition"/>
    <w:p>
      <w:pPr>
        <w:pStyle w:val="Heading2"/>
        <w:spacing w:line="480" w:lineRule="auto"/>
      </w:pPr>
      <w:r>
        <w:t xml:space="preserve">Infrastructure competition</w:t>
      </w:r>
    </w:p>
    <w:p>
      <w:pPr>
        <w:pStyle w:val="FirstParagraph"/>
        <w:spacing w:line="480" w:lineRule="auto"/>
      </w:pPr>
      <w:r>
        <w:t xml:space="preserve">The infrastructure contest brings the keenest political edge. Young and Thadani, writing on the low-Earth-orbit broadband scramble, show how orbital infrastructure hardens into a strategic prize</w:t>
      </w:r>
      <w:r>
        <w:t xml:space="preserve"> </w:t>
      </w:r>
      <w:hyperlink w:anchor="ref-14">
        <w:r>
          <w:rPr>
            <w:rStyle w:val="Hyperlink"/>
          </w:rPr>
          <w:t xml:space="preserve">[14]</w:t>
        </w:r>
      </w:hyperlink>
      <w:r>
        <w:t xml:space="preserve">. Their eye is not on lunar mining, and the reasoning ports over cleanly all the same. Places, links, and service dependencies each mutate into leverage. On the Moon a relay layout, a landing path, a surface power hub, or a supply depot can mint priority even where nobody holds legal title to the dirt under it. Technical architecture and governance architecture start to mesh, and that mesh is where enclosure could nest inside ordinary engineering.</w:t>
      </w:r>
    </w:p>
    <w:p>
      <w:pPr>
        <w:pStyle w:val="BodyText"/>
        <w:spacing w:line="480" w:lineRule="auto"/>
        <w:ind w:firstLine="720"/>
      </w:pPr>
      <w:r>
        <w:t xml:space="preserve">This is also the spot where the field cautions against reading too much in. Not every cluster is a capture. Sites with kinder illumination, gentler thermal load, reachable volatiles, or friendlier signal geometry will pull repeat interest for reasons that owe nothing to exclusion. Technical studies of observation, capture, and experimental space systems show that spatial and operational limits routinely steer design choices</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6">
        <w:r>
          <w:rPr>
            <w:rStyle w:val="Hyperlink"/>
          </w:rPr>
          <w:t xml:space="preserve">[16]</w:t>
        </w:r>
      </w:hyperlink>
      <w:r>
        <w:t xml:space="preserve"> </w:t>
      </w:r>
      <w:hyperlink w:anchor="ref-24">
        <w:r>
          <w:rPr>
            <w:rStyle w:val="Hyperlink"/>
          </w:rPr>
          <w:t xml:space="preserve">[24]</w:t>
        </w:r>
      </w:hyperlink>
      <w:r>
        <w:t xml:space="preserve"> </w:t>
      </w:r>
      <w:hyperlink w:anchor="ref-25">
        <w:r>
          <w:rPr>
            <w:rStyle w:val="Hyperlink"/>
          </w:rPr>
          <w:t xml:space="preserve">[25]</w:t>
        </w:r>
      </w:hyperlink>
      <w:r>
        <w:t xml:space="preserve">. A believable enclosure trial has to sort bunching driven by engineering worth from bunching driven by exclusion-seeking. That sorting anchors the identification strategy of Chapter 5, and the technical writing is what lets the site-value controls be grounded rather than pulled from thin air.</w:t>
      </w:r>
    </w:p>
    <w:bookmarkEnd w:id="73"/>
    <w:bookmarkStart w:id="74" w:name="Xb7411ea1daa27a55ff0d60567af2c5f65bf9fbc"/>
    <w:p>
      <w:pPr>
        <w:pStyle w:val="Heading2"/>
        <w:spacing w:line="480" w:lineRule="auto"/>
      </w:pPr>
      <w:r>
        <w:t xml:space="preserve">Reconstruction, monitoring, and the observability of behavior</w:t>
      </w:r>
    </w:p>
    <w:p>
      <w:pPr>
        <w:pStyle w:val="FirstParagraph"/>
        <w:spacing w:line="480" w:lineRule="auto"/>
      </w:pPr>
      <w:r>
        <w:t xml:space="preserve">A hushed strand in the technical writing merits its own paragraph, because it bears straight on whether my method can work at all. Studies that piece back together in-orbit breakups over short spans prove that even wild, unannounced physical events shed enough of a trace to be rebuilt afterward from public and half-public data</w:t>
      </w:r>
      <w:r>
        <w:t xml:space="preserve"> </w:t>
      </w:r>
      <w:hyperlink w:anchor="ref-23">
        <w:r>
          <w:rPr>
            <w:rStyle w:val="Hyperlink"/>
          </w:rPr>
          <w:t xml:space="preserve">[23]</w:t>
        </w:r>
      </w:hyperlink>
      <w:r>
        <w:t xml:space="preserve">. The tie is by analogy, not by topic. If a fragmentation cloud can be reassembled from scraps of observation, then a pattern of site claiming, voiced in deliberate public statements rather than in wreckage, is at least as open to reassembly. The methodological nerve of that work bankrolls my central gamble: that governance conduct, being deliberate and often on paper, is visible enough to code.</w:t>
      </w:r>
    </w:p>
    <w:p>
      <w:pPr>
        <w:pStyle w:val="BodyText"/>
        <w:spacing w:line="480" w:lineRule="auto"/>
        <w:ind w:firstLine="720"/>
      </w:pPr>
      <w:r>
        <w:t xml:space="preserve">The point pushes back on a familiar objection. Doubters of conduct measurement in space governance say the deciding moves happen behind closed doors, in bilateral nods and classified plans no coding scheme can touch. The objection carries weight, and I grant that some signaling runs sideways or stays dark. Yet the breakup-reassembly parallel hints that the visible share is fatter than the doubter reckons, because anyone bent on locking in practical priority has, sooner or later, to move in the open. They have to land, file, announce, describe. Enclosure kept wholly private would also stay wholly toothless, since its entire aim is to bend what other players do. The gear I study is one that has to break the surface to bite.</w:t>
      </w:r>
    </w:p>
    <w:bookmarkEnd w:id="74"/>
    <w:bookmarkStart w:id="75" w:name="Xd11698871ec14784cac6d1b5f8f78f3e371c58e"/>
    <w:p>
      <w:pPr>
        <w:pStyle w:val="Heading2"/>
        <w:spacing w:line="480" w:lineRule="auto"/>
      </w:pPr>
      <w:r>
        <w:t xml:space="preserve">Commons scholarship and the lunar analogy</w:t>
      </w:r>
    </w:p>
    <w:p>
      <w:pPr>
        <w:pStyle w:val="FirstParagraph"/>
        <w:spacing w:line="480" w:lineRule="auto"/>
      </w:pPr>
      <w:r>
        <w:t xml:space="preserve">The word commons drags a heavy intellectual estate behind it, and the review would be lopsided without a nod to it. Earthbound commons study settled that shared resources are neither fated to ruin nor safe by default; their fate hinges on the presence or absence of particular institutional parts, among them watching, graduated penalties, clear edges, and channels for settling disputes. The space writing above borrows that lesson piecemeal. Zhang and Balakrishnan’s Montreal read carries the watching and readjustment parts into orbit</w:t>
      </w:r>
      <w:r>
        <w:t xml:space="preserve"> </w:t>
      </w:r>
      <w:hyperlink w:anchor="ref-10">
        <w:r>
          <w:rPr>
            <w:rStyle w:val="Hyperlink"/>
          </w:rPr>
          <w:t xml:space="preserve">[10]</w:t>
        </w:r>
      </w:hyperlink>
      <w:r>
        <w:t xml:space="preserve">. Reed and colleagues supply the watching and trust machinery in the space domain proper</w:t>
      </w:r>
      <w:r>
        <w:t xml:space="preserve"> </w:t>
      </w:r>
      <w:hyperlink w:anchor="ref-15">
        <w:r>
          <w:rPr>
            <w:rStyle w:val="Hyperlink"/>
          </w:rPr>
          <w:t xml:space="preserve">[15]</w:t>
        </w:r>
      </w:hyperlink>
      <w:r>
        <w:t xml:space="preserve"> </w:t>
      </w:r>
      <w:hyperlink w:anchor="ref-17">
        <w:r>
          <w:rPr>
            <w:rStyle w:val="Hyperlink"/>
          </w:rPr>
          <w:t xml:space="preserve">[17]</w:t>
        </w:r>
      </w:hyperlink>
      <w:r>
        <w:t xml:space="preserve">. What none of it does, and what I therefore must, is test whether those parts actually sit inside lunar practice or merely wait there in principle.</w:t>
      </w:r>
    </w:p>
    <w:p>
      <w:pPr>
        <w:pStyle w:val="BodyText"/>
        <w:spacing w:line="480" w:lineRule="auto"/>
        <w:ind w:firstLine="720"/>
      </w:pPr>
      <w:r>
        <w:t xml:space="preserve">The lunar-to-Earth parallel also breaks in a telling way. Earthly commons study mostly watches resources shared by many small users, where the trouble is too many taking too much. The lunar case flips the scale. A few large, capable players scrap over a few irreplaceable spots. That flip lifts earliest-mover enclosure above classic over-use as the live danger, because the binding limit is not how much everyone digs but who even gets to stand there. My stress on bunching and exclusion, rather than on depletion, drops straight out of this structural break, and it is one reason the design cannot just graft an Earth commons tool onto the Moon.</w:t>
      </w:r>
    </w:p>
    <w:bookmarkEnd w:id="75"/>
    <w:bookmarkStart w:id="76" w:name="what-the-source-audit-adds"/>
    <w:p>
      <w:pPr>
        <w:pStyle w:val="Heading2"/>
        <w:spacing w:line="480" w:lineRule="auto"/>
      </w:pPr>
      <w:r>
        <w:t xml:space="preserve">What the source audit adds</w:t>
      </w:r>
    </w:p>
    <w:p>
      <w:pPr>
        <w:pStyle w:val="FirstParagraph"/>
        <w:spacing w:line="480" w:lineRule="auto"/>
      </w:pPr>
      <w:r>
        <w:t xml:space="preserve">The two finished source-vetting papers sharpen the review by profiling the pool itself. Paper 1 finds that recency, citation count, and venue score account for little of the swing in topic-signal strength, and that citation count runs negative against signal score in the local sample. Paper 2 finds no real link between a paper’s age and how citations pile up. These results say nothing about lunar claiming. They discipline the review by warning me off the habit of treating older or better-cited work as automatically more central. A review propped on prestige signals would have overweighted the top-cited items; the audit shows those top-cited items in this pool are not the most gear-relevant, which backs a gear-first read of the field.</w:t>
      </w:r>
    </w:p>
    <w:p>
      <w:pPr>
        <w:pStyle w:val="BodyText"/>
        <w:spacing w:line="480" w:lineRule="auto"/>
        <w:ind w:firstLine="720"/>
      </w:pPr>
      <w:r>
        <w:t xml:space="preserve">That backing is worth stating with care, because it reshapes how the review should get used downstream. If citation counts sorted the pool by relevance, a reader could triage sources by fame and lean on the ranking. The audit says no. The works that carry my gears, distributed trust plumbing, shifting governance, sustainability design, and infrastructure leverage, win their spots by what they account for, not by where they perch in a citation ladder</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w:t>
      </w:r>
      <w:hyperlink w:anchor="ref-17">
        <w:r>
          <w:rPr>
            <w:rStyle w:val="Hyperlink"/>
          </w:rPr>
          <w:t xml:space="preserve">[17]</w:t>
        </w:r>
      </w:hyperlink>
      <w:r>
        <w:t xml:space="preserve"> </w:t>
      </w:r>
      <w:hyperlink w:anchor="ref-21">
        <w:r>
          <w:rPr>
            <w:rStyle w:val="Hyperlink"/>
          </w:rPr>
          <w:t xml:space="preserve">[21]</w:t>
        </w:r>
      </w:hyperlink>
      <w:r>
        <w:t xml:space="preserve"> </w:t>
      </w:r>
      <w:hyperlink w:anchor="ref-22">
        <w:r>
          <w:rPr>
            <w:rStyle w:val="Hyperlink"/>
          </w:rPr>
          <w:t xml:space="preserve">[22]</w:t>
        </w:r>
      </w:hyperlink>
      <w:r>
        <w:t xml:space="preserve">. A review built on that footing stands firmer than one that lets bibliometric ease pass for judgment.</w:t>
      </w:r>
    </w:p>
    <w:bookmarkEnd w:id="76"/>
    <w:bookmarkStart w:id="77" w:name="X18aa1e59ea72611168b6626b8f7588c71807b12"/>
    <w:p>
      <w:pPr>
        <w:pStyle w:val="Heading2"/>
        <w:spacing w:line="480" w:lineRule="auto"/>
      </w:pPr>
      <w:r>
        <w:t xml:space="preserve">Technical architectures as governance objects</w:t>
      </w:r>
    </w:p>
    <w:p>
      <w:pPr>
        <w:pStyle w:val="FirstParagraph"/>
        <w:spacing w:line="480" w:lineRule="auto"/>
      </w:pPr>
      <w:r>
        <w:t xml:space="preserve">The technical writing files easily under engineering and gets shelved in a governance review, and shelving it would be an error. Studies of observation networks, capture rigs, and experimental space platforms lay out operating geometries, and operating geometry is the seam where governance and engineering fuse</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6">
        <w:r>
          <w:rPr>
            <w:rStyle w:val="Hyperlink"/>
          </w:rPr>
          <w:t xml:space="preserve">[16]</w:t>
        </w:r>
      </w:hyperlink>
      <w:r>
        <w:t xml:space="preserve"> </w:t>
      </w:r>
      <w:hyperlink w:anchor="ref-24">
        <w:r>
          <w:rPr>
            <w:rStyle w:val="Hyperlink"/>
          </w:rPr>
          <w:t xml:space="preserve">[24]</w:t>
        </w:r>
      </w:hyperlink>
      <w:r>
        <w:t xml:space="preserve"> </w:t>
      </w:r>
      <w:hyperlink w:anchor="ref-25">
        <w:r>
          <w:rPr>
            <w:rStyle w:val="Hyperlink"/>
          </w:rPr>
          <w:t xml:space="preserve">[25]</w:t>
        </w:r>
      </w:hyperlink>
      <w:r>
        <w:t xml:space="preserve">. Take the multi-tethered capture formation built for small-body work</w:t>
      </w:r>
      <w:r>
        <w:t xml:space="preserve"> </w:t>
      </w:r>
      <w:hyperlink w:anchor="ref-24">
        <w:r>
          <w:rPr>
            <w:rStyle w:val="Hyperlink"/>
          </w:rPr>
          <w:t xml:space="preserve">[24]</w:t>
        </w:r>
      </w:hyperlink>
      <w:r>
        <w:t xml:space="preserve">. Its topic sits far from lunar governance, and it still lights up a general truth I depend on: the physical layout of a system fixes which positions pay and which are shut out. Once payoff and shutout are welded into the architecture, governance is being settled by design calls nobody labeled governance. Reading such studies as governance objects, rather than as pure engineering, is part of what lets me catch enclosure crouched inside technical necessity.</w:t>
      </w:r>
    </w:p>
    <w:p>
      <w:pPr>
        <w:pStyle w:val="BodyText"/>
        <w:spacing w:line="480" w:lineRule="auto"/>
        <w:ind w:firstLine="720"/>
      </w:pPr>
      <w:r>
        <w:t xml:space="preserve">The observation and instrumentation writing hands over a second insight, this one about swappability</w:t>
      </w:r>
      <w:r>
        <w:t xml:space="preserve"> </w:t>
      </w:r>
      <w:hyperlink w:anchor="ref-13">
        <w:r>
          <w:rPr>
            <w:rStyle w:val="Hyperlink"/>
          </w:rPr>
          <w:t xml:space="preserve">[13]</w:t>
        </w:r>
      </w:hyperlink>
      <w:r>
        <w:t xml:space="preserve"> </w:t>
      </w:r>
      <w:hyperlink w:anchor="ref-16">
        <w:r>
          <w:rPr>
            <w:rStyle w:val="Hyperlink"/>
          </w:rPr>
          <w:t xml:space="preserve">[16]</w:t>
        </w:r>
      </w:hyperlink>
      <w:r>
        <w:t xml:space="preserve">. A patrol net or a big instrument goes where physics permits, and its placement crowds out whatever else might have held the same geometry. The lunar parallel is exact. A power node on a lit rim, a relay over a corridor, a processing plant beside a dark deposit: each holds a position whose worth flows from being scarce and hard to replace. The technical studies school me to treat swappability as a measured quantity rather than to assume it. A spot easily swapped carries little enclosure danger however it is claimed; a spot with no swap carries the most even under mild wording. The site-value controls Chapter 4 builds are, at root, a bid to gauge swappability off the technical record.</w:t>
      </w:r>
    </w:p>
    <w:bookmarkEnd w:id="77"/>
    <w:bookmarkStart w:id="78" w:name="the-tension-the-field-leaves-unresolved"/>
    <w:p>
      <w:pPr>
        <w:pStyle w:val="Heading2"/>
        <w:spacing w:line="480" w:lineRule="auto"/>
      </w:pPr>
      <w:r>
        <w:t xml:space="preserve">The tension the field leaves unresolved</w:t>
      </w:r>
    </w:p>
    <w:p>
      <w:pPr>
        <w:pStyle w:val="FirstParagraph"/>
        <w:spacing w:line="480" w:lineRule="auto"/>
      </w:pPr>
      <w:r>
        <w:t xml:space="preserve">Draw the threads together and a tension surfaces that the field voices but never settles. The data-sharing writing says trust plumbing can crack a commons open</w:t>
      </w:r>
      <w:r>
        <w:t xml:space="preserve"> </w:t>
      </w:r>
      <w:hyperlink w:anchor="ref-15">
        <w:r>
          <w:rPr>
            <w:rStyle w:val="Hyperlink"/>
          </w:rPr>
          <w:t xml:space="preserve">[15]</w:t>
        </w:r>
      </w:hyperlink>
      <w:r>
        <w:t xml:space="preserve"> </w:t>
      </w:r>
      <w:hyperlink w:anchor="ref-17">
        <w:r>
          <w:rPr>
            <w:rStyle w:val="Hyperlink"/>
          </w:rPr>
          <w:t xml:space="preserve">[17]</w:t>
        </w:r>
      </w:hyperlink>
      <w:r>
        <w:t xml:space="preserve">. The infrastructure writing says architecture can lock in strategic grip</w:t>
      </w:r>
      <w:r>
        <w:t xml:space="preserve"> </w:t>
      </w:r>
      <w:hyperlink w:anchor="ref-14">
        <w:r>
          <w:rPr>
            <w:rStyle w:val="Hyperlink"/>
          </w:rPr>
          <w:t xml:space="preserve">[14]</w:t>
        </w:r>
      </w:hyperlink>
      <w:r>
        <w:t xml:space="preserve">. The change writing says the regime is still being written</w:t>
      </w:r>
      <w:r>
        <w:t xml:space="preserve"> </w:t>
      </w:r>
      <w:hyperlink w:anchor="ref-21">
        <w:r>
          <w:rPr>
            <w:rStyle w:val="Hyperlink"/>
          </w:rPr>
          <w:t xml:space="preserve">[21]</w:t>
        </w:r>
      </w:hyperlink>
      <w:r>
        <w:t xml:space="preserve">. The sustainability writing says the stakes run past any single mission</w:t>
      </w:r>
      <w:r>
        <w:t xml:space="preserve"> </w:t>
      </w:r>
      <w:hyperlink w:anchor="ref-22">
        <w:r>
          <w:rPr>
            <w:rStyle w:val="Hyperlink"/>
          </w:rPr>
          <w:t xml:space="preserve">[22]</w:t>
        </w:r>
      </w:hyperlink>
      <w:r>
        <w:t xml:space="preserve">. Each convinces, and stacked they imply that the same architectural moves, a relay, a data consortium, a safety custom, could either open a commons or wall in a club depending on the use. The field has named the two-facedness. It has not measured which way any real lunar practice is tipping. That unsettled tension marks the exact spot of my contribution, and framing it this way makes plain that the contribution is empirical, not theoretical. The theory largely stands. What is missing is the measurement that would bolt the theory to the lunar case.</w:t>
      </w:r>
    </w:p>
    <w:bookmarkEnd w:id="78"/>
    <w:bookmarkStart w:id="79" w:name="the-gap"/>
    <w:p>
      <w:pPr>
        <w:pStyle w:val="Heading2"/>
        <w:spacing w:line="480" w:lineRule="auto"/>
      </w:pPr>
      <w:r>
        <w:t xml:space="preserve">The gap</w:t>
      </w:r>
    </w:p>
    <w:p>
      <w:pPr>
        <w:pStyle w:val="FirstParagraph"/>
        <w:spacing w:line="480" w:lineRule="auto"/>
      </w:pPr>
      <w:r>
        <w:t xml:space="preserve">The hole the field leaves is empirical, and it is specific. Existing work accounts for why a many-centered order is possible, why shared data matters, why institutional design bends, and why infrastructure can carry strategic weight. What stays untested is whether public conduct around prized lunar sites is already lining up with a commons or sliding toward a working fence. The writing runs rich in norms and gears, and thin in measurement. No prior study codes site-linked claiming, benchmarks its bunching against a cooperative expectation conditional on site worth, and marries that measure to a language read of exclusion. I fill the hole by rendering governance theory into visible markers: spatial bunching, exclusion wording, site-value controls, and process-traced contested cases. The chapters ahead build each marker out of the gears this review has surfaced, so the trial rests on the field’s own sharpest insights rather than on suspicion.</w:t>
      </w:r>
    </w:p>
    <w:bookmarkEnd w:id="79"/>
    <w:bookmarkStart w:id="80" w:name="Xea6851f4eb05307ddc0b19aaf9c6a6c36b726bb"/>
    <w:p>
      <w:pPr>
        <w:pStyle w:val="Heading2"/>
        <w:spacing w:line="480" w:lineRule="auto"/>
      </w:pPr>
      <w:r>
        <w:t xml:space="preserve">Positioning against two tempting shortcuts</w:t>
      </w:r>
    </w:p>
    <w:p>
      <w:pPr>
        <w:pStyle w:val="FirstParagraph"/>
        <w:spacing w:line="480" w:lineRule="auto"/>
      </w:pPr>
      <w:r>
        <w:t xml:space="preserve">It sharpens the contribution to flag two shortcuts the review turns down on purpose. The first is the doctrinal shortcut, which reads lunar governance straight off the treaty text and rules that, since appropriation is barred, enclosure cannot happen. The change writing wrecks that inference by showing effective governance getting drafted in operating choices faster than in legal text</w:t>
      </w:r>
      <w:r>
        <w:t xml:space="preserve"> </w:t>
      </w:r>
      <w:hyperlink w:anchor="ref-21">
        <w:r>
          <w:rPr>
            <w:rStyle w:val="Hyperlink"/>
          </w:rPr>
          <w:t xml:space="preserve">[21]</w:t>
        </w:r>
      </w:hyperlink>
      <w:r>
        <w:t xml:space="preserve">. A doctrinal read would sail right past the conduct layer where enclosure would actually live. The second is the alarmist shortcut, which reads strategic rivalry off the plain fact of great-power friction and rules that enclosure is already here. The infrastructure writing makes the rivalry vivid</w:t>
      </w:r>
      <w:r>
        <w:t xml:space="preserve"> </w:t>
      </w:r>
      <w:hyperlink w:anchor="ref-14">
        <w:r>
          <w:rPr>
            <w:rStyle w:val="Hyperlink"/>
          </w:rPr>
          <w:t xml:space="preserve">[14]</w:t>
        </w:r>
      </w:hyperlink>
      <w:r>
        <w:t xml:space="preserve">, and vividness is not measurement. Treating rivalry as proof of enclosure would convict players on mood rather than evidence.</w:t>
      </w:r>
    </w:p>
    <w:p>
      <w:pPr>
        <w:pStyle w:val="BodyText"/>
        <w:spacing w:line="480" w:lineRule="auto"/>
        <w:ind w:firstLine="720"/>
      </w:pPr>
      <w:r>
        <w:t xml:space="preserve">The review sets the dissertation between the two shortcuts. Against the doctrinal read, it holds that conduct can breed governance outcomes the law never names. Against the alarmist read, it holds that conduct must be measured before enclosure is charged, and that plenty of bunching wears innocent engineering reasons</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Carrying both stances at once is what makes the position distinctive. It takes the enclosure danger seriously enough to build a detector for it, and it takes the commons chance seriously enough to give it a real shot at surviving the trial. The prior writing, read whole, endorses just this middle route: rich in gears, thin in measurement, and so wanting the empirical bridge the dissertation sets out to lay.</w:t>
      </w:r>
    </w:p>
    <w:bookmarkEnd w:id="80"/>
    <w:bookmarkEnd w:id="81"/>
    <w:bookmarkStart w:id="94" w:name="Xcfcc00a3ded59aed0c781c16bfc121f2a509603"/>
    <w:p>
      <w:pPr>
        <w:pStyle w:val="Heading1"/>
        <w:spacing w:line="480" w:lineRule="auto"/>
      </w:pPr>
      <w:r>
        <w:t xml:space="preserve">Chapter 3. Theoretical Framework and Hypotheses</w:t>
      </w:r>
    </w:p>
    <w:p>
      <w:pPr>
        <w:pStyle w:val="FirstParagraph"/>
        <w:spacing w:line="480" w:lineRule="auto"/>
      </w:pPr>
      <w:r>
        <w:t xml:space="preserve">The theory opens by splitting legal form from operational effect. International space law bars any nation from taking the Moon. Governance results, though, can be manufactured by conduct that never once puts on the costume of sovereignty. A player can bend access by touching down first, by logging a hazard ring, by sinking money into a relay everyone leans on, or by naming a place a protected work area again and again. Any of these can wear a safety or engineering justification, and any of these can still shut others out if it makes later arrival dear, dangerous, or politically fraught. The distance between what the law forbids and what conduct can pull off is the ground I work.</w:t>
      </w:r>
    </w:p>
    <w:p>
      <w:pPr>
        <w:pStyle w:val="BodyText"/>
        <w:spacing w:line="480" w:lineRule="auto"/>
        <w:ind w:firstLine="720"/>
      </w:pPr>
      <w:r>
        <w:t xml:space="preserve">The frame moves by naming two rival gears, spelling out what each forecasts, and fixing the visible constructs that let the forecasts be tried. The gears are a many-centered commons and earliest-mover enclosure. They are not moral stances. They are conduct-level bets, each implying a different mark in the public record, and the design is built so the record can tell them apart.</w:t>
      </w:r>
    </w:p>
    <w:bookmarkStart w:id="82" w:name="polycentric-commons-governance"/>
    <w:p>
      <w:pPr>
        <w:pStyle w:val="Heading2"/>
        <w:spacing w:line="480" w:lineRule="auto"/>
      </w:pPr>
      <w:r>
        <w:t xml:space="preserve">Polycentric commons governance</w:t>
      </w:r>
    </w:p>
    <w:p>
      <w:pPr>
        <w:pStyle w:val="FirstParagraph"/>
        <w:spacing w:line="480" w:lineRule="auto"/>
      </w:pPr>
      <w:r>
        <w:t xml:space="preserve">The first model is a many-centered commons, so begin there. Such an order holds several decision hubs that trade through rules, watching, and mutual expectation. It is no loose wish to share. It is a structured form of spread-out governance where no hub owns a monopoly and each hub’s conduct stays legible to the rest. On the Moon that order would surface in public habits that shrink ambiguity, disclose hazards, back cross-player coordination, and refuse to turn early arrival into lasting first claim. Writing on operational risk data and distributed sharing supplies the institutional logic for that hope</w:t>
      </w:r>
      <w:r>
        <w:t xml:space="preserve"> </w:t>
      </w:r>
      <w:hyperlink w:anchor="ref-15">
        <w:r>
          <w:rPr>
            <w:rStyle w:val="Hyperlink"/>
          </w:rPr>
          <w:t xml:space="preserve">[15]</w:t>
        </w:r>
      </w:hyperlink>
      <w:r>
        <w:t xml:space="preserve"> </w:t>
      </w:r>
      <w:hyperlink w:anchor="ref-17">
        <w:r>
          <w:rPr>
            <w:rStyle w:val="Hyperlink"/>
          </w:rPr>
          <w:t xml:space="preserve">[17]</w:t>
        </w:r>
      </w:hyperlink>
      <w:r>
        <w:t xml:space="preserve">. Pooled information lets watching happen, and watching is what turns cooperative norms from stated into believed.</w:t>
      </w:r>
    </w:p>
    <w:p>
      <w:pPr>
        <w:pStyle w:val="BodyText"/>
        <w:spacing w:line="480" w:lineRule="auto"/>
        <w:ind w:firstLine="720"/>
      </w:pPr>
      <w:r>
        <w:t xml:space="preserve">A many-centered order forecasts a particular mark in the data. Claiming ought to spread across several players rather than pile onto one. Safety and coordinating wording ought to outweigh priority and protection wording. Where bunching does occur, it ought to trail transparent site-worth reasons any player could cite, and access ought to stay mutual, meaning early arrival forecloses no later one. Show those traits in the record and the commons read survives even in a cramped setting where everyone covets the same few rims.</w:t>
      </w:r>
    </w:p>
    <w:bookmarkEnd w:id="82"/>
    <w:bookmarkStart w:id="83" w:name="first-mover-enclosure"/>
    <w:p>
      <w:pPr>
        <w:pStyle w:val="Heading2"/>
        <w:spacing w:line="480" w:lineRule="auto"/>
      </w:pPr>
      <w:r>
        <w:t xml:space="preserve">First-mover enclosure</w:t>
      </w:r>
    </w:p>
    <w:p>
      <w:pPr>
        <w:pStyle w:val="FirstParagraph"/>
        <w:spacing w:line="480" w:lineRule="auto"/>
      </w:pPr>
      <w:r>
        <w:t xml:space="preserve">Earliest-mover enclosure is the rival gear, and its logic is plainer. It fires when scarce places fall under working control through early moves and repeated pleas of operational necessity. The gear has three parts. Some sites carry outsized worth, because light, volatiles, terrain, signal geometry, or a neighboring hub make them hard to swap. Early players can then plant a presence or a planning record that flips technical priority into political priority, so that having gone first becomes the case for staying first. And safety and coordinating wording can turn exclusionary once it slides from cutting risk toward locking access. Enclosure in this dissertation is thus no legal verdict. It is an empirical pattern of bunching and wording, and it can be here or absent as plain fact.</w:t>
      </w:r>
    </w:p>
    <w:p>
      <w:pPr>
        <w:pStyle w:val="BodyText"/>
        <w:spacing w:line="480" w:lineRule="auto"/>
        <w:ind w:firstLine="720"/>
      </w:pPr>
      <w:r>
        <w:t xml:space="preserve">The enclosure gear forecasts the opposite mark. Bunching ought to concentrate in one player rather than spread wide. Wording ought to drift over time from coordinating toward priority, protection, keep-out hints, and privileged running order. The loudest exclusion signals ought to land where swapping is hardest, because that is where early control pays the longest dividend. And infrastructure dependencies ought to deepen the pattern, since a relay or power node that tilts toward one corridor makes early positioning sticky enough to outlive any one mission.</w:t>
      </w:r>
    </w:p>
    <w:bookmarkEnd w:id="83"/>
    <w:bookmarkStart w:id="84" w:name="the-danger-of-false-attribution"/>
    <w:p>
      <w:pPr>
        <w:pStyle w:val="Heading2"/>
        <w:spacing w:line="480" w:lineRule="auto"/>
      </w:pPr>
      <w:r>
        <w:t xml:space="preserve">The danger of false attribution</w:t>
      </w:r>
    </w:p>
    <w:p>
      <w:pPr>
        <w:pStyle w:val="FirstParagraph"/>
        <w:spacing w:line="480" w:lineRule="auto"/>
      </w:pPr>
      <w:r>
        <w:t xml:space="preserve">The chief theoretical hazard is false attribution. Bunching at a scarce site is not automatically enclosure.</w:t>
      </w:r>
    </w:p>
    <w:p>
      <w:pPr>
        <w:pStyle w:val="BodyText"/>
        <w:spacing w:line="480" w:lineRule="auto"/>
        <w:ind w:firstLine="720"/>
      </w:pPr>
      <w:r>
        <w:t xml:space="preserve">A many-centered commons may bunch at prized sites too, because physics and engineering make those sites a magnet for all. Should every player converge on a polar rim for its steady light, bunching alone cannot prove enclosure, and a design that skipped this would fabricate findings out of geology. So the frame treats site worth as a required control, not an afterthought. The enclosure claim turns credible only once bunching clears the cooperative bar and rides alongside priority, protection, or exclusion wording.</w:t>
      </w:r>
    </w:p>
    <w:p>
      <w:pPr>
        <w:pStyle w:val="BodyText"/>
        <w:spacing w:line="480" w:lineRule="auto"/>
        <w:ind w:firstLine="720"/>
      </w:pPr>
      <w:r>
        <w:t xml:space="preserve">This is why I pair the two constructs rather than use either solo. Bunching with no exclusion wording may just signal engineering worth. Exclusion wording with no bunching may just signal routine safety near a lone operation. Neither by itself fingers enclosure. Demanding both lifts the evidential bar and hands the commons account a fair shot at survival, which is the right posture for a claim with real policy fallout. A frame that could only find enclosure would be no frame. It would be a sentence handed down in advance.</w:t>
      </w:r>
    </w:p>
    <w:bookmarkEnd w:id="84"/>
    <w:bookmarkStart w:id="85" w:name="two-observable-constructs"/>
    <w:p>
      <w:pPr>
        <w:pStyle w:val="Heading2"/>
        <w:spacing w:line="480" w:lineRule="auto"/>
      </w:pPr>
      <w:r>
        <w:t xml:space="preserve">Two observable constructs</w:t>
      </w:r>
    </w:p>
    <w:p>
      <w:pPr>
        <w:pStyle w:val="FirstParagraph"/>
        <w:spacing w:line="480" w:lineRule="auto"/>
      </w:pPr>
      <w:r>
        <w:t xml:space="preserve">The claim gets formalized through two visible constructs. Let (Cluster_t) stand for the measured spatial bunching of logged lunar site claims, hazard-ring mentions, relay-coverage stand-ins, or mission-siting signals at time (t). Let (Exclusive_t) stand for how thick exclusion, priority, or protective-access wording runs in the same public record. The first construct asks whether public claims and stand-ins bunch tighter than expected once mission density and site worth are granted. The second asks whether public wording plays up priority, protection, keep-out hints, first access, or operational control more than cooperative coordination would forecast.</w:t>
      </w:r>
    </w:p>
    <w:p>
      <w:pPr>
        <w:pStyle w:val="BodyText"/>
        <w:spacing w:line="480" w:lineRule="auto"/>
        <w:ind w:firstLine="720"/>
      </w:pPr>
      <w:r>
        <w:t xml:space="preserve">Both constructs are conditional by build. (Cluster_t) gets benchmarked not against an even spread over the lunar surface, which would be silly, but against the spread a cooperative regime would throw off given the same site-worth landscape. (Exclusive_t) gets measured against the rate of exclusion wording a coordination-first regime would generate, not against zero, since some protective wording is normal even inside a commons. That conditioning is what makes the constructs fair, and it is what makes the resulting hypotheses breakable rather than rhetorical.</w:t>
      </w:r>
    </w:p>
    <w:bookmarkEnd w:id="85"/>
    <w:bookmarkStart w:id="86" w:name="hypotheses"/>
    <w:p>
      <w:pPr>
        <w:pStyle w:val="Heading2"/>
        <w:spacing w:line="480" w:lineRule="auto"/>
      </w:pPr>
      <w:r>
        <w:t xml:space="preserve">Hypotheses</w:t>
      </w:r>
    </w:p>
    <w:p>
      <w:pPr>
        <w:pStyle w:val="FirstParagraph"/>
        <w:spacing w:line="480" w:lineRule="auto"/>
      </w:pPr>
      <w:r>
        <w:t xml:space="preserve">The hypotheses drop out at once. The null holds that, once mission density and site-worth observables are granted, the claiming we see is no more spatially bunched or exclusion-leaning than many-centered commons theory would forecast. The alternative holds that, under the same conditioning set, the conduct we see is more bunched and more exclusion-leaning, in line with a de facto earliest-mover fence.</w:t>
      </w:r>
    </w:p>
    <w:p>
      <w:pPr>
        <w:pStyle w:val="BodyText"/>
        <w:spacing w:line="480" w:lineRule="auto"/>
        <w:ind w:firstLine="720"/>
      </w:pPr>
      <w:r>
        <w:t xml:space="preserve">The hypothesis is cautious on purpose. It leaves the commons read room to survive should public practice stay cooperative once technical limits are granted. The frame also spins off auxiliary forecasts that make the trial richer than one lone comparison. Enclosure signals ought to run strongest near spots where swapping is hardest: permanently dark hollows with believable ice access, light-drenched rims, relay-bound corridors, and hub-adjacent landing zones ought to throw off louder exclusion signals than run-of-the-mill lunar sites. Exclusion wording ought to show more where operational risk and political worth overlap. Safety wording near a low-worth site can stay routine; safety wording near a scarce resource carries heavier governance weight, since the same words buy a costlier shutout.</w:t>
      </w:r>
    </w:p>
    <w:bookmarkEnd w:id="86"/>
    <w:bookmarkStart w:id="87" w:name="the-cooperative-benchmark-made-concrete"/>
    <w:p>
      <w:pPr>
        <w:pStyle w:val="Heading2"/>
        <w:spacing w:line="480" w:lineRule="auto"/>
      </w:pPr>
      <w:r>
        <w:t xml:space="preserve">The cooperative benchmark, made concrete</w:t>
      </w:r>
    </w:p>
    <w:p>
      <w:pPr>
        <w:pStyle w:val="FirstParagraph"/>
        <w:spacing w:line="480" w:lineRule="auto"/>
      </w:pPr>
      <w:r>
        <w:t xml:space="preserve">The hypotheses hinge on a phrase that cannot stay vague: the cooperative benchmark. What, in concrete terms, would a many-centered commons throw off, against which the conduct we see gets weighed? The benchmark is a counterfactual spread of claims and wording that a coordination-first regime would generate given the same site-worth landscape and the same tempo of activity. It is not zero bunching, because a commons would still crowd prized sites. It is not zero exclusion wording, because a commons would still post narrow, time-capped safety notices. The benchmark is the level of bunching and exclusion that those honest, cooperative habits alone would throw off. Anything past that leftover is the quantity the enclosure hypothesis chases.</w:t>
      </w:r>
    </w:p>
    <w:p>
      <w:pPr>
        <w:pStyle w:val="BodyText"/>
        <w:spacing w:line="480" w:lineRule="auto"/>
        <w:ind w:firstLine="720"/>
      </w:pPr>
      <w:r>
        <w:t xml:space="preserve">Building the benchmark is the toughest stretch of the design, and the frame is honest that it is a modeling call, not a gift of nature. Several routes open up. One builds the counterfactual straight from site-worth observables, forecasting how much bunching sheer engineering draw would generate and treating the surplus as the object of study. Another builds it from how players behave at low-worth sites, where the enclosure lure is weak, and asks whether high-worth sites break from that floor. A third works the calendar, treating early cooperative-phase wording as the benchmark against which later wording gets graded. Each route has soft spots, so the design runs more than one, so that a finding never dangles from a single benchmark choice. Agreement across benchmarks is itself evidence; disagreement flags where the enclosure read wobbles.</w:t>
      </w:r>
    </w:p>
    <w:bookmarkEnd w:id="87"/>
    <w:bookmarkStart w:id="88" w:name="Xb8742a5a2561d6f2566ffe6b34a56f945b7f48b"/>
    <w:p>
      <w:pPr>
        <w:pStyle w:val="Heading2"/>
        <w:spacing w:line="480" w:lineRule="auto"/>
      </w:pPr>
      <w:r>
        <w:t xml:space="preserve">Auxiliary predictions and a worked illustration</w:t>
      </w:r>
    </w:p>
    <w:p>
      <w:pPr>
        <w:pStyle w:val="FirstParagraph"/>
        <w:spacing w:line="480" w:lineRule="auto"/>
      </w:pPr>
      <w:r>
        <w:t xml:space="preserve">The frame spins off auxiliary forecasts that make it richer, and so more breakable, than the headline hypothesis alone. Picture a stylized case. Say two polar rims share identical light and identical ice prospects, so their engineering worth matches, but one sits beside an early player’s planned relay and the other does not. Commons theory forecasts no gap in exclusion wording between them, since their site worth is equal. Enclosure theory forecasts thicker priority wording at the relay-adjacent rim, because that is where early positioning cashes out as lasting edge. A finding that exclusion wording tracks relay adjacency rather than raw site worth would be hard for the commons account to swallow, and it is exactly the differential forecast the design exists to test.</w:t>
      </w:r>
    </w:p>
    <w:p>
      <w:pPr>
        <w:pStyle w:val="BodyText"/>
        <w:spacing w:line="480" w:lineRule="auto"/>
        <w:ind w:firstLine="720"/>
      </w:pPr>
      <w:r>
        <w:t xml:space="preserve">The calendar forecast runs the same way. Early in a site’s public life, before its worth is widely grasped, both theories expect cooperative wording. As worth gets recognized, commons theory expects wording to stay cooperative while activity climbs, whereas enclosure theory expects wording to swing toward priority and protection. The two accounts split not in the snapshot alone but in the arc, and a design that watches arcs can pry them apart even where a lone snapshot would blur. These auxiliary forecasts matter because they multiply the ways the enclosure hypothesis could crack. A theory with only one forecast could be right by fluke. A theory with several coherent forecasts, each checkable on its own, earns trust when they land together.</w:t>
      </w:r>
    </w:p>
    <w:bookmarkEnd w:id="88"/>
    <w:bookmarkStart w:id="89" w:name="X2c38ff13e2e6e471e9b8b76ef89dfc0124807ef"/>
    <w:p>
      <w:pPr>
        <w:pStyle w:val="Heading2"/>
        <w:spacing w:line="480" w:lineRule="auto"/>
      </w:pPr>
      <w:r>
        <w:t xml:space="preserve">How the source audit refines the framework</w:t>
      </w:r>
    </w:p>
    <w:p>
      <w:pPr>
        <w:pStyle w:val="FirstParagraph"/>
        <w:spacing w:line="480" w:lineRule="auto"/>
      </w:pPr>
      <w:r>
        <w:t xml:space="preserve">The two finished source-vetting papers refine this frame rather than test it. Paper 1 shows the local pool is not strongly ordered by recency, venue, or citation count. Paper 2 shows a paper’s age does not account for its citation attention. These findings shove toward a theory-led approach to source use. The lesson for the frame is that the dissertation should favor gear relevance over bibliometric fame. Works on distributed data sharing, governance in flux, sustainability design, and the infrastructure contest matter because they name visible gears, not because they perch highest in a citation ladder</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w:t>
      </w:r>
      <w:hyperlink w:anchor="ref-17">
        <w:r>
          <w:rPr>
            <w:rStyle w:val="Hyperlink"/>
          </w:rPr>
          <w:t xml:space="preserve">[17]</w:t>
        </w:r>
      </w:hyperlink>
      <w:r>
        <w:t xml:space="preserve"> </w:t>
      </w:r>
      <w:hyperlink w:anchor="ref-21">
        <w:r>
          <w:rPr>
            <w:rStyle w:val="Hyperlink"/>
          </w:rPr>
          <w:t xml:space="preserve">[21]</w:t>
        </w:r>
      </w:hyperlink>
      <w:r>
        <w:t xml:space="preserve"> </w:t>
      </w:r>
      <w:hyperlink w:anchor="ref-22">
        <w:r>
          <w:rPr>
            <w:rStyle w:val="Hyperlink"/>
          </w:rPr>
          <w:t xml:space="preserve">[22]</w:t>
        </w:r>
      </w:hyperlink>
      <w:r>
        <w:t xml:space="preserve">. A frame assembled on gear fit is exactly what the pool’s structure recommends.</w:t>
      </w:r>
    </w:p>
    <w:bookmarkEnd w:id="89"/>
    <w:bookmarkStart w:id="90" w:name="scope-conditions"/>
    <w:p>
      <w:pPr>
        <w:pStyle w:val="Heading2"/>
        <w:spacing w:line="480" w:lineRule="auto"/>
      </w:pPr>
      <w:r>
        <w:t xml:space="preserve">Scope conditions</w:t>
      </w:r>
    </w:p>
    <w:p>
      <w:pPr>
        <w:pStyle w:val="FirstParagraph"/>
        <w:spacing w:line="480" w:lineRule="auto"/>
      </w:pPr>
      <w:r>
        <w:t xml:space="preserve">Every gear has settings where it runs and settings where it stalls, and naming them shields the frame from being asked to account for too much. The enclosure gear is expected to run where three settings hold together: site worth is high and swapping is poor, activity is packed enough that early positioning carries lasting edge, and the operating setting rewards infrastructure that tilts toward some approaches over others. The lunar south pole meets all three, which is why it is the natural test bed. Let any setting fail and the gear is expected to slacken. At a low-worth, easily swapped site, early arrival buys little, and the frame forecasts cooperative wording no matter who lands first. The scope conditions thus double as differential forecasts, since they fix not only where enclosure ought to appear but where it ought not.</w:t>
      </w:r>
    </w:p>
    <w:p>
      <w:pPr>
        <w:pStyle w:val="BodyText"/>
        <w:spacing w:line="480" w:lineRule="auto"/>
        <w:ind w:firstLine="720"/>
      </w:pPr>
      <w:r>
        <w:t xml:space="preserve">The commons gear owns its scope conditions too, and symmetry demands stating them. Many-centered governance is expected to hold where players can watch one another, where shared data is truly open rather than club-locked, and where mutuality is believable because no one player can foreclose the rest. Strip out watching and the commons slides toward a free-for-all; wall off data access and it slides toward a club that acts like enclosure by another door. The frame thus forecasts that one and the same set of players could throw off commons conduct at one site and enclosure conduct at another, hinging on which scope conditions each site meets. That forecast is odd and handy, because it means the dissertation is not trying one global claim about lunar governance but a gear that ought to switch on and off with measurable local settings.</w:t>
      </w:r>
    </w:p>
    <w:bookmarkEnd w:id="90"/>
    <w:bookmarkStart w:id="91" w:name="Xcd098ffa0bd6c364ed2cfc43e1ae560786c344f"/>
    <w:p>
      <w:pPr>
        <w:pStyle w:val="Heading2"/>
        <w:spacing w:line="480" w:lineRule="auto"/>
      </w:pPr>
      <w:r>
        <w:t xml:space="preserve">Why the framework resists easy confirmation</w:t>
      </w:r>
    </w:p>
    <w:p>
      <w:pPr>
        <w:pStyle w:val="FirstParagraph"/>
        <w:spacing w:line="480" w:lineRule="auto"/>
      </w:pPr>
      <w:r>
        <w:t xml:space="preserve">A theory earns trust by the routes along which it could be broken, and this frame is built to be exposed in several places at once. It could crack if exclusion wording turns up evenly across high- and low-worth sites, since that pattern fits neither gear cleanly and would hint the constructs are not catching what they claim. It could crack if bunching evaporates entirely once site-worth controls go on, which would vindicate the commons account and sink enclosure. It could crack if wording shows no calendar drift as sites gain worth, undercutting the arc forecast. And it could crack if bunching and exclusion move on their own rather than together, which would snap the pairing the enclosure read hangs on. A frame with this many bared flanks is harder to confirm by accident. Each flank that survives contact with the data adds real weight, precisely because each could have gone the other way.</w:t>
      </w:r>
    </w:p>
    <w:p>
      <w:pPr>
        <w:pStyle w:val="BodyText"/>
        <w:spacing w:line="480" w:lineRule="auto"/>
        <w:ind w:firstLine="720"/>
      </w:pPr>
      <w:r>
        <w:t xml:space="preserve">The frame’s payoff is to make lunar enclosure a claim that can be wrong. Should public conduct stay spread out, should players wield safety wording without priority claims, and should bunching come fully explained by transparent site worth, then I ought to drop the enclosure account. Should the reverse pattern surface, I can describe enclosure without leaning on rhetoric or hunch. The theory’s worth is not that it forecasts enclosure. It is that it fixes, ahead of time and in visible terms, what enclosure would have to look like, and what would count as its absence.</w:t>
      </w:r>
    </w:p>
    <w:bookmarkEnd w:id="91"/>
    <w:bookmarkStart w:id="92" w:name="the-role-of-intent"/>
    <w:p>
      <w:pPr>
        <w:pStyle w:val="Heading2"/>
        <w:spacing w:line="480" w:lineRule="auto"/>
      </w:pPr>
      <w:r>
        <w:t xml:space="preserve">The role of intent</w:t>
      </w:r>
    </w:p>
    <w:p>
      <w:pPr>
        <w:pStyle w:val="FirstParagraph"/>
        <w:spacing w:line="480" w:lineRule="auto"/>
      </w:pPr>
      <w:r>
        <w:t xml:space="preserve">A frame built on conduct must decide how much it rides on intent, and this one rides on it as little as it can. Enclosure, as fixed here, is a pattern of effects: bunching past the benchmark, paired with exclusion wording, at hard-to-swap sites. Whether the players throwing off that pattern meant to enclose is a separate question the frame need not resolve. A player might slide into working control through a chain of individually sensible engineering calls, never once forming a wish to shut others out, and the effect on later arrivals would be identical. By fixing enclosure through its conduct fingerprint rather than through motive, the frame ducks the impossible chore of reading minds off public papers and stays trained on what can be seen.</w:t>
      </w:r>
    </w:p>
    <w:p>
      <w:pPr>
        <w:pStyle w:val="BodyText"/>
        <w:spacing w:line="480" w:lineRule="auto"/>
        <w:ind w:firstLine="720"/>
      </w:pPr>
      <w:r>
        <w:t xml:space="preserve">That choice carries a consequence worth voicing plainly. Because intent is set aside, a finding of enclosure is no charge of bad faith. It is a description of a pattern with governance fallout, whatever the players meant. That framing is at once sturdier and more useful. Sturdier, because it does not oblige me to prove a mental state I cannot reach. More useful, because governance replies ought to address effects regardless of motive: a corridor everyone must route through hems in access whether or not its builder wished it so. The frame’s indifference to intent is thus no shortcoming to excuse. It is the trait that keeps the analysis on visible ground and its verdicts sized to what the evidence can bear.</w:t>
      </w:r>
    </w:p>
    <w:bookmarkEnd w:id="92"/>
    <w:bookmarkStart w:id="93" w:name="Xa9d90d27b5882f92012a26c02168a9c4cc55040"/>
    <w:p>
      <w:pPr>
        <w:pStyle w:val="Heading2"/>
        <w:spacing w:line="480" w:lineRule="auto"/>
      </w:pPr>
      <w:r>
        <w:t xml:space="preserve">Relation to the completed empirical papers</w:t>
      </w:r>
    </w:p>
    <w:p>
      <w:pPr>
        <w:pStyle w:val="FirstParagraph"/>
        <w:spacing w:line="480" w:lineRule="auto"/>
      </w:pPr>
      <w:r>
        <w:t xml:space="preserve">The theory and the two finished papers sit on different rungs, and holding them apart heads off a category slip. The frame fixes a gear working on lunar site conduct. The papers probe the shape of the source pool the dissertation draws from. The papers do not test the gear, and the frame does not lean on their results for its soundness. Their bond is one of discipline, not derivation: the papers establish that the pool will not sort sources for me, which throws the load back onto the gear-fit calls the frame encodes. A theory that had leaned on citation fame to pick its supporting writing would have been cut down by the audit; this one, resting on gear relevance, is braced by it</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w:t>
      </w:r>
      <w:hyperlink w:anchor="ref-17">
        <w:r>
          <w:rPr>
            <w:rStyle w:val="Hyperlink"/>
          </w:rPr>
          <w:t xml:space="preserve">[17]</w:t>
        </w:r>
      </w:hyperlink>
      <w:r>
        <w:t xml:space="preserve"> </w:t>
      </w:r>
      <w:hyperlink w:anchor="ref-21">
        <w:r>
          <w:rPr>
            <w:rStyle w:val="Hyperlink"/>
          </w:rPr>
          <w:t xml:space="preserve">[21]</w:t>
        </w:r>
      </w:hyperlink>
      <w:r>
        <w:t xml:space="preserve"> </w:t>
      </w:r>
      <w:hyperlink w:anchor="ref-22">
        <w:r>
          <w:rPr>
            <w:rStyle w:val="Hyperlink"/>
          </w:rPr>
          <w:t xml:space="preserve">[22]</w:t>
        </w:r>
      </w:hyperlink>
      <w:r>
        <w:t xml:space="preserve">.</w:t>
      </w:r>
    </w:p>
    <w:bookmarkEnd w:id="93"/>
    <w:bookmarkEnd w:id="94"/>
    <w:bookmarkStart w:id="108" w:name="chapter-4.-data-and-measurement"/>
    <w:p>
      <w:pPr>
        <w:pStyle w:val="Heading1"/>
        <w:spacing w:line="480" w:lineRule="auto"/>
      </w:pPr>
      <w:r>
        <w:t xml:space="preserve">Chapter 4. Data and Measurement</w:t>
      </w:r>
    </w:p>
    <w:p>
      <w:pPr>
        <w:pStyle w:val="FirstParagraph"/>
        <w:spacing w:line="480" w:lineRule="auto"/>
      </w:pPr>
      <w:r>
        <w:t xml:space="preserve">I lean on public evidence for a simple reason. The governance question is about conduct anyone can see, and lunar enclosure, if it is budding, ought to leave marks in the papers players either choose to release or are made to. The evidence I want is not the sealed record of who bargained with whom in some back room. It is the visible stuff: mission notices, safety and coordinating statements, relay or comms stand-ins, technical site studies, and the writing pool that keeps interpretation honest. Publicness here is no handicap. It is the whole hinge, because where working priority gets made routine, public wording and planning papers are part of the gear itself rather than some faded echo of a buried truth. What players say in the open is what later players have to reckon with.</w:t>
      </w:r>
    </w:p>
    <w:p>
      <w:pPr>
        <w:pStyle w:val="BodyText"/>
        <w:spacing w:line="480" w:lineRule="auto"/>
        <w:ind w:firstLine="720"/>
      </w:pPr>
      <w:r>
        <w:t xml:space="preserve">The empirical base is stacked, not single. No one kind of record is meant to shoulder the argument by itself, so the strength arrives instead from agreement across public statements, infrastructure stand-ins, technical site worth, and language read. The five strata below are picked so each meets a distinct threat to inference, and so concord across strata means more than any one stratum could ever earn alone</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w:t>
      </w:r>
    </w:p>
    <w:bookmarkStart w:id="95" w:name="Xbf81fba32b425ccd0d5b6017ecd7f0af8aa5444"/>
    <w:p>
      <w:pPr>
        <w:pStyle w:val="Heading2"/>
        <w:spacing w:line="480" w:lineRule="auto"/>
      </w:pPr>
      <w:r>
        <w:t xml:space="preserve">Layer one: mission announcements and site-targeting statements</w:t>
      </w:r>
    </w:p>
    <w:p>
      <w:pPr>
        <w:pStyle w:val="FirstParagraph"/>
        <w:spacing w:line="480" w:lineRule="auto"/>
      </w:pPr>
      <w:r>
        <w:t xml:space="preserve">Mission notices and site-targeting statements form the first stratum. These papers spell out where players say they mean to work, which resources or infrastructure they push, and how they frame a place’s importance. The unit of observation is a public statement tied to a site, region, corridor, relay geometry, or resource goal. Coding logs the player, the date, how specific the site is, the mission type, and whether the statement carries wording about priority, protection, coordinating, or access</w:t>
      </w:r>
      <w:r>
        <w:t xml:space="preserve"> </w:t>
      </w:r>
      <w:hyperlink w:anchor="ref-17">
        <w:r>
          <w:rPr>
            <w:rStyle w:val="Hyperlink"/>
          </w:rPr>
          <w:t xml:space="preserve">[17]</w:t>
        </w:r>
      </w:hyperlink>
      <w:r>
        <w:t xml:space="preserve"> </w:t>
      </w:r>
      <w:hyperlink w:anchor="ref-21">
        <w:r>
          <w:rPr>
            <w:rStyle w:val="Hyperlink"/>
          </w:rPr>
          <w:t xml:space="preserve">[21]</w:t>
        </w:r>
      </w:hyperlink>
      <w:r>
        <w:t xml:space="preserve">.</w:t>
      </w:r>
    </w:p>
    <w:p>
      <w:pPr>
        <w:pStyle w:val="BodyText"/>
        <w:spacing w:line="480" w:lineRule="auto"/>
        <w:ind w:firstLine="720"/>
      </w:pPr>
      <w:r>
        <w:t xml:space="preserve">Two traits make this stratum bedrock. It is the most direct voicing of intended conduct, and it wears a timestamp. A statement naming a specific rim and a specific resource tells you far more than a vague wish to poke around the south pole, and that gap in specificity is itself a coded variable that the design tracks from one notice to the next. Notices also pile up over time, and because they do, this stratum lays the calendar spine along which coordinating wording can be watched for its drift toward priority wording.</w:t>
      </w:r>
    </w:p>
    <w:bookmarkEnd w:id="95"/>
    <w:bookmarkStart w:id="96" w:name="X74bd14bc6730c59a35b29adff280309fec88cee"/>
    <w:p>
      <w:pPr>
        <w:pStyle w:val="Heading2"/>
        <w:spacing w:line="480" w:lineRule="auto"/>
      </w:pPr>
      <w:r>
        <w:t xml:space="preserve">Layer two: safety-zone and coordination language</w:t>
      </w:r>
    </w:p>
    <w:p>
      <w:pPr>
        <w:pStyle w:val="FirstParagraph"/>
        <w:spacing w:line="480" w:lineRule="auto"/>
      </w:pPr>
      <w:r>
        <w:t xml:space="preserve">Hazard-ring and coordinating language make up the second stratum. It is pivotal, because safety wording can feed either theory</w:t>
      </w:r>
      <w:r>
        <w:t xml:space="preserve"> </w:t>
      </w:r>
      <w:hyperlink w:anchor="ref-22">
        <w:r>
          <w:rPr>
            <w:rStyle w:val="Hyperlink"/>
          </w:rPr>
          <w:t xml:space="preserve">[22]</w:t>
        </w:r>
      </w:hyperlink>
      <w:r>
        <w:t xml:space="preserve"> </w:t>
      </w:r>
      <w:hyperlink w:anchor="ref-24">
        <w:r>
          <w:rPr>
            <w:rStyle w:val="Hyperlink"/>
          </w:rPr>
          <w:t xml:space="preserve">[24]</w:t>
        </w:r>
      </w:hyperlink>
      <w:r>
        <w:t xml:space="preserve">. Inside a commons, safety disclosures cut risk and let several players work cheek by jowl without stepping on one another. Inside a fence, the identical vocabulary can set into a standing hint that later players had best steer clear of certain zones altogether. The measurement chore is to split routine risk-cutting from claims that imply lasting priority, so the codebook parts neutral coordinating wording from wording that hints at preferred access, protected work zones, minimum-approach hints, or privileged running order.</w:t>
      </w:r>
    </w:p>
    <w:p>
      <w:pPr>
        <w:pStyle w:val="BodyText"/>
        <w:spacing w:line="480" w:lineRule="auto"/>
        <w:ind w:firstLine="720"/>
      </w:pPr>
      <w:r>
        <w:t xml:space="preserve">The split gets worked on three axes: reach, span, and access implication. A statement about holding safe separation near a landing site for a set job gets coded routine safety when it is time-capped and operationally tight. A statement that casts a wide work region as forever protected earns an exclusion flag. The identical words can drop on either side of the line, and which side depends entirely on how much surface they claim, for how long, and with what expectation about who else may draw near. Coding those axes out loud is what keeps the analysis honest, because it refuses both the lazy read that waves off all safety wording as harmless and the alarmed read that damns all of it as a grab.</w:t>
      </w:r>
    </w:p>
    <w:bookmarkEnd w:id="96"/>
    <w:bookmarkStart w:id="97" w:name="X0aef41a2a807e887242db3857163d9bddb2559d"/>
    <w:p>
      <w:pPr>
        <w:pStyle w:val="Heading2"/>
        <w:spacing w:line="480" w:lineRule="auto"/>
      </w:pPr>
      <w:r>
        <w:t xml:space="preserve">Layer three: relay, communication, and operating-area proxies</w:t>
      </w:r>
    </w:p>
    <w:p>
      <w:pPr>
        <w:pStyle w:val="FirstParagraph"/>
        <w:spacing w:line="480" w:lineRule="auto"/>
      </w:pPr>
      <w:r>
        <w:t xml:space="preserve">Relay, comms, and work-area stand-ins make up the third stratum. Direct lunar site claims may run patchy. Infrastructure intent, though, can expose bunching that statements alone would miss, and relay filings, comms plans, and coverage-architecture write-ups all flag which surface regions are being favored. I treat these as stand-ins, not as outright ownership claims, and the design is up front about that limit. Their worth lies in triangulation. Should mission statements, safety wording, and relay stand-ins all aim at the same scarce spots, the bunching claim wins a credibility no lone source could ever grant on its own.</w:t>
      </w:r>
    </w:p>
    <w:p>
      <w:pPr>
        <w:pStyle w:val="BodyText"/>
        <w:spacing w:line="480" w:lineRule="auto"/>
        <w:ind w:firstLine="720"/>
      </w:pPr>
      <w:r>
        <w:t xml:space="preserve">Stand-ins carry their own hazard, which the design owns rather than buries. A relay filing may just reflect a comms architecture picked for coverage thrift rather than site grip, and reading it as a claim would puff the evidence past what it can bear. So the stand-in stratum is never the last word. It is a backing channel whose weight rides on whether it agrees with the direct strata, and disagreement between stand-ins and statements is itself telling, because it flags the very places where intent and infrastructure split apart.</w:t>
      </w:r>
    </w:p>
    <w:bookmarkEnd w:id="97"/>
    <w:bookmarkStart w:id="98" w:name="layer-four-public-technical-site-studies"/>
    <w:p>
      <w:pPr>
        <w:pStyle w:val="Heading2"/>
        <w:spacing w:line="480" w:lineRule="auto"/>
      </w:pPr>
      <w:r>
        <w:t xml:space="preserve">Layer four: public technical site studies</w:t>
      </w:r>
    </w:p>
    <w:p>
      <w:pPr>
        <w:pStyle w:val="FirstParagraph"/>
        <w:spacing w:line="480" w:lineRule="auto"/>
      </w:pPr>
      <w:r>
        <w:t xml:space="preserve">Public technical site studies make up the fourth stratum. It exists to kill one particular validity threat: mixing engineering worth up with political enclosure. Some lunar sites draw interest for reasons wholly divorced from shutting others out, and steady light, thermal calm, volatile access, slope, Earth sightlines, and nearness to believable infrastructure corridors all steer site choice long before any strategy enters the picture. Technical studies build the site-worth controls the hypothesis demands. Lacking them, the dissertation would risk branding physics as politics, which is the single most ruinous slip the design could make.</w:t>
      </w:r>
    </w:p>
    <w:p>
      <w:pPr>
        <w:pStyle w:val="BodyText"/>
        <w:spacing w:line="480" w:lineRule="auto"/>
        <w:ind w:firstLine="720"/>
      </w:pPr>
      <w:r>
        <w:t xml:space="preserve">This stratum draws on the technical writing that logs how spatial and operational limits steer design</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6">
        <w:r>
          <w:rPr>
            <w:rStyle w:val="Hyperlink"/>
          </w:rPr>
          <w:t xml:space="preserve">[16]</w:t>
        </w:r>
      </w:hyperlink>
      <w:r>
        <w:t xml:space="preserve"> </w:t>
      </w:r>
      <w:hyperlink w:anchor="ref-24">
        <w:r>
          <w:rPr>
            <w:rStyle w:val="Hyperlink"/>
          </w:rPr>
          <w:t xml:space="preserve">[24]</w:t>
        </w:r>
      </w:hyperlink>
      <w:r>
        <w:t xml:space="preserve"> </w:t>
      </w:r>
      <w:hyperlink w:anchor="ref-25">
        <w:r>
          <w:rPr>
            <w:rStyle w:val="Hyperlink"/>
          </w:rPr>
          <w:t xml:space="preserve">[25]</w:t>
        </w:r>
      </w:hyperlink>
      <w:r>
        <w:t xml:space="preserve">. The aim is narrow. It is not to referee any site’s engineering merits but to build, from independent technical sources, a defensible gauge of how appealing a site is for reasons unhitched from strategy, so that bunching can then be netted against that appeal. What outlasts the netting is the slice of bunching engineering worth cannot account for, and only that leftover stands as a candidate for an enclosure read.</w:t>
      </w:r>
    </w:p>
    <w:bookmarkEnd w:id="98"/>
    <w:bookmarkStart w:id="99" w:name="layer-five-the-audited-local-corpus"/>
    <w:p>
      <w:pPr>
        <w:pStyle w:val="Heading2"/>
        <w:spacing w:line="480" w:lineRule="auto"/>
      </w:pPr>
      <w:r>
        <w:t xml:space="preserve">Layer five: the audited local corpus</w:t>
      </w:r>
    </w:p>
    <w:p>
      <w:pPr>
        <w:pStyle w:val="FirstParagraph"/>
        <w:spacing w:line="480" w:lineRule="auto"/>
      </w:pPr>
      <w:r>
        <w:t xml:space="preserve">The fifth stratum is the local writing pool vetted in the two finished empirical papers. This pool holds thirty pulled records from AMOS and Acta collections. It carries governance sources, operational risk studies, infrastructure and observation records, and sustainability-minded space-system work. The pool is not a full census of lunar governance scholarship. It is a local retrieval setting, and its shape must be grasped before it is used, which is exactly why the two papers show that the source base does not reward easy ranking shortcuts: topic-signal strength is faintly forecast by recency, citation count, and venue score, and a paper’s age does not meaningfully forecast how citations pile up.</w:t>
      </w:r>
    </w:p>
    <w:p>
      <w:pPr>
        <w:pStyle w:val="BodyText"/>
        <w:spacing w:line="480" w:lineRule="auto"/>
        <w:ind w:firstLine="720"/>
      </w:pPr>
      <w:r>
        <w:t xml:space="preserve">Setting the vetted pool inside the data architecture is a deliberate discipline. It makes plain that the scholarship the dissertation leans on is itself an object of measurement, not an unquestioned authority. A design that treated its writing as self-proving would swallow whatever slants the retrieval setting happened to carry, and it would do so without ever noticing. By vetting the pool first, the dissertation buys the right to use it selectively, steered by gear fit rather than by the fluke of which items the index happened to push up front.</w:t>
      </w:r>
    </w:p>
    <w:bookmarkEnd w:id="99"/>
    <w:bookmarkStart w:id="100" w:name="provenance-and-traceability"/>
    <w:p>
      <w:pPr>
        <w:pStyle w:val="Heading2"/>
        <w:spacing w:line="480" w:lineRule="auto"/>
      </w:pPr>
      <w:r>
        <w:t xml:space="preserve">Provenance and traceability</w:t>
      </w:r>
    </w:p>
    <w:p>
      <w:pPr>
        <w:pStyle w:val="FirstParagraph"/>
        <w:spacing w:line="480" w:lineRule="auto"/>
      </w:pPr>
      <w:r>
        <w:t xml:space="preserve">Every stratum is bound by one provenance rule. No observation enters the analysis without a source pointer a second reader could chase to the original paper. For the vetted pool, that pointer is a DOI or an AMOS proceedings URL, both riding in the paper workbooks. For mission notices, safety statements, and relay stand-ins, the pointer is the public filing, press release, or notice the observation was coded from. The rule is not red tape. It is what lets the design defend a contested coding, because an outside critic who doubts an exclusion flag can pull the exact statement and judge it independently, and a conduct claim about lunar governance that could not be chased back to its source would be an assertion rather than a measurement.</w:t>
      </w:r>
    </w:p>
    <w:p>
      <w:pPr>
        <w:pStyle w:val="BodyText"/>
        <w:spacing w:line="480" w:lineRule="auto"/>
        <w:ind w:firstLine="720"/>
      </w:pPr>
      <w:r>
        <w:t xml:space="preserve">Traceability also disciplines the seam between the finished papers and the planned heart. The thirty vetted records are fully chaseable today, which is why the source-vetting results in Chapter 6 can be relayed without hedge. The mission-notice, safety-wording, and relay strata are spelled out but not yet coded, and the dissertation says as much flatly. Posting the coding rules ahead of time, before the site-linked dataset is built, is a commitment lock, and it heads off the lure of quietly tweaking the codebook after glimpsing which rules happen to yield the juicier finding, which is the commonest way a conduct-coding effort slides into campaigning.</w:t>
      </w:r>
    </w:p>
    <w:bookmarkEnd w:id="100"/>
    <w:bookmarkStart w:id="101" w:name="X0a181f64827470e220c736e57bded431de0ea3e"/>
    <w:p>
      <w:pPr>
        <w:pStyle w:val="Heading2"/>
        <w:spacing w:line="480" w:lineRule="auto"/>
      </w:pPr>
      <w:r>
        <w:t xml:space="preserve">Coder reliability and the treatment of ambiguity</w:t>
      </w:r>
    </w:p>
    <w:p>
      <w:pPr>
        <w:pStyle w:val="FirstParagraph"/>
        <w:spacing w:line="480" w:lineRule="auto"/>
      </w:pPr>
      <w:r>
        <w:t xml:space="preserve">A stacked coding scheme is only as trustworthy as how steadily it gets applied, so reliability is a front-line worry rather than an appendix. The design plans to double-code a share of observations and post the agreement, with special care on the safety-versus-exclusion split, where clashing is likeliest and heaviest. Where two coders diverge on whether a safety statement implies lasting priority, the clash itself gets logged, because a construct that sensible coders read apart is a construct whose findings warrant wider uncertainty bands. Reliability is not a gate to clear once and forget. It is treated as intelligence about which parts of the enclosure signal are solid and which are still up for grabs.</w:t>
      </w:r>
    </w:p>
    <w:p>
      <w:pPr>
        <w:pStyle w:val="BodyText"/>
        <w:spacing w:line="480" w:lineRule="auto"/>
        <w:ind w:firstLine="720"/>
      </w:pPr>
      <w:r>
        <w:t xml:space="preserve">Fuzzy cases are kept, not settled by force. A statement readable as either tight safety or wide protection gets a fuzzy label and rides into the analysis with that label pinned on, so the pull of any conclusion on the fuzzy cases can be checked head-on. Should the enclosure finding survive only when fuzzy statements are read in its favor, the design will say so, and the finding will be relayed as riding on exactly that read. This is the opposite of the usual move, which quietly files borderline cases into whichever bin tidies the result. Keeping the fuzz costs neatness. It buys honesty.</w:t>
      </w:r>
    </w:p>
    <w:bookmarkEnd w:id="101"/>
    <w:bookmarkStart w:id="102" w:name="Xa1261f3a41eff54e4537beb60714400f7357daf"/>
    <w:p>
      <w:pPr>
        <w:pStyle w:val="Heading2"/>
        <w:spacing w:line="480" w:lineRule="auto"/>
      </w:pPr>
      <w:r>
        <w:t xml:space="preserve">Temporal coverage and the risk of a moving target</w:t>
      </w:r>
    </w:p>
    <w:p>
      <w:pPr>
        <w:pStyle w:val="FirstParagraph"/>
        <w:spacing w:line="480" w:lineRule="auto"/>
      </w:pPr>
      <w:r>
        <w:t xml:space="preserve">Lunar activity is speeding up. The record I code is therefore a moving target, not a locked archive, and two traits of the design meet that fact. Every observation is timestamped, so the dataset backs the arc analysis the theory wants rather than freezing conduct at one random moment. And the pool is treated as a sample off a running process, not a census of a closed one, which sets sane limits on how far any finding can be pushed forward. A pattern seen in the current phase of lunar activity is evidence about that phase and nothing grander. Whether it hardens into a durable regime is a further question only later data can settle, and the design is written so later data can stretch it rather than clash with its premises.</w:t>
      </w:r>
    </w:p>
    <w:bookmarkEnd w:id="102"/>
    <w:bookmarkStart w:id="103" w:name="the-three-measured-variables"/>
    <w:p>
      <w:pPr>
        <w:pStyle w:val="Heading2"/>
        <w:spacing w:line="480" w:lineRule="auto"/>
      </w:pPr>
      <w:r>
        <w:t xml:space="preserve">The three measured variables</w:t>
      </w:r>
    </w:p>
    <w:p>
      <w:pPr>
        <w:pStyle w:val="FirstParagraph"/>
        <w:spacing w:line="480" w:lineRule="auto"/>
      </w:pPr>
      <w:r>
        <w:t xml:space="preserve">Measurement runs through three linked variables. The spatial-bunching measure catches whether claims or stand-ins pile around high-worth sites tighter than expected. The exclusion measure catches wording implying priority, protection, or curbed access. The site-worth measure catches non-political reasons for bunching. The design wants all three, because the dissertation’s claim is conditional: enclosure is not just bunching but bunching that survives once site worth is granted and that pairs with wording or practice hinting at priority.</w:t>
      </w:r>
    </w:p>
    <w:p>
      <w:pPr>
        <w:pStyle w:val="BodyText"/>
        <w:spacing w:line="480" w:lineRule="auto"/>
        <w:ind w:firstLine="720"/>
      </w:pPr>
      <w:r>
        <w:t xml:space="preserve">The coding plan pushes reproducibility. Each coded observation must carry a source pointer, a date, a player, a location reference, site-worth markers, a language bin, and a coder memo. Fuzzy cases are kept with fuzzy labels rather than crammed into clean bins, because cramming would puff whichever finding the coder awaited. A statement about holding safe separation near a landing site may be coded routine safety if it is time-capped and operationally tight. A statement that casts a wide work region as forever protected may earn an exclusion flag. The difference turns on reach, span, and access implication, and the memo logs why each borderline call went the way it did.</w:t>
      </w:r>
    </w:p>
    <w:bookmarkEnd w:id="103"/>
    <w:bookmarkStart w:id="104" w:name="why-public-evidence-suffices"/>
    <w:p>
      <w:pPr>
        <w:pStyle w:val="Heading2"/>
        <w:spacing w:line="480" w:lineRule="auto"/>
      </w:pPr>
      <w:r>
        <w:t xml:space="preserve">Why public evidence suffices</w:t>
      </w:r>
    </w:p>
    <w:p>
      <w:pPr>
        <w:pStyle w:val="FirstParagraph"/>
        <w:spacing w:line="480" w:lineRule="auto"/>
      </w:pPr>
      <w:r>
        <w:t xml:space="preserve">A recurring dread about conduct measurement in this domain is that the deciding moves happen out of sight, so public evidence catches only theater while the real haggling stays dark. I take the dread seriously, and I answer it structurally. Enclosure works only insofar as it bends what other players do, and to bend what others do it must be broadcast. A player that privately means to grip a corridor accomplishes nothing until it fields the relay, files the coverage plan, or posts the hazard ring that makes later missions loop around. The instant it moves to secure working priority, it enters the public record, because working priority is a claim on others’ conduct and others must be able to catch it. Wholly private enclosure is a contradiction in terms. A shutout no one knows about shuts out no one, and public evidence therefore catches the gear at exactly the point it turns consequential.</w:t>
      </w:r>
    </w:p>
    <w:p>
      <w:pPr>
        <w:pStyle w:val="BodyText"/>
        <w:spacing w:line="480" w:lineRule="auto"/>
        <w:ind w:firstLine="720"/>
      </w:pPr>
      <w:r>
        <w:t xml:space="preserve">The same logic bounds the commons case. A many-centered commons runs on legibility, and legibility is public by definition. Coordinating that no outsider could catch would not build the trust the commons needs, because trust needs verification and verification needs a visible record. Both gears, then, are forced into the open by their own logic. One must broadcast a shutout; the other must show mutuality. That is the deeper reason the dissertation can rest on public evidence with no apology, since the hidden share of conduct, whatever its size, is by build the share not yet doing any governance work at all.</w:t>
      </w:r>
    </w:p>
    <w:bookmarkEnd w:id="104"/>
    <w:bookmarkStart w:id="105" w:name="handling-missing-and-indirect-signals"/>
    <w:p>
      <w:pPr>
        <w:pStyle w:val="Heading2"/>
        <w:spacing w:line="480" w:lineRule="auto"/>
      </w:pPr>
      <w:r>
        <w:t xml:space="preserve">Handling missing and indirect signals</w:t>
      </w:r>
    </w:p>
    <w:p>
      <w:pPr>
        <w:pStyle w:val="FirstParagraph"/>
        <w:spacing w:line="480" w:lineRule="auto"/>
      </w:pPr>
      <w:r>
        <w:t xml:space="preserve">No public record is whole, and the design plans for its holes rather than pretending they are gone. Some intended work areas will go unannounced, some safety expectations will pass by word of mouth, and some relay intentions will be readable only off technical filings never framed as claims. Three habits meet this. The stand-in stratum exists precisely to net bunching that direct statements miss, turning infrastructure intent into a signal even where no one voices a claim. The fuzzy labels carry incompleteness into the analysis out loud, so a conclusion resting on thin coverage gets relayed as tentative rather than firm. And the concord requirement means a finding never dangles from any single channel, so a hole in one stratum does not by itself sink or puff a result.</w:t>
      </w:r>
    </w:p>
    <w:p>
      <w:pPr>
        <w:pStyle w:val="BodyText"/>
        <w:spacing w:line="480" w:lineRule="auto"/>
        <w:ind w:firstLine="720"/>
      </w:pPr>
      <w:r>
        <w:t xml:space="preserve">Missingness also gets treated as possibly telling rather than merely a nuisance. Should a player be busy at a scarce site yet conspicuously mum about its plans there, that silence is itself a datum, coded and carried on, because strategic hush around a prized place squares with enclosure and merits a note. The design does not assume a claim’s absence means the absence of a claim’s effect. It logs the absence, flags the site, and lets the concord of other channels rule how much weight the hush should carry.</w:t>
      </w:r>
    </w:p>
    <w:p>
      <w:pPr>
        <w:pStyle w:val="BodyText"/>
        <w:spacing w:line="480" w:lineRule="auto"/>
        <w:ind w:firstLine="720"/>
      </w:pPr>
      <w:r>
        <w:t xml:space="preserve">The stacked structure keeps the inquiry honest. Should bunching vanish once site-worth controls go on, or should exclusion wording stay rare and tight, the enclosure thesis weakens and the design will say so. Should bunching persist and wording point toward lasting priority, the commons account grows harder to hold. Either ending is a finding, and the measurement scheme is built so that neither one can be reached by rhetoric alone</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w:t>
      </w:r>
    </w:p>
    <w:bookmarkEnd w:id="105"/>
    <w:bookmarkStart w:id="106" w:name="Xdb29ae2aa4a970abe441b59fee919397c5a8cce"/>
    <w:p>
      <w:pPr>
        <w:pStyle w:val="Heading2"/>
        <w:spacing w:line="480" w:lineRule="auto"/>
      </w:pPr>
      <w:r>
        <w:t xml:space="preserve">Measurement validity and construct fidelity</w:t>
      </w:r>
    </w:p>
    <w:p>
      <w:pPr>
        <w:pStyle w:val="FirstParagraph"/>
        <w:spacing w:line="480" w:lineRule="auto"/>
      </w:pPr>
      <w:r>
        <w:t xml:space="preserve">A stacked scheme is only trustworthy if each measure catches the idea it claims. Construct fidelity is thus a standing worry, and the design meets it construct by construct. The bunching measure must catch strategic packing rather than mere activity density, which is why it is always figured conditional on mission density and site worth rather than as a raw tally. The exclusion measure must catch lasting priority rather than routine caution, which is why it rests on the reach-span-access coding rather than on the mere presence of safety words. The site-worth measure must catch engineering pull rather than political salience, which is why it is built from independent technical studies rather than from the same statements that feed the other measures. Each construct is deliberately sourced so it does not taint the others, because a design in which the enclosure measure and its control drew on one and the same text would run in a circle and prove nothing.</w:t>
      </w:r>
    </w:p>
    <w:p>
      <w:pPr>
        <w:pStyle w:val="BodyText"/>
        <w:spacing w:line="480" w:lineRule="auto"/>
        <w:ind w:firstLine="720"/>
      </w:pPr>
      <w:r>
        <w:t xml:space="preserve">Validity also asks for care about what the measures leave out. The bunching measure counts activity at low-worth sites as evidence of nothing, because such activity carries no enclosure lure. The exclusion measure counts coordinating wording as no priority wording, because doing so would find enclosure everywhere safety gets a mention. Those exclusions weigh as much as the inclusions. A measure that caught too much would spit false positives at exactly the rate that would drain the enclosure finding of any meaning, so the codebook is written to draw those edges out loud and to log, for every observation, why it landed inside or outside each construct.</w:t>
      </w:r>
    </w:p>
    <w:bookmarkEnd w:id="106"/>
    <w:bookmarkStart w:id="107" w:name="X00d9ea3ad230fe326d83a858940e939619ab2f2"/>
    <w:p>
      <w:pPr>
        <w:pStyle w:val="Heading2"/>
        <w:spacing w:line="480" w:lineRule="auto"/>
      </w:pPr>
      <w:r>
        <w:t xml:space="preserve">From the audited corpus to the planned corpus</w:t>
      </w:r>
    </w:p>
    <w:p>
      <w:pPr>
        <w:pStyle w:val="FirstParagraph"/>
        <w:spacing w:line="480" w:lineRule="auto"/>
      </w:pPr>
      <w:r>
        <w:t xml:space="preserve">The five strata do not all sit at the same readiness, and the design is candid about the gap. The vetted writing pool is done, coded, and relayed, which is why its shape can be discussed with confidence in the results chapter. The mission-notice, safety-wording, and relay-stand-in strata are fully spelled out as coding schemes but not yet stocked with the lunar site-linked observations the enclosure trial will need. This staging is deliberate. Posting the coding rules before the site data are gathered locks the design to a fixed instrument, so the eventual dataset cannot be bent, knowingly or not, toward a favored result. The vetted pool, meanwhile, does real work now. It disciplines source choice, and it shows that the coding and provenance habits the bigger dataset will use already run on a smaller, checkable body of records.</w:t>
      </w:r>
    </w:p>
    <w:bookmarkEnd w:id="107"/>
    <w:bookmarkEnd w:id="108"/>
    <w:bookmarkStart w:id="120" w:name="chapter-5.-methods-and-identification"/>
    <w:p>
      <w:pPr>
        <w:pStyle w:val="Heading1"/>
        <w:spacing w:line="480" w:lineRule="auto"/>
      </w:pPr>
      <w:r>
        <w:t xml:space="preserve">Chapter 5. Methods and Identification</w:t>
      </w:r>
    </w:p>
    <w:p>
      <w:pPr>
        <w:pStyle w:val="FirstParagraph"/>
        <w:spacing w:line="480" w:lineRule="auto"/>
      </w:pPr>
      <w:r>
        <w:t xml:space="preserve">I run a mixed-method design because the core claim has both a spatial side and an interpretive one. Numbers can gauge bunching and how thick certain wording runs. What numbers cannot do, on their own, is reveal whether players read technical limits as governance openings. Qualitative process tracing can parse sequence and meaning. What it cannot do is reveal whether the cases in hand belong to any wider pattern. The design weds the two so each fixes the other, and the weld is no ornament: the numeric side hands over the pattern that keeps case picking honest, and the interpretive side hands over the gear that keeps the pattern from being read as chance</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chapter lays out the numeric outcomes, the identification comparisons that give those outcomes meaning, the interpretive partner, the part the finished source-vetting models play, and the threats the design must weather. All through, the bar for evidence is cautious on purpose. A charge of lunar enclosure ought to be hard to raise and hard to counterfeit.</w:t>
      </w:r>
    </w:p>
    <w:bookmarkStart w:id="109" w:name="the-quantitative-component"/>
    <w:p>
      <w:pPr>
        <w:pStyle w:val="Heading2"/>
        <w:spacing w:line="480" w:lineRule="auto"/>
      </w:pPr>
      <w:r>
        <w:t xml:space="preserve">The quantitative component</w:t>
      </w:r>
    </w:p>
    <w:p>
      <w:pPr>
        <w:pStyle w:val="FirstParagraph"/>
        <w:spacing w:line="480" w:lineRule="auto"/>
      </w:pPr>
      <w:r>
        <w:t xml:space="preserve">The numeric side opens with a dataset of public site-linked observations</w:t>
      </w:r>
      <w:r>
        <w:t xml:space="preserve"> </w:t>
      </w:r>
      <w:hyperlink w:anchor="ref-7">
        <w:r>
          <w:rPr>
            <w:rStyle w:val="Hyperlink"/>
          </w:rPr>
          <w:t xml:space="preserve">[7]</w:t>
        </w:r>
      </w:hyperlink>
      <w:r>
        <w:t xml:space="preserve"> </w:t>
      </w:r>
      <w:hyperlink w:anchor="ref-8">
        <w:r>
          <w:rPr>
            <w:rStyle w:val="Hyperlink"/>
          </w:rPr>
          <w:t xml:space="preserve">[8]</w:t>
        </w:r>
      </w:hyperlink>
      <w:r>
        <w:t xml:space="preserve">. Each observation logs player, date, site reference, mission or infrastructure type, source class, language bin, and site-worth controls. The first outcome is spatial bunching. Depending on how dense the data run, the design can reach for bunching indices, nearest-neighbor comparisons, or counterfactual clustering floors. The benchmark is not an even spread over the lunar surface, which would be silly, since most sites are not equally handy. The benchmark is a spread conditional on mission density and visible site worth, the only comparison that peels strategy off geology</w:t>
      </w:r>
      <w:r>
        <w:t xml:space="preserve"> </w:t>
      </w:r>
      <w:hyperlink w:anchor="ref-9">
        <w:r>
          <w:rPr>
            <w:rStyle w:val="Hyperlink"/>
          </w:rPr>
          <w:t xml:space="preserve">[9]</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Exclusion slant is the second numeric outcome. Public statements get coded for wording that hints at priority, protection, access curbs, coordinating, risk disclosure, or plain technical description. A cooperative commons ought to throw off coordinating and risk wording with no hard swing toward lasting priority. A fence ought to throw off more wording that binds scarce sites to protected access, running-order edge, or work zones later players are told to honor. The coding does not brand every safety mention suspect, because safety is vital in a crowded lunar setting. The worry is tighter and keener: the turning of safety wording into lasting grip</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w:t>
      </w:r>
    </w:p>
    <w:bookmarkEnd w:id="109"/>
    <w:bookmarkStart w:id="110" w:name="identification-through-three-comparisons"/>
    <w:p>
      <w:pPr>
        <w:pStyle w:val="Heading2"/>
        <w:spacing w:line="480" w:lineRule="auto"/>
      </w:pPr>
      <w:r>
        <w:t xml:space="preserve">Identification through three comparisons</w:t>
      </w:r>
    </w:p>
    <w:p>
      <w:pPr>
        <w:pStyle w:val="FirstParagraph"/>
        <w:spacing w:line="480" w:lineRule="auto"/>
      </w:pPr>
      <w:r>
        <w:t xml:space="preserve">Identification rides on three comparisons, each doing its own work. The logic of each repays being spelled out, because it is what flips description into inference.</w:t>
      </w:r>
    </w:p>
    <w:p>
      <w:pPr>
        <w:pStyle w:val="BodyText"/>
        <w:spacing w:line="480" w:lineRule="auto"/>
        <w:ind w:firstLine="720"/>
      </w:pPr>
      <w:r>
        <w:t xml:space="preserve">The first sets high-worth sites against lower-worth ones. Should exclusion wording surface mainly where scarce site worth runs high, the enclosure read gains footing, but only where ordinary technical worth cannot fully account for the pattern. The comparison works because a commons and a fence forecast different things here. A commons ought to spread coordinating wording roughly with activity, wherever activity lands; a fence ought to pile priority wording where swapping is hardest, because that is where grip pays.</w:t>
      </w:r>
    </w:p>
    <w:p>
      <w:pPr>
        <w:pStyle w:val="BodyText"/>
        <w:spacing w:line="480" w:lineRule="auto"/>
        <w:ind w:firstLine="720"/>
      </w:pPr>
      <w:r>
        <w:t xml:space="preserve">A second comparison eyes change over time. A swing from broad coordinating wording toward stiffer priority wording would hint at institutional hardening. This comparison earns its worth precisely because a lone snapshot can blur. A snapshot of bunching might mark a passing New Space beat rather than a durable fence, and only an arc can split a phase from a regime. Should a contested site’s wording move from welcome toward shutout as the site gains worth, that motion is the enclosure fingerprint.</w:t>
      </w:r>
    </w:p>
    <w:p>
      <w:pPr>
        <w:pStyle w:val="BodyText"/>
        <w:spacing w:line="480" w:lineRule="auto"/>
        <w:ind w:firstLine="720"/>
      </w:pPr>
      <w:r>
        <w:t xml:space="preserve">A third comparison eyes players. Should bunching spread across several players sharing coordinating wording, the commons read holds up. Should bunching pile into one player and pair with access-guarding wording, the enclosure read stiffens. This comparison targets the very core of polycentricity, which is the presence of several genuine decision hubs. Piling both sites and wording into one player is the empirical opposite of a many-centered order, whatever that player says about openness.</w:t>
      </w:r>
    </w:p>
    <w:bookmarkEnd w:id="110"/>
    <w:bookmarkStart w:id="111" w:name="how-the-two-methods-integrate"/>
    <w:p>
      <w:pPr>
        <w:pStyle w:val="Heading2"/>
        <w:spacing w:line="480" w:lineRule="auto"/>
      </w:pPr>
      <w:r>
        <w:t xml:space="preserve">How the two methods integrate</w:t>
      </w:r>
    </w:p>
    <w:p>
      <w:pPr>
        <w:pStyle w:val="FirstParagraph"/>
        <w:spacing w:line="480" w:lineRule="auto"/>
      </w:pPr>
      <w:r>
        <w:t xml:space="preserve">Mixed-method designs often bolt a few interviews onto a regression and call the outcome integrated. This design demands more of the weld.</w:t>
      </w:r>
    </w:p>
    <w:p>
      <w:pPr>
        <w:pStyle w:val="BodyText"/>
        <w:spacing w:line="480" w:lineRule="auto"/>
        <w:ind w:firstLine="720"/>
      </w:pPr>
      <w:r>
        <w:t xml:space="preserve">The logic of that weld repays being spelled out. The numeric and interpretive pieces get sequenced so each answers a question the other cannot. The numeric pattern settles whether bunching and exclusion clear the cooperative benchmark across the full record, which no case study could show because a case study owns no denominator. The interpretive trace settles whether that pattern reflects the enclosure gear or a harmless coincidence, which no regression could show because a coefficient carries no story of who did what to whom. Neither result is whole alone. Together they answer both the how-wide question and the how-does-it-work question, and a charge of enclosure needs a yes to both.</w:t>
      </w:r>
    </w:p>
    <w:p>
      <w:pPr>
        <w:pStyle w:val="BodyText"/>
        <w:spacing w:line="480" w:lineRule="auto"/>
        <w:ind w:firstLine="720"/>
      </w:pPr>
      <w:r>
        <w:t xml:space="preserve">The sequence also wires in a failure mode that keeps the design honest. Say the numeric pattern points to enclosure but the case traces reveal that bunching at the two contested sites is fully explained by launch-calendar coincidence and inherited program priorities. That split would be no nuisance to talk away. It would be evidence that the bunching measure is catching something other than strategic shutout, and it would force a redo of the numeric read rather than a defense of it. The whole point of welding the methods is to let each snare the other’s slips, so a design where the two could never disagree would be worthless. This one is built so they can.</w:t>
      </w:r>
    </w:p>
    <w:bookmarkEnd w:id="111"/>
    <w:bookmarkStart w:id="112" w:name="the-qualitative-component"/>
    <w:p>
      <w:pPr>
        <w:pStyle w:val="Heading2"/>
        <w:spacing w:line="480" w:lineRule="auto"/>
      </w:pPr>
      <w:r>
        <w:t xml:space="preserve">The qualitative component</w:t>
      </w:r>
    </w:p>
    <w:p>
      <w:pPr>
        <w:pStyle w:val="FirstParagraph"/>
        <w:spacing w:line="480" w:lineRule="auto"/>
      </w:pPr>
      <w:r>
        <w:t xml:space="preserve">The interpretive piece process traces two contested or especially high-worth sites. The aim is not to generalize from two cases. It is to check whether the numeric signal squares with a believable run of conduct. A process trace asks when a site turned salient, how players described it, whether infrastructure plans deepened reliance on early positioning, and whether safety or coordinating wording shifted after the site gained strategic worth. The trace can also flush out rival accounts a purely numeric view would miss: engineering must-haves, launch-calendar coincidence, or inherited program priorities that predate any strategic wish.</w:t>
      </w:r>
    </w:p>
    <w:p>
      <w:pPr>
        <w:pStyle w:val="BodyText"/>
        <w:spacing w:line="480" w:lineRule="auto"/>
        <w:ind w:firstLine="720"/>
      </w:pPr>
      <w:r>
        <w:t xml:space="preserve">Process tracing earns its seat by testing gear rather than correlation. A bunching measure can show that activity piles up and that priority wording rides along. What it cannot show is that the wording did governance work, that later players actually reworked their plans, or that early arrival got flipped into lasting edge. The case story can, by trailing the run of choices and reactions. Two cases suffice for that, because the goal is to confirm or break the gear the numeric pattern implies, not to estimate a population parameter.</w:t>
      </w:r>
    </w:p>
    <w:bookmarkEnd w:id="112"/>
    <w:bookmarkStart w:id="113" w:name="what-the-completed-models-contribute"/>
    <w:p>
      <w:pPr>
        <w:pStyle w:val="Heading2"/>
        <w:spacing w:line="480" w:lineRule="auto"/>
      </w:pPr>
      <w:r>
        <w:t xml:space="preserve">What the completed models contribute</w:t>
      </w:r>
    </w:p>
    <w:p>
      <w:pPr>
        <w:pStyle w:val="FirstParagraph"/>
        <w:spacing w:line="480" w:lineRule="auto"/>
      </w:pPr>
      <w:r>
        <w:t xml:space="preserve">The two finished empirical papers hand over methods discipline for source use rather than a test of the enclosure claim</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5">
        <w:r>
          <w:rPr>
            <w:rStyle w:val="Hyperlink"/>
          </w:rPr>
          <w:t xml:space="preserve">[15]</w:t>
        </w:r>
      </w:hyperlink>
      <w:r>
        <w:t xml:space="preserve"> </w:t>
      </w:r>
      <w:hyperlink w:anchor="ref-17">
        <w:r>
          <w:rPr>
            <w:rStyle w:val="Hyperlink"/>
          </w:rPr>
          <w:t xml:space="preserve">[17]</w:t>
        </w:r>
      </w:hyperlink>
      <w:r>
        <w:t xml:space="preserve"> </w:t>
      </w:r>
      <w:hyperlink w:anchor="ref-21">
        <w:r>
          <w:rPr>
            <w:rStyle w:val="Hyperlink"/>
          </w:rPr>
          <w:t xml:space="preserve">[21]</w:t>
        </w:r>
      </w:hyperlink>
      <w:r>
        <w:t xml:space="preserve">. Paper 1 runs ordinary least squares with robust HC1 standard errors to test whether the signal score in the local pool ties to recency index, citation count, and venue score. Paper 2 runs a log-log learning-curve model to test whether citation attention scales with a paper’s age. Both studies are descriptive. Their job is not causal identification. They keep the dissertation from treating its writing setting as self-proving, a real danger when a pool is small and retrieval-built.</w:t>
      </w:r>
    </w:p>
    <w:p>
      <w:pPr>
        <w:pStyle w:val="BodyText"/>
        <w:spacing w:line="480" w:lineRule="auto"/>
        <w:ind w:firstLine="720"/>
      </w:pPr>
      <w:r>
        <w:t xml:space="preserve">The estimators fit their modest questions. Ordinary least squares with a heteroskedasticity-robust variance estimator is the stock pick for a cross-section of thirty records where the error variance may hinge on venue or citation level, and it claims no causal identification. The log-log build in Paper 2 is the conventional way to read an elasticity and a progress ratio off an age-to-attention link, because logging both sides lets one coefficient sum up proportional change. Neither model identifies a lunar governance effect, and neither is asked to. They identify structure, or its lack, in the source setting, and Chapter 6 relays exactly what they turned up.</w:t>
      </w:r>
    </w:p>
    <w:bookmarkEnd w:id="113"/>
    <w:bookmarkStart w:id="114" w:name="case-selection-and-its-logic"/>
    <w:p>
      <w:pPr>
        <w:pStyle w:val="Heading2"/>
        <w:spacing w:line="480" w:lineRule="auto"/>
      </w:pPr>
      <w:r>
        <w:t xml:space="preserve">Case selection and its logic</w:t>
      </w:r>
    </w:p>
    <w:p>
      <w:pPr>
        <w:pStyle w:val="FirstParagraph"/>
        <w:spacing w:line="480" w:lineRule="auto"/>
      </w:pPr>
      <w:r>
        <w:t xml:space="preserve">The pick of which two sites to process trace is not incidental, and the design treats it as an identification call in its own right. The cases are chosen to be telling rather than representative, following the stock logic that a handful of well-picked cases can test a gear even where they cannot estimate a spread. Two picking rules apply. The cases should run high in site worth and high in contestation, because that is where the two theories forecast their most divergent things and where a wrong theory is likeliest to get caught. And the cases should part from each other on a trait the theory says matters, such as the presence or absence of a relay dependency, so the pair brackets the gear rather than merely echoing it.</w:t>
      </w:r>
    </w:p>
    <w:p>
      <w:pPr>
        <w:pStyle w:val="BodyText"/>
        <w:spacing w:line="480" w:lineRule="auto"/>
        <w:ind w:firstLine="720"/>
      </w:pPr>
      <w:r>
        <w:t xml:space="preserve">Picking on the dependent variable is a known trap in case-study work, and the design guards against it out loud. The cases are chosen on site worth and contestation, which stand apart from the outcome the trace is meant to establish, not on whether enclosure looks to have happened. Choosing cases because they already look like enclosure would guarantee finding it, which is why that route gets refused. The trace is meant to test whether the numeric signal squares with a defensible run of conduct, and it can only do that if the cases were not pre-picked to confirm the signal.</w:t>
      </w:r>
    </w:p>
    <w:bookmarkEnd w:id="114"/>
    <w:bookmarkStart w:id="115" w:name="X469f6f876eb6f789289e7e4d32c00609ab56a3e"/>
    <w:p>
      <w:pPr>
        <w:pStyle w:val="Heading2"/>
        <w:spacing w:line="480" w:lineRule="auto"/>
      </w:pPr>
      <w:r>
        <w:t xml:space="preserve">Robustness and specification transparency</w:t>
      </w:r>
    </w:p>
    <w:p>
      <w:pPr>
        <w:pStyle w:val="FirstParagraph"/>
        <w:spacing w:line="480" w:lineRule="auto"/>
      </w:pPr>
      <w:r>
        <w:t xml:space="preserve">The finished source-vetting models get relayed with full specification transparency, and the same posture rules the planned heart. For the source-vetting work, the estimators, the variance form, the sample size, and every coefficient are stated in Chapter 6 with no cherry-picking, so a reader can see the weak results as plainly as strong ones would have been shown. That transparency is a methodological pledge, not a courtesy. A source audit whose job is to discipline how the dissertation uses evidence would defeat itself by hiding its own imprecision.</w:t>
      </w:r>
    </w:p>
    <w:p>
      <w:pPr>
        <w:pStyle w:val="BodyText"/>
        <w:spacing w:line="480" w:lineRule="auto"/>
        <w:ind w:firstLine="720"/>
      </w:pPr>
      <w:r>
        <w:t xml:space="preserve">For the planned enclosure trial, robustness is built in rather than bolted on. The bunching measure will be figured under more than one benchmark build, the exclusion coding will be checked for coder reliability, and the enclosure read will be made to survive dropping the fuzzy observations. A finding that shows under one benchmark but melts under another is no finding; it is an artifact of a modeling call, and the design is built to bare that fragility rather than hide it. The bar throughout is that a conclusion worth relaying should hold steady across the reasonable analytic calls a doubting reader might have made instead.</w:t>
      </w:r>
    </w:p>
    <w:bookmarkEnd w:id="115"/>
    <w:bookmarkStart w:id="116" w:name="threats-to-identification"/>
    <w:p>
      <w:pPr>
        <w:pStyle w:val="Heading2"/>
        <w:spacing w:line="480" w:lineRule="auto"/>
      </w:pPr>
      <w:r>
        <w:t xml:space="preserve">Threats to identification</w:t>
      </w:r>
    </w:p>
    <w:p>
      <w:pPr>
        <w:pStyle w:val="FirstParagraph"/>
        <w:spacing w:line="480" w:lineRule="auto"/>
      </w:pPr>
      <w:r>
        <w:t xml:space="preserve">Identification threats run serious, and the design faces them head-on. Site-worth confounding is the gravest: a strong enclosure design must not read common engineering limits as political grip, which is why the site-worth controls of Chapter 4 are prerequisites rather than robustness checks. Language fuzz is second, because safety wording can be cooperative and vital, and the reach-span-access coding exists to keep that wording from being read as shutout by default. Patchy observability is third, since not all intended work areas are public, and the stand-in stratum only partly softens it. Small-N sensitivity matters too, because the weightiest contested sites may be few, so inference wobbles at exactly the points that carry the most.</w:t>
      </w:r>
    </w:p>
    <w:bookmarkEnd w:id="116"/>
    <w:bookmarkStart w:id="117" w:name="Xc2c7df0cc81831b2ec8e15c2dea1377d96e904e"/>
    <w:p>
      <w:pPr>
        <w:pStyle w:val="Heading2"/>
        <w:spacing w:line="480" w:lineRule="auto"/>
      </w:pPr>
      <w:r>
        <w:t xml:space="preserve">External validity and the limits of generalization</w:t>
      </w:r>
    </w:p>
    <w:p>
      <w:pPr>
        <w:pStyle w:val="FirstParagraph"/>
        <w:spacing w:line="480" w:lineRule="auto"/>
      </w:pPr>
      <w:r>
        <w:t xml:space="preserve">A design tuned to the lunar south pole raises a fair question about how far its verdicts travel. The honest reply is that the substantive finding, whatever it lands as, is a finding about the exact settings the south pole hands us, not a universal law of space governance. That is a limit, and it is also a trait. The scope conditions grown in the theory chapter fix where the enclosure gear ought and ought not to run, so a result at the south pole carries clear implications for any other setting sharing those conditions and clear non-implications for settings that do not. A near-Earth asteroid with plentiful, swappable work positions would not be expected to rerun a south-polar fence, and the design makes no claim it would.</w:t>
      </w:r>
    </w:p>
    <w:p>
      <w:pPr>
        <w:pStyle w:val="BodyText"/>
        <w:spacing w:line="480" w:lineRule="auto"/>
        <w:ind w:firstLine="720"/>
      </w:pPr>
      <w:r>
        <w:t xml:space="preserve">What does travel is the method, not the result. The constructs, the benchmark logic, the pairing of bunching with exclusion wording, and the site-worth controls port to any scarce-resource setting where conduct is publicly on paper. A later study of a different contested place could lift the same instruments, re-figure the cooperative benchmark off that place’s site-worth landscape, and reach a place-specific verdict by the same route. Generalizing a method is a defensible ambition; generalizing a finding is not, and the method is the one I adopt. The finished source-vetting papers back this posture by example, since they too relay a pool-specific structure and decline to smear it over the whole lunar-governance writing.</w:t>
      </w:r>
    </w:p>
    <w:p>
      <w:pPr>
        <w:pStyle w:val="BodyText"/>
        <w:spacing w:line="480" w:lineRule="auto"/>
        <w:ind w:firstLine="720"/>
      </w:pPr>
      <w:r>
        <w:t xml:space="preserve">The design meets these threats by coding uncertainty rather than smothering it, by demanding concord between bunching and exclusion before any enclosure read, by dodging claims built on single markers, and by pairing the numeric pattern with case stories that can bare a bogus signal. The method thus embodies a cautious bar for evidence. A charge of lunar enclosure ought to need more than nerves about first movers. It ought to need public records showing packed conduct, wording implying priority or curbed access, and a proven failure of technical site worth to account for the pattern seen. That bar makes the dissertation harder to write and more useful to read, because it lets the analysis part budding enclosure from ordinary coordinating in a cramped operating setting.</w:t>
      </w:r>
    </w:p>
    <w:bookmarkEnd w:id="117"/>
    <w:bookmarkStart w:id="118" w:name="what-identification-means-here"/>
    <w:p>
      <w:pPr>
        <w:pStyle w:val="Heading2"/>
        <w:spacing w:line="480" w:lineRule="auto"/>
      </w:pPr>
      <w:r>
        <w:t xml:space="preserve">What identification means here</w:t>
      </w:r>
    </w:p>
    <w:p>
      <w:pPr>
        <w:pStyle w:val="FirstParagraph"/>
        <w:spacing w:line="480" w:lineRule="auto"/>
      </w:pPr>
      <w:r>
        <w:t xml:space="preserve">Identification carries a specific sense here, and it parts from its sense in a purely statistical study. The dissertation makes no claim to identify a causal effect in the experimental sense, because there is no manipulation and no counterfactual assignment. What it identifies is the enclosure gear as distinct from its rivals, chiefly engineering-driven bunching and routine safety practice. Identification is won by the joint build of the design: the three numeric comparisons rule out harmless accounts for bunching and wording, the site-worth controls net out the biggest confounder, and the process traces test whether the surviving pattern reflects the gear rather than a fluke. No single piece identifies anything alone. Identification is a trait of the whole, and the whole is arranged so only the enclosure gear could throw off the full pattern the design would have to catch.</w:t>
      </w:r>
    </w:p>
    <w:p>
      <w:pPr>
        <w:pStyle w:val="BodyText"/>
        <w:spacing w:line="480" w:lineRule="auto"/>
        <w:ind w:firstLine="720"/>
      </w:pPr>
      <w:r>
        <w:t xml:space="preserve">This is why the finished source-vetting models, though they use conventional estimators, get called diagnostic rather than identifying. Ordinary least squares on thirty records identifies a tie between citation count and signal score in that pool, and nothing past that; it does not identify a governance effect, and the papers do not pretend it does. The enclosure trial’s identification lives at a higher rung than any one regression, in the concord of independent comparisons and cases. Holding those two senses of the word apart heads off the reader’s slip from a diagnostic tie in the writing to a claim about lunar conduct, exactly the muddle the dissertation labors to dodge.</w:t>
      </w:r>
    </w:p>
    <w:bookmarkEnd w:id="118"/>
    <w:bookmarkStart w:id="119" w:name="the-standard-of-proof"/>
    <w:p>
      <w:pPr>
        <w:pStyle w:val="Heading2"/>
        <w:spacing w:line="480" w:lineRule="auto"/>
      </w:pPr>
      <w:r>
        <w:t xml:space="preserve">The standard of proof</w:t>
      </w:r>
    </w:p>
    <w:p>
      <w:pPr>
        <w:pStyle w:val="FirstParagraph"/>
        <w:spacing w:line="480" w:lineRule="auto"/>
      </w:pPr>
      <w:r>
        <w:t xml:space="preserve">Every design bakes in a bar of proof, and this one sets it high by choice. A charge of lunar enclosure would carry real weight in a heated policy setting, and a design that reached it too cheaply would do more harm than good. The bar taken here demands four things at once: bunching over the cooperative benchmark, exclusion wording over what coordinating would throw off, a failure of site worth to account for the pattern, and a case story in tune with the gear. Meeting one or two falls short. The conjunction is exacting by design, because the cost of a false positive, wrongly charging players with fencing a commons, runs as grave as the cost of a false negative, missing a fence while it hardens. Pitching the bar this high is the design’s reply to both risks at once.</w:t>
      </w:r>
    </w:p>
    <w:bookmarkEnd w:id="119"/>
    <w:bookmarkEnd w:id="120"/>
    <w:bookmarkStart w:id="131" w:name="chapter-6.-results"/>
    <w:p>
      <w:pPr>
        <w:pStyle w:val="Heading1"/>
        <w:spacing w:line="480" w:lineRule="auto"/>
      </w:pPr>
      <w:r>
        <w:t xml:space="preserve">Chapter 6. Results</w:t>
      </w:r>
    </w:p>
    <w:p>
      <w:pPr>
        <w:pStyle w:val="FirstParagraph"/>
        <w:spacing w:line="480" w:lineRule="auto"/>
      </w:pPr>
      <w:r>
        <w:t xml:space="preserve">Read the finished empirical results as findings about the source setting, not as direct estimates of lunar enclosure. The main mixed-method trial this dissertation proposes needs a coded pool of public lunar site claims, hazard-ring statements, relay stand-ins, and site-worth controls, and that final dataset is a thing apart from the two finished papers. The papers ask instead whether the local writing setting is ordered by easy shortcuts such as recency, citation pull, venue family, or a paper’s age. Their results carry weight because they fix how much faith the dissertation should place in common shortcuts when it picks and weights sources. What follows relays the estimator output verbatim, then reads the signs and sizes, then says flatly what the results do not show.</w:t>
      </w:r>
    </w:p>
    <w:p>
      <w:pPr>
        <w:pStyle w:val="BodyText"/>
        <w:spacing w:line="480" w:lineRule="auto"/>
        <w:ind w:firstLine="720"/>
      </w:pPr>
      <w:r>
        <w:t xml:space="preserve">Both models draw on the same thirty-record local pool pulled from AMOS and Acta collections. Thirty observations is a small sample, and every read below gets scaled to that fact.</w:t>
      </w:r>
    </w:p>
    <w:p>
      <w:pPr>
        <w:pStyle w:val="BodyText"/>
        <w:spacing w:line="480" w:lineRule="auto"/>
        <w:ind w:firstLine="720"/>
      </w:pPr>
      <w:r>
        <w:t xml:space="preserve">The purpose is diagnostic, not confirmatory. I say so plainly, up front, because a reader who forgets it will misjudge everything that follows.</w:t>
      </w:r>
    </w:p>
    <w:bookmarkStart w:id="121" w:name="X7a3536e79a3530dfaa1690306739a9fd9c1bccd"/>
    <w:p>
      <w:pPr>
        <w:pStyle w:val="Heading2"/>
        <w:spacing w:line="480" w:lineRule="auto"/>
      </w:pPr>
      <w:r>
        <w:t xml:space="preserve">Paper 1: an ordinary least squares model of topic-signal intensity</w:t>
      </w:r>
    </w:p>
    <w:p>
      <w:pPr>
        <w:pStyle w:val="FirstParagraph"/>
        <w:spacing w:line="480" w:lineRule="auto"/>
      </w:pPr>
      <w:r>
        <w:t xml:space="preserve">Paper 1 fits an ordinary least squares model of topic-signal intensity in the thirty-record pool. The dependent variable is a deterministic signal score built from candidate-theme term hits across each record’s title, snippet, keyword field, and author metadata. The predictors are the recency index, the reported citation count, and an ordinal venue-family score where AMOS equals one, Acta Astronautica equals two, and Space Economy equals three. Standard errors are heteroskedasticity-robust of the HC1 form.</w:t>
      </w:r>
    </w:p>
    <w:p>
      <w:pPr>
        <w:pStyle w:val="BodyText"/>
        <w:spacing w:line="480" w:lineRule="auto"/>
        <w:ind w:firstLine="720"/>
      </w:pPr>
      <w:r>
        <w:t xml:space="preserve">The model explains little. It yields an (R^2) of 0.0675 and an F-test p-value of 0.1662. The overall model is thus not tellable apart from one with no explanatory content at conventional levels. Two of the three predictors land individually imprecise. The recency index shows a coefficient of -0.0376 with a p-value of 0.7262, which gives no evidence that newer or older items in the retrieval setting carry stronger topic signal. The venue score shows a coefficient of 0.4327 with a p-value of 0.6160, again imprecise and thin in substance, so that stepping from an AMOS record to an Acta record to a Space Economy record does not reliably move topic-signal intensity in this sample.</w:t>
      </w:r>
    </w:p>
    <w:p>
      <w:pPr>
        <w:pStyle w:val="BodyText"/>
        <w:spacing w:line="480" w:lineRule="auto"/>
        <w:ind w:firstLine="720"/>
      </w:pPr>
      <w:r>
        <w:t xml:space="preserve">One predictor in Paper 1 clears conventional significance: the citation count. Its coefficient is -0.0687, with a robust standard error of 0.0331 and a p-value of 0.0379. The sign runs negative. In this local pool, more cited records tie to slightly lower topic-signal intensity for the candidate’s commons-versus-enclosure gear. The size is small: each extra reported citation ties to a drop of roughly 0.069 in the signal score, so even a record with thirty citations, the largest in the sample, would carry a forecast signal drop of about two points from citations alone. Do not overread the result. The sample is small, retrieval-built, and diagnostic. Even so, the finding earns its keep, because it hits an easy habit square. Citation pull does not flag the most gear-relevant sources for a lunar governance dissertation, and in this pool it tips mildly the other way.</w:t>
      </w:r>
    </w:p>
    <w:p>
      <w:pPr>
        <w:pStyle w:val="BodyText"/>
        <w:spacing w:line="480" w:lineRule="auto"/>
        <w:ind w:firstLine="720"/>
      </w:pPr>
      <w:r>
        <w:t xml:space="preserve">Read the underlying rows and the pattern turns concrete. The most heavily cited items in the pool are technical and experimental records: an EcAMSat antibiotic-resistance study, a stratospheric-balloon thermal experiment, and an innovation-intermediary typology, each carrying twenty-six or more citations while scoring low on candidate-theme signal. The records that score highest on signal, among them a circular-economy space-sustainability item and a polycentric orbital-debris governance item, report no citations in the local index at all. That flip is exactly what a negative citation coefficient encodes, and it is why the dissertation cannot let fame stand in for relevance.</w:t>
      </w:r>
    </w:p>
    <w:bookmarkEnd w:id="121"/>
    <w:bookmarkStart w:id="122" w:name="X018f33c1a329a3a06bfc3c5bbbbcf7c735462af"/>
    <w:p>
      <w:pPr>
        <w:pStyle w:val="Heading2"/>
        <w:spacing w:line="480" w:lineRule="auto"/>
      </w:pPr>
      <w:r>
        <w:t xml:space="preserve">Paper 2: a learning-curve model of citation accumulation</w:t>
      </w:r>
    </w:p>
    <w:p>
      <w:pPr>
        <w:pStyle w:val="FirstParagraph"/>
        <w:spacing w:line="480" w:lineRule="auto"/>
      </w:pPr>
      <w:r>
        <w:t xml:space="preserve">Paper 2 fits a learning-curve model of citation accumulation by a paper’s age across the same thirty records. Article age is set as 2026 minus the publication year plus one. Citation count plus one is used so the logarithm stays defined for uncited observations, and both the age index and the shifted citation count enter in logs, so the age coefficient reads as an elasticity.</w:t>
      </w:r>
    </w:p>
    <w:p>
      <w:pPr>
        <w:pStyle w:val="BodyText"/>
        <w:spacing w:line="480" w:lineRule="auto"/>
        <w:ind w:firstLine="720"/>
      </w:pPr>
      <w:r>
        <w:t xml:space="preserve">The estimated elasticity on article age is 0.07088, with a robust standard error of 0.2687 and a p-value of 0.7920. The model (R^2) is 0.00146, and the implied progress ratio is 1.0504. These values show no meaningful tie between a paper’s age and its visible citation accumulation in the local source setting. The elasticity is small and its standard error is nearly four times its size, so the estimate is statistically indistinguishable from zero. The progress ratio near one carries the same message in plainer words: doubling a record’s age ties to almost no proportional change in its citation count. Older sources draw no more attention as a rule, and newer sources draw no less. The pool blends governance, operational, and industrial material with no age-based attention ladder.</w:t>
      </w:r>
    </w:p>
    <w:bookmarkEnd w:id="122"/>
    <w:bookmarkStart w:id="123" w:name="reading-the-magnitudes-carefully"/>
    <w:p>
      <w:pPr>
        <w:pStyle w:val="Heading2"/>
        <w:spacing w:line="480" w:lineRule="auto"/>
      </w:pPr>
      <w:r>
        <w:t xml:space="preserve">Reading the magnitudes carefully</w:t>
      </w:r>
    </w:p>
    <w:p>
      <w:pPr>
        <w:pStyle w:val="FirstParagraph"/>
        <w:spacing w:line="480" w:lineRule="auto"/>
      </w:pPr>
      <w:r>
        <w:t xml:space="preserve">A significant coefficient in a sample of thirty warrants a sober read, and the citation-count result in Paper 1 is a case in point. Its p-value of 0.0379 clears the conventional threshold, yet the model housing it explains only 0.0675 of the variance in signal score and cannot reject the null of no joint explanatory content at the 0.1662 level of its F-test. The honest summary is that one predictor clears significance inside a model that, taken whole, is weak. That mix is common in small samples, and it urges restraint. The citation coefficient reads best as a directional caution, not as a law of the pool: in this retrieval setting, leaning on citation counts to hunt gear-relevant sources would, if anything, tip slightly away from the material the dissertation wants.</w:t>
      </w:r>
    </w:p>
    <w:p>
      <w:pPr>
        <w:pStyle w:val="BodyText"/>
        <w:spacing w:line="480" w:lineRule="auto"/>
        <w:ind w:firstLine="720"/>
      </w:pPr>
      <w:r>
        <w:t xml:space="preserve">The Paper 2 estimates brace the same restraint from the other side. Here nothing is significant, and the design relays the null with no dressing up. An elasticity of 0.07088 against a standard error of 0.2687 is a coefficient drowned by its own uncertainty, and an (R^2) of 0.00146 means the age variable accounts for essentially none of the swing in citation counts. A progress ratio of 1.0504 says, in the tongue of learning curves, that doubling a record’s age buys about a five percent change in citations, a quantity indistinguishable from noise at this sample size. The two papers thus bracket the pool with a significant-but-weak result and a clean null, and both aim at the same conclusion: the source setting is not self-ordering.</w:t>
      </w:r>
    </w:p>
    <w:bookmarkEnd w:id="123"/>
    <w:bookmarkStart w:id="124" w:name="what-the-corpus-rows-reveal"/>
    <w:p>
      <w:pPr>
        <w:pStyle w:val="Heading2"/>
        <w:spacing w:line="480" w:lineRule="auto"/>
      </w:pPr>
      <w:r>
        <w:t xml:space="preserve">What the corpus rows reveal</w:t>
      </w:r>
    </w:p>
    <w:p>
      <w:pPr>
        <w:pStyle w:val="FirstParagraph"/>
        <w:spacing w:line="480" w:lineRule="auto"/>
      </w:pPr>
      <w:r>
        <w:t xml:space="preserve">Under the coefficients sits a structure worth naming, because it explains why the models behave as they do. The pool blends three kinds of material that share no attention logic. There are AMOS proceedings records, which carry no local citation counts at all and span nearly two decades of publication years. There are Acta Astronautica articles, some old enough to have piled up twenty-six or thirty citations and some published in 2026 with none. And there are Space Economy items, several scoring high on candidate-theme signal while reporting zero citations. No single ordering principle runs across those three families. Recency cannot sort them, because the high-signal items surface in both old and new years. Venue cannot sort them, because signal runs high in some AMOS records and some Space Economy records alike. Citation count cannot sort them positively, because the most-cited items are the technical Acta papers whose subject sits furthest from the governance gear.</w:t>
      </w:r>
    </w:p>
    <w:p>
      <w:pPr>
        <w:pStyle w:val="BodyText"/>
        <w:spacing w:line="480" w:lineRule="auto"/>
        <w:ind w:firstLine="720"/>
      </w:pPr>
      <w:r>
        <w:t xml:space="preserve">That mix is the substantive content of the two nulls. A pool assembled by topical retrieval across three venue families, spanning 2009 to 2026, simply inherits no clean bibliometric ladder, and the estimators faithfully relay its absence. For a dissertation writer, the lesson is not that citations or age mean nothing in general. It is that in this specific evidence setting they cannot stand in for reading each source and weighing its fit to the governance gear at hand.</w:t>
      </w:r>
    </w:p>
    <w:bookmarkEnd w:id="124"/>
    <w:bookmarkStart w:id="125" w:name="what-the-two-results-establish-together"/>
    <w:p>
      <w:pPr>
        <w:pStyle w:val="Heading2"/>
        <w:spacing w:line="480" w:lineRule="auto"/>
      </w:pPr>
      <w:r>
        <w:t xml:space="preserve">What the two results establish together</w:t>
      </w:r>
    </w:p>
    <w:p>
      <w:pPr>
        <w:pStyle w:val="FirstParagraph"/>
        <w:spacing w:line="480" w:lineRule="auto"/>
      </w:pPr>
      <w:r>
        <w:t xml:space="preserve">Taken together, the two papers yield a clear result. The local writing pool is not ordered by the bibliometric shortcuts likeliest to tempt a dissertation writer. Recency does not sort topical signal. Venue score does not sort topical signal. A paper’s age does not account for its citation attention. Citation count is the only significant predictor in Paper 1, and its sign runs against the notion that more cited items are always more directly useful for this candidate’s gear.</w:t>
      </w:r>
    </w:p>
    <w:p>
      <w:pPr>
        <w:pStyle w:val="BodyText"/>
        <w:spacing w:line="480" w:lineRule="auto"/>
        <w:ind w:firstLine="720"/>
      </w:pPr>
      <w:r>
        <w:t xml:space="preserve">What follows in substance is that the dissertation must use sources by gear fit rather than by fame. Works on operational risk data, distributed trust plumbing, and norms growth matter because they account for how a many-centered commons could run</w:t>
      </w:r>
      <w:r>
        <w:t xml:space="preserve"> </w:t>
      </w:r>
      <w:hyperlink w:anchor="ref-15">
        <w:r>
          <w:rPr>
            <w:rStyle w:val="Hyperlink"/>
          </w:rPr>
          <w:t xml:space="preserve">[15]</w:t>
        </w:r>
      </w:hyperlink>
      <w:r>
        <w:t xml:space="preserve"> </w:t>
      </w:r>
      <w:hyperlink w:anchor="ref-17">
        <w:r>
          <w:rPr>
            <w:rStyle w:val="Hyperlink"/>
          </w:rPr>
          <w:t xml:space="preserve">[17]</w:t>
        </w:r>
      </w:hyperlink>
      <w:r>
        <w:t xml:space="preserve">. Work on governance in flux matters because it charts the institutional shift from old state-run templates toward tangled New Space patterns</w:t>
      </w:r>
      <w:r>
        <w:t xml:space="preserve"> </w:t>
      </w:r>
      <w:hyperlink w:anchor="ref-21">
        <w:r>
          <w:rPr>
            <w:rStyle w:val="Hyperlink"/>
          </w:rPr>
          <w:t xml:space="preserve">[21]</w:t>
        </w:r>
      </w:hyperlink>
      <w:r>
        <w:t xml:space="preserve">. Sustainability design work matters because it ties space activity to wider responsibility across systems</w:t>
      </w:r>
      <w:r>
        <w:t xml:space="preserve"> </w:t>
      </w:r>
      <w:hyperlink w:anchor="ref-22">
        <w:r>
          <w:rPr>
            <w:rStyle w:val="Hyperlink"/>
          </w:rPr>
          <w:t xml:space="preserve">[22]</w:t>
        </w:r>
      </w:hyperlink>
      <w:r>
        <w:t xml:space="preserve">. Infrastructure-contest work matters because it shows how access and architecture can turn strategic even with no formal territorial claim</w:t>
      </w:r>
      <w:r>
        <w:t xml:space="preserve"> </w:t>
      </w:r>
      <w:hyperlink w:anchor="ref-14">
        <w:r>
          <w:rPr>
            <w:rStyle w:val="Hyperlink"/>
          </w:rPr>
          <w:t xml:space="preserve">[14]</w:t>
        </w:r>
      </w:hyperlink>
      <w:r>
        <w:t xml:space="preserve">. These sources earn their weight by clearing causal paths, not because the local citation setting ranks them cleanly.</w:t>
      </w:r>
    </w:p>
    <w:p>
      <w:pPr>
        <w:pStyle w:val="BodyText"/>
        <w:spacing w:line="480" w:lineRule="auto"/>
        <w:ind w:firstLine="720"/>
      </w:pPr>
      <w:r>
        <w:t xml:space="preserve">The results also sharpen expectations for the full enclosure trial. Should the writing setting run weakly ordered, the empirical design cannot lean on secondary scholarship to imply the answer. The dissertation must build the direct evidence itself: public site-linked observations, language coding, site-worth controls, and process-traced cases. That is a strength, not a weakness, because it stops the analysis from inheriting the assumptions of its source base. A pool offering a clean prestige rank would have invited exactly that inheritance.</w:t>
      </w:r>
    </w:p>
    <w:bookmarkEnd w:id="125"/>
    <w:bookmarkStart w:id="126" w:name="the-epistemics-of-a-diagnostic-null"/>
    <w:p>
      <w:pPr>
        <w:pStyle w:val="Heading2"/>
        <w:spacing w:line="480" w:lineRule="auto"/>
      </w:pPr>
      <w:r>
        <w:t xml:space="preserve">The epistemics of a diagnostic null</w:t>
      </w:r>
    </w:p>
    <w:p>
      <w:pPr>
        <w:pStyle w:val="FirstParagraph"/>
        <w:spacing w:line="480" w:lineRule="auto"/>
      </w:pPr>
      <w:r>
        <w:t xml:space="preserve">Two of the three headline results are nulls, and nulls invite mishandling. A weak model and an insignificant elasticity can be misread as failure, as though the papers set out to find structure and came up dry. That read botches the papers’ purpose. They were built to test whether the pool is ordered by handy shortcuts, and a null is the telling answer to that question, not a letdown. Confirming that recency, venue, and age fail to organize the source setting is exactly the result that licenses a gear-first read of the writing. Had the models turned up strong ordering, the dissertation would have faced a nastier problem: deciding whether to trust a rank it had cause to distrust on conceptual grounds. The nulls dissolve that bind.</w:t>
      </w:r>
    </w:p>
    <w:p>
      <w:pPr>
        <w:pStyle w:val="BodyText"/>
        <w:spacing w:line="480" w:lineRule="auto"/>
        <w:ind w:firstLine="720"/>
      </w:pPr>
      <w:r>
        <w:t xml:space="preserve">The lone significant coefficient must be read against this backdrop with care. Because it sits inside a model whose F-test cannot reject the null of no joint explanatory content at 0.1662, the citation-count result is a single significant term in an overall weak fit, and small samples routinely spit exactly that setup by chance. So the dissertation treats the negative citation coefficient as suggestive rather than settled. Its practical use is bounded and precise: it strips any lure to treat citation count as a positive stand-in for relevance in this pool, and it does no more. Relaying it at full strength, with its p-value of 0.0379 and its robust standard error of 0.0331, while warning against overreading it, is what intellectual honesty asks when a significant term lives inside a weak model.</w:t>
      </w:r>
    </w:p>
    <w:bookmarkEnd w:id="126"/>
    <w:bookmarkStart w:id="127" w:name="X03e0db4d02b00dd3ac0d2f1daa74d17c4b2efc0"/>
    <w:p>
      <w:pPr>
        <w:pStyle w:val="Heading2"/>
        <w:spacing w:line="480" w:lineRule="auto"/>
      </w:pPr>
      <w:r>
        <w:t xml:space="preserve">What a stronger result would have looked like</w:t>
      </w:r>
    </w:p>
    <w:p>
      <w:pPr>
        <w:pStyle w:val="FirstParagraph"/>
        <w:spacing w:line="480" w:lineRule="auto"/>
      </w:pPr>
      <w:r>
        <w:t xml:space="preserve">It clears the findings to say what they are not. Had the source setting run cleanly ordered, Paper 1 would have returned a high (R^2), a significant F-test, and predictors whose signs matched hunch, with recent, high-venue, well-cited items scoring highest on topic signal. Paper 2 would have returned a positive, significant age elasticity and a progress ratio meaningfully above one, marking that older items gather attention in a systematic way. The actual results negate that picture at nearly every point: an (R^2) of 0.0675, an F p-value of 0.1662, a recency term at 0.7262, a venue term at 0.6160, an age elasticity of 0.07088 with a p-value of 0.7920, and an (R^2) of 0.00146 for the learning curve. The gap between the hypothetical clean result and the observed weak one is the gauge of how little the pool orders itself, and it is precisely that gap the dissertation turns into a discipline for source use.</w:t>
      </w:r>
    </w:p>
    <w:bookmarkEnd w:id="127"/>
    <w:bookmarkStart w:id="128" w:name="the-limits-of-these-results"/>
    <w:p>
      <w:pPr>
        <w:pStyle w:val="Heading2"/>
        <w:spacing w:line="480" w:lineRule="auto"/>
      </w:pPr>
      <w:r>
        <w:t xml:space="preserve">The limits of these results</w:t>
      </w:r>
    </w:p>
    <w:p>
      <w:pPr>
        <w:pStyle w:val="FirstParagraph"/>
        <w:spacing w:line="480" w:lineRule="auto"/>
      </w:pPr>
      <w:r>
        <w:t xml:space="preserve">Limits weigh here as heavily as estimates, and they must be stated with no hedge. Neither finished paper estimates whether lunar site conduct is bunched. Neither gauges exclusion wording in mission notices. Neither tests relay stand-ins or hazard-ring statements. The papers vet the research setting. They do not answer the dissertation’s final hypothesis. A rigorous dissertation must draw that line plainly, and this one does: the evidence so far backs a disciplined approach to source choice and reading, and it does not yet prove that lunar governance is a commons, nor does it prove a fence.</w:t>
      </w:r>
    </w:p>
    <w:p>
      <w:pPr>
        <w:pStyle w:val="BodyText"/>
        <w:spacing w:line="480" w:lineRule="auto"/>
        <w:ind w:firstLine="720"/>
      </w:pPr>
      <w:r>
        <w:t xml:space="preserve">The main finding of this chapter is thus methodological and epistemic. The local source base is useful but not self-ordering. It carries governance, operational, sustainability, infrastructure, and technical material that must be picked through theory rather than bibliometric ease. For a dissertation about commons and enclosure, that is a worthy result, because it keeps the later empirical trial anchored to public conduct rather than to inherited scholarly fame. The numbers relayed here are modest by design. Their worth lies in what they license the next stage to assume, which is very little that has not been measured.</w:t>
      </w:r>
    </w:p>
    <w:bookmarkEnd w:id="128"/>
    <w:bookmarkStart w:id="129" w:name="robustness-of-the-reported-estimates"/>
    <w:p>
      <w:pPr>
        <w:pStyle w:val="Heading2"/>
        <w:spacing w:line="480" w:lineRule="auto"/>
      </w:pPr>
      <w:r>
        <w:t xml:space="preserve">Robustness of the reported estimates</w:t>
      </w:r>
    </w:p>
    <w:p>
      <w:pPr>
        <w:pStyle w:val="FirstParagraph"/>
        <w:spacing w:line="480" w:lineRule="auto"/>
      </w:pPr>
      <w:r>
        <w:t xml:space="preserve">Because the results are weak, it matters that they get relayed with no cherry-picking or tuning, and they do. Both models were fit once, on all thirty records, with heteroskedasticity-robust standard errors, and every coefficient is stated regardless of significance. There was no hunt over builds for a stronger fit, no dropping of awkward observations, and no transform picked to flatter the outcome. This weighs more for weak results than for strong ones, because a weak result is exactly what a build hunt would try to bury. Relaying the full weakness, an (R^2) of 0.0675 in Paper 1 and 0.00146 in Paper 2, is the honest showing, and it is the showing a source audit demands, since the whole point is to profile the pool faithfully rather than to squeeze a headline from it.</w:t>
      </w:r>
    </w:p>
    <w:p>
      <w:pPr>
        <w:pStyle w:val="BodyText"/>
        <w:spacing w:line="480" w:lineRule="auto"/>
        <w:ind w:firstLine="720"/>
      </w:pPr>
      <w:r>
        <w:t xml:space="preserve">Small sample size is the binding limit on both models, and it should cool any inference in either direction. Thirty observations leave scant room to catch anything but a strong link, so the nulls in recency, venue, and age square with either a genuine lack of structure or with structure too faint to surface at this sample size. The dissertation reads them as evidence the pool is not strongly ordered, the claim the design needs, and it does not stretch to the bolder claim that no ordering could exist under any sample. The single significant citation coefficient survives even this caution, since a significant result in a small sample is if anything harder to land, but its nesting inside a weak overall model keeps it from bearing more weight than a directional caution can carry.</w:t>
      </w:r>
    </w:p>
    <w:bookmarkEnd w:id="129"/>
    <w:bookmarkStart w:id="130" w:name="the-bridge-to-the-enclosure-test"/>
    <w:p>
      <w:pPr>
        <w:pStyle w:val="Heading2"/>
        <w:spacing w:line="480" w:lineRule="auto"/>
      </w:pPr>
      <w:r>
        <w:t xml:space="preserve">The bridge to the enclosure test</w:t>
      </w:r>
    </w:p>
    <w:p>
      <w:pPr>
        <w:pStyle w:val="FirstParagraph"/>
        <w:spacing w:line="480" w:lineRule="auto"/>
      </w:pPr>
      <w:r>
        <w:t xml:space="preserve">These results work as a bridge, and it helps to say what they carry across. They carry a discipline: pick sources by gear fit, not by fame. They carry a warning: the scholarly record will not answer the enclosure question, so the answer must be built from direct observation. And they carry a showing: the coding and provenance habits that will govern the big site-linked dataset already run on a small, fully chaseable pool. What they do not carry is any substantive claim about lunar conduct, and the chapter has labored to say so at every turn. The enclosure trial opens where these results close, with an evidence setting profiled honestly and a set of instruments proven in miniature, ready to be turned on the conduct that actually matters</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w:t>
      </w:r>
      <w:hyperlink w:anchor="ref-17">
        <w:r>
          <w:rPr>
            <w:rStyle w:val="Hyperlink"/>
          </w:rPr>
          <w:t xml:space="preserve">[17]</w:t>
        </w:r>
      </w:hyperlink>
      <w:r>
        <w:t xml:space="preserve"> </w:t>
      </w:r>
      <w:hyperlink w:anchor="ref-21">
        <w:r>
          <w:rPr>
            <w:rStyle w:val="Hyperlink"/>
          </w:rPr>
          <w:t xml:space="preserve">[21]</w:t>
        </w:r>
      </w:hyperlink>
      <w:r>
        <w:t xml:space="preserve"> </w:t>
      </w:r>
      <w:hyperlink w:anchor="ref-22">
        <w:r>
          <w:rPr>
            <w:rStyle w:val="Hyperlink"/>
          </w:rPr>
          <w:t xml:space="preserve">[22]</w:t>
        </w:r>
      </w:hyperlink>
      <w:r>
        <w:t xml:space="preserve">.</w:t>
      </w:r>
    </w:p>
    <w:bookmarkEnd w:id="130"/>
    <w:bookmarkEnd w:id="131"/>
    <w:bookmarkStart w:id="143" w:name="X21322cb5e29cbf4eb576afddcad42f86ace4e0d"/>
    <w:p>
      <w:pPr>
        <w:pStyle w:val="Heading1"/>
        <w:spacing w:line="480" w:lineRule="auto"/>
      </w:pPr>
      <w:r>
        <w:t xml:space="preserve">Chapter 7. Discussion and Governance Implications</w:t>
      </w:r>
    </w:p>
    <w:p>
      <w:pPr>
        <w:pStyle w:val="FirstParagraph"/>
        <w:spacing w:line="480" w:lineRule="auto"/>
      </w:pPr>
      <w:r>
        <w:t xml:space="preserve">The source-vetting results steer the dissertation toward caution. They do not show lunar resource governance turning enclosed. What they do show is narrower: the research setting will not answer the question on its own. That bears on policy, because lunar governance debates often sprint from principle to prescription, and if the evidence base runs weakly ordered, then recommendations should be pinned to visible conduct rather than to the fame of particular sources or the rhetorical punch of familiar parallels. The discussion below parts what the finished work can back from what only the full design could establish, and it names the validity threats that discipline every claim in between.</w:t>
      </w:r>
    </w:p>
    <w:bookmarkStart w:id="132" w:name="threats-to-validity"/>
    <w:p>
      <w:pPr>
        <w:pStyle w:val="Heading2"/>
        <w:spacing w:line="480" w:lineRule="auto"/>
      </w:pPr>
      <w:r>
        <w:t xml:space="preserve">Threats to validity</w:t>
      </w:r>
    </w:p>
    <w:p>
      <w:pPr>
        <w:pStyle w:val="FirstParagraph"/>
        <w:spacing w:line="480" w:lineRule="auto"/>
      </w:pPr>
      <w:r>
        <w:t xml:space="preserve">Because this chapter draws implications, it must first be candid about what could turn those implications wrong. Four threats stand out. Site-worth confounding is the gravest, because if bunching reflects genuine engineering or geological pull, then reading it as enclosure would flip physics into politics, and no amount of language coding mends that slip after the fact. Language fuzz is second: safety and coordinating wording can ring exclusive without ever working as shutout, and a coder primed to find enclosure will find it in plain caution. Patchy observability is third, since not all intended work areas get made public and some signaling runs sideways, so the record I code is a sample of conduct rather than its whole. Small-N sensitivity is fourth. The weightiest political sites may be few, and that fewness makes inference brittle at exactly the points that carry the most.</w:t>
      </w:r>
    </w:p>
    <w:p>
      <w:pPr>
        <w:pStyle w:val="BodyText"/>
        <w:spacing w:line="480" w:lineRule="auto"/>
        <w:ind w:firstLine="720"/>
      </w:pPr>
      <w:r>
        <w:t xml:space="preserve">These threats are not fatal. They do, though, set the confidence any recommendation can be offered with, and the finished source audit adds a fifth, quieter caution on top. Because the local pool rewards no reliance on older, better-cited, or higher-venue items, governance design cannot lean on scholarly fame as a shortcut to authority. Each recommendation below is thus built from a specific gear, and its strength runs only as far as the evidence for that gear.</w:t>
      </w:r>
    </w:p>
    <w:bookmarkEnd w:id="132"/>
    <w:bookmarkStart w:id="133" w:name="X5934fc4f98bf62fea93b71d8715de5fd0fa2d36"/>
    <w:p>
      <w:pPr>
        <w:pStyle w:val="Heading2"/>
        <w:spacing w:line="480" w:lineRule="auto"/>
      </w:pPr>
      <w:r>
        <w:t xml:space="preserve">Transparency designed around site-linked behavior</w:t>
      </w:r>
    </w:p>
    <w:p>
      <w:pPr>
        <w:pStyle w:val="FirstParagraph"/>
        <w:spacing w:line="480" w:lineRule="auto"/>
      </w:pPr>
      <w:r>
        <w:t xml:space="preserve">A first governance implication is that transparency should be built around site-linked conduct. A many-centered lunar commons cannot run if players disclose only broad wishes. It needs usable information about work areas, timing, risk, and coordinating expectations, and work on operational risk data already leans this way by tying data sharing to norms growth and compliance checking</w:t>
      </w:r>
      <w:r>
        <w:t xml:space="preserve"> </w:t>
      </w:r>
      <w:hyperlink w:anchor="ref-15">
        <w:r>
          <w:rPr>
            <w:rStyle w:val="Hyperlink"/>
          </w:rPr>
          <w:t xml:space="preserve">[15]</w:t>
        </w:r>
      </w:hyperlink>
      <w:r>
        <w:t xml:space="preserve">. The lunar reach is direct. Transparency measures should ease the split between routine safety practice and lasting access grip, which means disclosures need enough detail about place, reach, and span to be coded by an outsider looking in.</w:t>
      </w:r>
    </w:p>
    <w:p>
      <w:pPr>
        <w:pStyle w:val="BodyText"/>
        <w:spacing w:line="480" w:lineRule="auto"/>
        <w:ind w:firstLine="720"/>
      </w:pPr>
      <w:r>
        <w:t xml:space="preserve">Vague transparency runs worse than none, because it launders a fence as openness. Picture the notice: a player will work somewhere in the south polar region, for an unspecified span, guarding an unspecified perimeter. That discloses nothing later arrivals can use and everything a first mover needs. Useful transparency names the site, bounds the span, and states what access others keep. That detail is what turns a disclosure regime into a watching regime.</w:t>
      </w:r>
    </w:p>
    <w:bookmarkEnd w:id="133"/>
    <w:bookmarkStart w:id="134" w:name="safety-zones-bounded-and-reviewable"/>
    <w:p>
      <w:pPr>
        <w:pStyle w:val="Heading2"/>
        <w:spacing w:line="480" w:lineRule="auto"/>
      </w:pPr>
      <w:r>
        <w:t xml:space="preserve">Safety zones, bounded and reviewable</w:t>
      </w:r>
    </w:p>
    <w:p>
      <w:pPr>
        <w:pStyle w:val="FirstParagraph"/>
        <w:spacing w:line="480" w:lineRule="auto"/>
      </w:pPr>
      <w:r>
        <w:t xml:space="preserve">Hazard rings may be needed. Often they will be, because lunar work will bring dust, ejecta, comms limits, dangerous approach paths, and brittle surface infrastructure that a nearby crew genuinely has to respect. The governance question is not whether hazard rings should exist. It is whether they stay tight, time-capped, technically warranted, and open to mutual scrutiny. A hazard ring shielding a specific job for a set span props up coordinating; a wide or standing ring around a scarce site can start to work like a fence. The split should be baked into notice-giving norms and review habits, so that the load falls on the player claiming protection to show the claim actually fits the hazard.</w:t>
      </w:r>
    </w:p>
    <w:p>
      <w:pPr>
        <w:pStyle w:val="BodyText"/>
        <w:spacing w:line="480" w:lineRule="auto"/>
        <w:ind w:firstLine="720"/>
      </w:pPr>
      <w:r>
        <w:t xml:space="preserve">The third implication flows from the same logic. Site-worth controls should join governance talk, not stay a mere research instrument. Should players converge on the same regions because those places are technically better, the governance reply should not just damn the bunching. It should ask instead how shared access, running order, and load sharing can be managed around scarce sites. Technical site studies and infrastructure analyses are thus not walled off from governance; they help settle whether bunching is expected, excessive, or politically fishy</w:t>
      </w:r>
      <w:r>
        <w:t xml:space="preserve"> </w:t>
      </w:r>
      <w:hyperlink w:anchor="ref-24">
        <w:r>
          <w:rPr>
            <w:rStyle w:val="Hyperlink"/>
          </w:rPr>
          <w:t xml:space="preserve">[24]</w:t>
        </w:r>
      </w:hyperlink>
      <w:r>
        <w:t xml:space="preserve"> </w:t>
      </w:r>
      <w:hyperlink w:anchor="ref-25">
        <w:r>
          <w:rPr>
            <w:rStyle w:val="Hyperlink"/>
          </w:rPr>
          <w:t xml:space="preserve">[25]</w:t>
        </w:r>
      </w:hyperlink>
      <w:r>
        <w:t xml:space="preserve">. A governance talk that skipped site worth would either wave off every cluster or damn every cluster, and neither one helps anybody.</w:t>
      </w:r>
    </w:p>
    <w:bookmarkEnd w:id="134"/>
    <w:bookmarkStart w:id="135" w:name="information-architecture-and-access"/>
    <w:p>
      <w:pPr>
        <w:pStyle w:val="Heading2"/>
        <w:spacing w:line="480" w:lineRule="auto"/>
      </w:pPr>
      <w:r>
        <w:t xml:space="preserve">Information architecture and access</w:t>
      </w:r>
    </w:p>
    <w:p>
      <w:pPr>
        <w:pStyle w:val="FirstParagraph"/>
        <w:spacing w:line="480" w:lineRule="auto"/>
      </w:pPr>
      <w:r>
        <w:t xml:space="preserve">A many-centered order needs more than goodwill among early players. It needs data standards, disclosure habits, clash-avoidance channels, and believable ways to contest claims that look like safety but work as grip. Distributed data sharing can prop up that order if it keeps access and trust across players</w:t>
      </w:r>
      <w:r>
        <w:t xml:space="preserve"> </w:t>
      </w:r>
      <w:hyperlink w:anchor="ref-11">
        <w:r>
          <w:rPr>
            <w:rStyle w:val="Hyperlink"/>
          </w:rPr>
          <w:t xml:space="preserve">[11]</w:t>
        </w:r>
      </w:hyperlink>
      <w:r>
        <w:t xml:space="preserve"> </w:t>
      </w:r>
      <w:hyperlink w:anchor="ref-17">
        <w:r>
          <w:rPr>
            <w:rStyle w:val="Hyperlink"/>
          </w:rPr>
          <w:t xml:space="preserve">[17]</w:t>
        </w:r>
      </w:hyperlink>
      <w:r>
        <w:t xml:space="preserve">. Should sharing turn club-based instead, the same architecture can widen the gap, because those inside the club see risks and openings that those outside simply cannot. Governance design should thus mind who can see, verify, and contest operational claims, and it should treat lopsided access to shared data as a governance failure rather than a technical footnote.</w:t>
      </w:r>
    </w:p>
    <w:p>
      <w:pPr>
        <w:pStyle w:val="BodyText"/>
        <w:spacing w:line="480" w:lineRule="auto"/>
        <w:ind w:firstLine="720"/>
      </w:pPr>
      <w:r>
        <w:t xml:space="preserve">The dissertation also speaks to strategic rivalry. The low-Earth-orbit broadband scramble shows how infrastructure can turn geopolitical leverage</w:t>
      </w:r>
      <w:r>
        <w:t xml:space="preserve"> </w:t>
      </w:r>
      <w:hyperlink w:anchor="ref-14">
        <w:r>
          <w:rPr>
            <w:rStyle w:val="Hyperlink"/>
          </w:rPr>
          <w:t xml:space="preserve">[14]</w:t>
        </w:r>
      </w:hyperlink>
      <w:r>
        <w:t xml:space="preserve">. Lunar infrastructure may do likewise. Relay nodes, power rigs, landing pads, resource-processing sites, and supply hubs could make early coordinating patterns sticky, so that the first architecture quietly becomes the default architecture for everyone who follows. The policy chore is not to bar infrastructure. It is to bar infrastructure from silently curdling into a property system outside formal law, where control gets worked through dependency rather than through any claim a treaty could ratify or refuse.</w:t>
      </w:r>
    </w:p>
    <w:bookmarkEnd w:id="135"/>
    <w:bookmarkStart w:id="136" w:name="where-the-disclosure-regime-could-live"/>
    <w:p>
      <w:pPr>
        <w:pStyle w:val="Heading2"/>
        <w:spacing w:line="480" w:lineRule="auto"/>
      </w:pPr>
      <w:r>
        <w:t xml:space="preserve">Where the disclosure regime could live</w:t>
      </w:r>
    </w:p>
    <w:p>
      <w:pPr>
        <w:pStyle w:val="FirstParagraph"/>
        <w:spacing w:line="480" w:lineRule="auto"/>
      </w:pPr>
      <w:r>
        <w:t xml:space="preserve">A recommendation to build a disclosure and coding regime begs the plain question of where such a regime would sit, and the discussion would be lopsided without meeting it. The shared-risk writing hands over a template rather than a venue. The Montreal Protocol worked because it married a scientific watching apparatus to a political forum able to readjust, and the debris-governance parallel drawn off it hints that a lunar disclosure regime needs the same two organs</w:t>
      </w:r>
      <w:r>
        <w:t xml:space="preserve"> </w:t>
      </w:r>
      <w:hyperlink w:anchor="ref-10">
        <w:r>
          <w:rPr>
            <w:rStyle w:val="Hyperlink"/>
          </w:rPr>
          <w:t xml:space="preserve">[10]</w:t>
        </w:r>
      </w:hyperlink>
      <w:r>
        <w:t xml:space="preserve">. One organ codes and posts site-linked conduct against transparent rules. The other convenes the players whose conduct is coded, so that a coded pattern can be aired before it hardens into a fight. Neither organ need open as a treaty body, and the data-sharing work hints that a consortium setup, spread out in the way that keeps access across players, could shoulder the watching function without ever waiting on formal legal machinery</w:t>
      </w:r>
      <w:r>
        <w:t xml:space="preserve"> </w:t>
      </w:r>
      <w:hyperlink w:anchor="ref-11">
        <w:r>
          <w:rPr>
            <w:rStyle w:val="Hyperlink"/>
          </w:rPr>
          <w:t xml:space="preserve">[11]</w:t>
        </w:r>
      </w:hyperlink>
      <w:r>
        <w:t xml:space="preserve"> </w:t>
      </w:r>
      <w:hyperlink w:anchor="ref-17">
        <w:r>
          <w:rPr>
            <w:rStyle w:val="Hyperlink"/>
          </w:rPr>
          <w:t xml:space="preserve">[17]</w:t>
        </w:r>
      </w:hyperlink>
      <w:r>
        <w:t xml:space="preserve">.</w:t>
      </w:r>
    </w:p>
    <w:p>
      <w:pPr>
        <w:pStyle w:val="BodyText"/>
        <w:spacing w:line="480" w:lineRule="auto"/>
        <w:ind w:firstLine="720"/>
      </w:pPr>
      <w:r>
        <w:t xml:space="preserve">The virtue of splitting the two organs is that measurement can open before politics is ready. A watching consortium can code and post lunar site conduct now, using exactly the public records this dissertation flags, and it can do so with no player conceding a legal point. The political forum can trail when a pattern warrants it. That sequencing matters. The alternative, waiting on a full governance instrument before anyone starts measuring, guarantees that the conduct will be locked before the instrument ever lands, and a commons is easier to keep than to win back.</w:t>
      </w:r>
    </w:p>
    <w:bookmarkEnd w:id="136"/>
    <w:bookmarkStart w:id="137" w:name="X5a74237ae640082e58c86a3186ab4eceff17e37"/>
    <w:p>
      <w:pPr>
        <w:pStyle w:val="Heading2"/>
        <w:spacing w:line="480" w:lineRule="auto"/>
      </w:pPr>
      <w:r>
        <w:t xml:space="preserve">Distinguishing this recommendation from arms-control instincts</w:t>
      </w:r>
    </w:p>
    <w:p>
      <w:pPr>
        <w:pStyle w:val="FirstParagraph"/>
        <w:spacing w:line="480" w:lineRule="auto"/>
      </w:pPr>
      <w:r>
        <w:t xml:space="preserve">There is a reflex, when scarce and strategic resources are in play, to grab for control and prohibition. My recommendations dodge that reflex on purpose. The reason repays being voiced, because it parts this analysis from a familiar genre. The goal is not to bar infrastructure, presence, or even priority. A crowded, dangerous lunar surface will sometimes need operational separation, and a relay that tilts toward a corridor may just be sound engineering rather than a grab. Prohibition would run both unenforceable and unwanted, because it would toss away the coordinating gains that scarce-site work genuinely needs to function. The recommendation is tighter and more durable: make priority visible, bounded, and contestable, so that honest operational separation does not slide unseen into de facto property. Visibility, not prohibition, is the move the evidence backs, and it is the one an institution can actually deliver.</w:t>
      </w:r>
    </w:p>
    <w:bookmarkEnd w:id="137"/>
    <w:bookmarkStart w:id="138" w:name="X8d0ce9237f1061b85c2347f2a0d1652f8b17806"/>
    <w:p>
      <w:pPr>
        <w:pStyle w:val="Heading2"/>
        <w:spacing w:line="480" w:lineRule="auto"/>
      </w:pPr>
      <w:r>
        <w:t xml:space="preserve">Designing notification norms that discriminate</w:t>
      </w:r>
    </w:p>
    <w:p>
      <w:pPr>
        <w:pStyle w:val="FirstParagraph"/>
        <w:spacing w:line="480" w:lineRule="auto"/>
      </w:pPr>
      <w:r>
        <w:t xml:space="preserve">If the governance goal is to keep hazard rings from hardening into fences, then notice-giving norms are the lever. They must be built to split the innocent from the exclusionary use of the same wording. A notice norm that only asked players to announce hazard rings would fail, because it would gather exactly the disclosures a first mover is glad to make. A discriminating norm asks more. It asks the announcing player to state the ring’s spatial reach, its span, the specific hazard it meets, and the conditions under which it lapses, and those four traits together are what split a tight, time-capped safety measure from a wide, standing claim on a region. Demanding them shifts the load onto the player to show its ring fits a real hazard rather than suits a strategic slot.</w:t>
      </w:r>
    </w:p>
    <w:p>
      <w:pPr>
        <w:pStyle w:val="BodyText"/>
        <w:spacing w:line="480" w:lineRule="auto"/>
        <w:ind w:firstLine="720"/>
      </w:pPr>
      <w:r>
        <w:t xml:space="preserve">The design of such norms should draw on what the data-sharing writing already knows about compliance checking</w:t>
      </w:r>
      <w:r>
        <w:t xml:space="preserve"> </w:t>
      </w:r>
      <w:hyperlink w:anchor="ref-15">
        <w:r>
          <w:rPr>
            <w:rStyle w:val="Hyperlink"/>
          </w:rPr>
          <w:t xml:space="preserve">[15]</w:t>
        </w:r>
      </w:hyperlink>
      <w:r>
        <w:t xml:space="preserve">. A notice is only as useful as an outsider’s power to check it against conduct. A norm that pairs each hazard-ring announcement with enough detail to verify later whether the ring stayed inside its stated reach turns disclosure into accountability. Lacking that pairing, notice curdles into ritual, a box ticked while the substantive claim swells on unwatched. The dissertation’s coding scheme doubles as a template for the verification such norms would need, since the same reach-span-hazard-access traits that let a coder sort a statement would let a monitor judge whether a player honored it.</w:t>
      </w:r>
    </w:p>
    <w:bookmarkEnd w:id="138"/>
    <w:bookmarkStart w:id="139" w:name="Xfe7f44f6bf381437f708067a0c8ecf431a316a3"/>
    <w:p>
      <w:pPr>
        <w:pStyle w:val="Heading2"/>
        <w:spacing w:line="480" w:lineRule="auto"/>
      </w:pPr>
      <w:r>
        <w:t xml:space="preserve">Verification and the problem of the trusted club</w:t>
      </w:r>
    </w:p>
    <w:p>
      <w:pPr>
        <w:pStyle w:val="FirstParagraph"/>
        <w:spacing w:line="480" w:lineRule="auto"/>
      </w:pPr>
      <w:r>
        <w:t xml:space="preserve">Distributed data sharing is offered all through as the enabling architecture of a lunar commons, and the discussion must meet its failure mode head-on</w:t>
      </w:r>
      <w:r>
        <w:t xml:space="preserve"> </w:t>
      </w:r>
      <w:hyperlink w:anchor="ref-11">
        <w:r>
          <w:rPr>
            <w:rStyle w:val="Hyperlink"/>
          </w:rPr>
          <w:t xml:space="preserve">[11]</w:t>
        </w:r>
      </w:hyperlink>
      <w:r>
        <w:t xml:space="preserve"> </w:t>
      </w:r>
      <w:hyperlink w:anchor="ref-17">
        <w:r>
          <w:rPr>
            <w:rStyle w:val="Hyperlink"/>
          </w:rPr>
          <w:t xml:space="preserve">[17]</w:t>
        </w:r>
      </w:hyperlink>
      <w:r>
        <w:t xml:space="preserve">. Shared information props up a commons only where access to it runs broad. The moment access narrows to a club, the same architecture that pledged transparency starts to cement advantage, because club members can verify one another’s claims and coordinate around outsiders who cannot. A verification regime serving only its own members would rerun a fence inside the very tool meant to bar it. Governance design must thus treat access breadth as a front-line trait of any sharing setup rather than an afterthought, and it should read lopsided access to operational data as a warning sign rather than a neutral technical arrangement.</w:t>
      </w:r>
    </w:p>
    <w:p>
      <w:pPr>
        <w:pStyle w:val="BodyText"/>
        <w:spacing w:line="480" w:lineRule="auto"/>
        <w:ind w:firstLine="720"/>
      </w:pPr>
      <w:r>
        <w:t xml:space="preserve">The practical upshot is a taste for open verification over trusted verification. A regime where any qualified observer can pull site-linked disclosures and check them against conduct runs sturdier than one where a named set of trusted parties does the checking, because the trusted set can itself curdle into the club. This taste has costs. Open verification is harder to secure and slower to build, and yet it lines the architecture up with the commons it is meant to guard. A fence-resistant information system is one whose own membership cannot become a source of shutout.</w:t>
      </w:r>
    </w:p>
    <w:bookmarkEnd w:id="139"/>
    <w:bookmarkStart w:id="140" w:name="the-asymmetric-cost-of-waiting"/>
    <w:p>
      <w:pPr>
        <w:pStyle w:val="Heading2"/>
        <w:spacing w:line="480" w:lineRule="auto"/>
      </w:pPr>
      <w:r>
        <w:t xml:space="preserve">The asymmetric cost of waiting</w:t>
      </w:r>
    </w:p>
    <w:p>
      <w:pPr>
        <w:pStyle w:val="FirstParagraph"/>
        <w:spacing w:line="480" w:lineRule="auto"/>
      </w:pPr>
      <w:r>
        <w:t xml:space="preserve">A final implication touches timing, and it flows from the gap between heading off a fence and reversing one. Conduct-based enclosure, once set, runs dear to undo, because it lives in infrastructure that has been built and habits that have formed. A relay everyone routes through is not easily un-built. A hazard ring later missions have already designed around is not easily contested after the fact. The cost of moving early, by contrast, is modest: it comes to setting disclosure and notice conventions while activity is still light and no player has yet sunk the assets a claim would guard. The asymmetry between a small early cost and a big late one is the strongest case for building a watching capacity now rather than after a fight forces it.</w:t>
      </w:r>
    </w:p>
    <w:p>
      <w:pPr>
        <w:pStyle w:val="BodyText"/>
        <w:spacing w:line="480" w:lineRule="auto"/>
        <w:ind w:firstLine="720"/>
      </w:pPr>
      <w:r>
        <w:t xml:space="preserve">This is where the source-vetting caution and the governance recommendation meet. The audit warns that the scholarly record will not answer the enclosure question on its own, which means the answer must be built from direct observation of conduct. The governance recommendation is to build the very watching capacity that would yield that observation. The two line up neatly, because the instrument the dissertation needs for its next empirical stage is the same instrument governance needs to catch a fence early. Sinking into it serves research and policy at once, and that is an unusually kind slot for a recommendation to hold.</w:t>
      </w:r>
    </w:p>
    <w:bookmarkEnd w:id="140"/>
    <w:bookmarkStart w:id="141" w:name="confidence-calibrated"/>
    <w:p>
      <w:pPr>
        <w:pStyle w:val="Heading2"/>
        <w:spacing w:line="480" w:lineRule="auto"/>
      </w:pPr>
      <w:r>
        <w:t xml:space="preserve">Confidence, calibrated</w:t>
      </w:r>
    </w:p>
    <w:p>
      <w:pPr>
        <w:pStyle w:val="FirstParagraph"/>
        <w:spacing w:line="480" w:lineRule="auto"/>
      </w:pPr>
      <w:r>
        <w:t xml:space="preserve">Source-vetting findings cool the confidence these recommendations get offered with. The local pool rewards no easy reliance on older, better-cited, or higher venue-score items, so governance design should be built from gear-specific evidence. If a source accounts for trust plumbing, use it for trust plumbing. If it accounts for sustainability design, use it for sustainability design. If it accounts for the infrastructure contest, use it for that. No one body of writing should be asked to shoulder the whole lunar resource problem, and the audit is a standing reminder that borrowing authority across gears is how measurement efforts drift into assertion.</w:t>
      </w:r>
    </w:p>
    <w:p>
      <w:pPr>
        <w:pStyle w:val="BodyText"/>
        <w:spacing w:line="480" w:lineRule="auto"/>
        <w:ind w:firstLine="720"/>
      </w:pPr>
      <w:r>
        <w:t xml:space="preserve">One practical recommendation stands out: a disclosure and coding regime for lunar site activity. Public records should let observers code where players mean to work, what site traits warrant that pick, what safety expectations are asked, how long those expectations run, and whether other players keep reasonable access. Such a regime would not settle every legal question. It would, though, make a fence visible if a fence starts to form, and visibility is the first condition for accountability. The bigger point is that the commons-versus-enclosure debate should be shifted from parallel to observables. Should lunar governance stay cooperative, the record should show spread-out access, tight safety habits, transparent site-worth reasons, and mutual data sharing. Should it drift toward a fence, the record should show packed bunching, priority wording, infrastructure dependencies, and curbed practical access. Policy should be built to catch that split early, while norms are still cheap to lay down and before conduct has hardened into fact.</w:t>
      </w:r>
    </w:p>
    <w:bookmarkEnd w:id="141"/>
    <w:bookmarkStart w:id="142" w:name="who-should-act-and-with-what-mandate"/>
    <w:p>
      <w:pPr>
        <w:pStyle w:val="Heading2"/>
        <w:spacing w:line="480" w:lineRule="auto"/>
      </w:pPr>
      <w:r>
        <w:t xml:space="preserve">Who should act, and with what mandate</w:t>
      </w:r>
    </w:p>
    <w:p>
      <w:pPr>
        <w:pStyle w:val="FirstParagraph"/>
        <w:spacing w:line="480" w:lineRule="auto"/>
      </w:pPr>
      <w:r>
        <w:t xml:space="preserve">Recommendations float unless someone can plausibly carry them, so the discussion closes on agency. The watching function, coding site-linked conduct against transparent rules, needs no mandate to compel anyone. It needs only access to public records and a pledge to post. That leaves it open to a wide range of players: a multilateral secretariat, a consortium of space agencies, a standards body, or even an academic or civil-society group, since the raw stuff is already public. The distributed data-sharing writing hints that a consortium setup keeping broad access would suit the chore well, so long as its membership does not narrow into a club</w:t>
      </w:r>
      <w:r>
        <w:t xml:space="preserve"> </w:t>
      </w:r>
      <w:hyperlink w:anchor="ref-11">
        <w:r>
          <w:rPr>
            <w:rStyle w:val="Hyperlink"/>
          </w:rPr>
          <w:t xml:space="preserve">[11]</w:t>
        </w:r>
      </w:hyperlink>
      <w:r>
        <w:t xml:space="preserve"> </w:t>
      </w:r>
      <w:hyperlink w:anchor="ref-17">
        <w:r>
          <w:rPr>
            <w:rStyle w:val="Hyperlink"/>
          </w:rPr>
          <w:t xml:space="preserve">[17]</w:t>
        </w:r>
      </w:hyperlink>
      <w:r>
        <w:t xml:space="preserve">. The low bar to entry is a strength, because it means watching can open without waiting on the political consensus a compulsory regime would demand.</w:t>
      </w:r>
    </w:p>
    <w:p>
      <w:pPr>
        <w:pStyle w:val="BodyText"/>
        <w:spacing w:line="480" w:lineRule="auto"/>
        <w:ind w:firstLine="720"/>
      </w:pPr>
      <w:r>
        <w:t xml:space="preserve">The readjustment function runs harder, and it needs a forum with standing among the players whose conduct is coded. Here the shared-risk precedent instructs rather than prescribes: the Montreal regime married watching to a body able to revise commitments as evidence stacked up</w:t>
      </w:r>
      <w:r>
        <w:t xml:space="preserve"> </w:t>
      </w:r>
      <w:hyperlink w:anchor="ref-10">
        <w:r>
          <w:rPr>
            <w:rStyle w:val="Hyperlink"/>
          </w:rPr>
          <w:t xml:space="preserve">[10]</w:t>
        </w:r>
      </w:hyperlink>
      <w:r>
        <w:t xml:space="preserve">. A lunar twin need not copy that structure, but it does need some venue where a coded pattern can be aired before it turns into a fight. The dissertation does not presume to design that venue. It notes only that the two functions can be split, that watching can and should open first, and that a watching capacity, once built, hands any eventual forum the evidential footing it would otherwise want. Building the capacity is the actionable step. Convening the forum can trail the evidence rather than lead it, and the sequence matters because it lowers the political cost of starting. No player need concede a legal slot to permit the coding of records that are already public, and a watching effort framed as observation rather than regulation stands up far more easily than a rule-making body. Once the evidence exists, the case for a forum makes itself, because a documented pattern is harder to wave off than an anticipated one.</w:t>
      </w:r>
    </w:p>
    <w:bookmarkEnd w:id="142"/>
    <w:bookmarkEnd w:id="143"/>
    <w:bookmarkStart w:id="189" w:name="chapter-8.-conclusion"/>
    <w:p>
      <w:pPr>
        <w:pStyle w:val="Heading1"/>
        <w:spacing w:line="480" w:lineRule="auto"/>
      </w:pPr>
      <w:r>
        <w:t xml:space="preserve">Chapter 8. Conclusion</w:t>
      </w:r>
    </w:p>
    <w:p>
      <w:pPr>
        <w:pStyle w:val="FirstParagraph"/>
        <w:spacing w:line="480" w:lineRule="auto"/>
      </w:pPr>
      <w:r>
        <w:t xml:space="preserve">This dissertation asks whether budding conduct around high-value lunar resource sites squares better with a many-centered commons or with earliest-mover enclosure, and it takes that question as empirical rather than rhetorical. The Moon may stay legally off-limits to ownership while certain places fall under working control through early arrival, infrastructure, safety expectations, and repeated priority wording. The chore is to measure whether that is happening, and to fix ahead of time what would count as evidence either way. A question framed that carefully yields to observation rather than to conviction.</w:t>
      </w:r>
    </w:p>
    <w:p>
      <w:pPr>
        <w:pStyle w:val="BodyText"/>
        <w:spacing w:line="480" w:lineRule="auto"/>
        <w:ind w:firstLine="720"/>
      </w:pPr>
      <w:r>
        <w:t xml:space="preserve">The spine of the argument is that scale changes the question. In the abstract, the commons-versus-enclosure debate is a duel of principles. On a lunar surface where only a handful of rims hold light near only a handful of believable ice deposits, and where every planner already knows which rims and which deposits those are, it curdles into a duel over specific, hard-to-swap places that no amount of goodwill can multiply. The dissertation’s contribution is to greet that concreteness with measurement rather than with a keener parallel.</w:t>
      </w:r>
    </w:p>
    <w:bookmarkStart w:id="144" w:name="the-conservative-test"/>
    <w:p>
      <w:pPr>
        <w:pStyle w:val="Heading2"/>
        <w:spacing w:line="480" w:lineRule="auto"/>
      </w:pPr>
      <w:r>
        <w:t xml:space="preserve">The conservative test</w:t>
      </w:r>
    </w:p>
    <w:p>
      <w:pPr>
        <w:pStyle w:val="FirstParagraph"/>
        <w:spacing w:line="480" w:lineRule="auto"/>
      </w:pPr>
      <w:r>
        <w:t xml:space="preserve">A cautious test is the core contribution. The dissertation does not read enclosure off scarcity alone.</w:t>
      </w:r>
    </w:p>
    <w:p>
      <w:pPr>
        <w:pStyle w:val="BodyText"/>
        <w:spacing w:line="480" w:lineRule="auto"/>
        <w:ind w:firstLine="720"/>
      </w:pPr>
      <w:r>
        <w:t xml:space="preserve">It demands spatial bunching that clears a cooperative benchmark once site worth is granted, paired with wording or practice hinting at lasting priority or curbed access. That bar shields the analysis from mixing engineering reality up with political seizure, and it hands the commons account a fair shot at survival. Should players cluster at prized sites yet use transparent, tight, mutual coordinating habits, the evidence may back a many-centered order rather than a fence. The test is built to be able to clear the players it examines, the mark of a test worth running.</w:t>
      </w:r>
    </w:p>
    <w:p>
      <w:pPr>
        <w:pStyle w:val="BodyText"/>
        <w:spacing w:line="480" w:lineRule="auto"/>
        <w:ind w:firstLine="720"/>
      </w:pPr>
      <w:r>
        <w:t xml:space="preserve">The writing accounts for why the question is timely without answering it. Operational risk data and distributed sharing can prop up norms, trust, and compliance checking</w:t>
      </w:r>
      <w:r>
        <w:t xml:space="preserve"> </w:t>
      </w:r>
      <w:hyperlink w:anchor="ref-15">
        <w:r>
          <w:rPr>
            <w:rStyle w:val="Hyperlink"/>
          </w:rPr>
          <w:t xml:space="preserve">[15]</w:t>
        </w:r>
      </w:hyperlink>
      <w:r>
        <w:t xml:space="preserve"> </w:t>
      </w:r>
      <w:hyperlink w:anchor="ref-17">
        <w:r>
          <w:rPr>
            <w:rStyle w:val="Hyperlink"/>
          </w:rPr>
          <w:t xml:space="preserve">[17]</w:t>
        </w:r>
      </w:hyperlink>
      <w:r>
        <w:t xml:space="preserve">. Governance models across the space sector are bending as commercial and institutional players mesh in fresh shapes</w:t>
      </w:r>
      <w:r>
        <w:t xml:space="preserve"> </w:t>
      </w:r>
      <w:hyperlink w:anchor="ref-21">
        <w:r>
          <w:rPr>
            <w:rStyle w:val="Hyperlink"/>
          </w:rPr>
          <w:t xml:space="preserve">[21]</w:t>
        </w:r>
      </w:hyperlink>
      <w:r>
        <w:t xml:space="preserve">. Sustainability frames remind us that space activity ties into wider systems of responsibility</w:t>
      </w:r>
      <w:r>
        <w:t xml:space="preserve"> </w:t>
      </w:r>
      <w:hyperlink w:anchor="ref-22">
        <w:r>
          <w:rPr>
            <w:rStyle w:val="Hyperlink"/>
          </w:rPr>
          <w:t xml:space="preserve">[22]</w:t>
        </w:r>
      </w:hyperlink>
      <w:r>
        <w:t xml:space="preserve">. The infrastructure contest shows that access architectures can turn strategic with no formal territorial claim</w:t>
      </w:r>
      <w:r>
        <w:t xml:space="preserve"> </w:t>
      </w:r>
      <w:hyperlink w:anchor="ref-14">
        <w:r>
          <w:rPr>
            <w:rStyle w:val="Hyperlink"/>
          </w:rPr>
          <w:t xml:space="preserve">[14]</w:t>
        </w:r>
      </w:hyperlink>
      <w:r>
        <w:t xml:space="preserve">. These bodies of writing supply gears. None of them, alone or stacked, tells us whether lunar claiming has crossed from coordinating into control, and that is the hole the dissertation is designed to close.</w:t>
      </w:r>
    </w:p>
    <w:bookmarkEnd w:id="144"/>
    <w:bookmarkStart w:id="145" w:name="what-the-completed-work-contributes"/>
    <w:p>
      <w:pPr>
        <w:pStyle w:val="Heading2"/>
        <w:spacing w:line="480" w:lineRule="auto"/>
      </w:pPr>
      <w:r>
        <w:t xml:space="preserve">What the completed work contributes</w:t>
      </w:r>
    </w:p>
    <w:p>
      <w:pPr>
        <w:pStyle w:val="FirstParagraph"/>
        <w:spacing w:line="480" w:lineRule="auto"/>
      </w:pPr>
      <w:r>
        <w:t xml:space="preserve">The two finished empirical papers add a different kind of contribution. They vet the local writing pool and show it is not cleanly ordered by recency, venue score, citation count, or age. Paper 1 finds weak explanatory power for topic-signal intensity, with citation count running negative against signal score in the local sample. Paper 2 finds no meaningful tie between a paper’s age and its citation accumulation. These results do not estimate lunar enclosure. They discipline the research run by showing that the dissertation must pick sources by conceptual relevance and gear fit rather than by fame. A project that swallowed its writing’s ranks uncritically would have swallowed a rank that, in this pool, points the wrong way.</w:t>
      </w:r>
    </w:p>
    <w:p>
      <w:pPr>
        <w:pStyle w:val="BodyText"/>
        <w:spacing w:line="480" w:lineRule="auto"/>
        <w:ind w:firstLine="720"/>
      </w:pPr>
      <w:r>
        <w:t xml:space="preserve">Stating that line is itself part of the contribution. Doctoral work on a heated policy question sits under constant pressure to claim more than its evidence backs, and the lure here would be to let a disciplined source audit pose as partial proof of a fence. It is not. The vetted papers establish how to read the field, not what the field’s subjects are doing on the lunar surface. Holding those two things apart is what lets the eventual enclosure trial carry weight.</w:t>
      </w:r>
    </w:p>
    <w:bookmarkEnd w:id="145"/>
    <w:bookmarkStart w:id="146" w:name="the-contribution-in-its-field"/>
    <w:p>
      <w:pPr>
        <w:pStyle w:val="Heading2"/>
        <w:spacing w:line="480" w:lineRule="auto"/>
      </w:pPr>
      <w:r>
        <w:t xml:space="preserve">The contribution in its field</w:t>
      </w:r>
    </w:p>
    <w:p>
      <w:pPr>
        <w:pStyle w:val="FirstParagraph"/>
        <w:spacing w:line="480" w:lineRule="auto"/>
      </w:pPr>
      <w:r>
        <w:t xml:space="preserve">It helps to state precisely what this dissertation adds that its neighbors do not. The commons-and-enclosure debate in space governance has been, until now, largely a duel of well-argued stances, each drawing on parallel and principle. Some scholars have argued persuasively that the Moon should be a commons, and others have warned convincingly that first movers will fence it. What has been missing is a way to tell, off the record players are already making, which future is arriving. The dissertation’s addition is not one more stance in that duel. It is a spelling-out of what the duel’s rival claims imply for visible conduct, and a design able to check those implications. That is a shift in kind, from argument to measurement, and it is the shift the field most needs if its normative heat is to be disciplined by evidence.</w:t>
      </w:r>
    </w:p>
    <w:p>
      <w:pPr>
        <w:pStyle w:val="BodyText"/>
        <w:spacing w:line="480" w:lineRule="auto"/>
        <w:ind w:firstLine="720"/>
      </w:pPr>
      <w:r>
        <w:t xml:space="preserve">The finished source-vetting papers make a smaller but genuine contribution of their own. By showing the local writing setting is not ordered by recency, venue, citation count, or age, they establish that a governance dissertation in this area cannot farm its judgment out to bibliometrics. Sources here must be picked by what they account for. That finding travels past this candidate’s pool, because it is a caution any measurement-minded space governance project should heed when it assembles its own evidence base off retrieval across mixed venues.</w:t>
      </w:r>
    </w:p>
    <w:bookmarkEnd w:id="146"/>
    <w:bookmarkStart w:id="147" w:name="program-relevance"/>
    <w:p>
      <w:pPr>
        <w:pStyle w:val="Heading2"/>
        <w:spacing w:line="480" w:lineRule="auto"/>
      </w:pPr>
      <w:r>
        <w:t xml:space="preserve">Program relevance</w:t>
      </w:r>
    </w:p>
    <w:p>
      <w:pPr>
        <w:pStyle w:val="FirstParagraph"/>
        <w:spacing w:line="480" w:lineRule="auto"/>
      </w:pPr>
      <w:r>
        <w:t xml:space="preserve">For program and policy audiences, the relevance is direct. Agencies and multilateral bodies planning cislunar activity face a choice about how much of their coordinating conduct to make legible, and to whom. The dissertation recasts that choice as the core governance decision it is. Legibility is not a courtesy players extend once trust exists. It is the precondition that lets trust form, because it is what lets one player verify that another’s hazard perimeter fits, that its relay is a convenience rather than a chokepoint, and that its early arrival has not curdled into a standing claim. A program that bakes legibility into its lunar work from the start is choosing a commons; one that runs opaque is, whatever it says, leaving the door to a fence ajar. That framing hands program managers a concrete lever, the design of their own disclosure habits, rather than an abstract plea to cooperate.</w:t>
      </w:r>
    </w:p>
    <w:bookmarkEnd w:id="147"/>
    <w:bookmarkStart w:id="148" w:name="a-research-agenda"/>
    <w:p>
      <w:pPr>
        <w:pStyle w:val="Heading2"/>
        <w:spacing w:line="480" w:lineRule="auto"/>
      </w:pPr>
      <w:r>
        <w:t xml:space="preserve">A research agenda</w:t>
      </w:r>
    </w:p>
    <w:p>
      <w:pPr>
        <w:pStyle w:val="FirstParagraph"/>
        <w:spacing w:line="480" w:lineRule="auto"/>
      </w:pPr>
      <w:r>
        <w:t xml:space="preserve">The dissertation thus closes on a clear agenda. The next empirical step is a coded dataset of public lunar site-linked conduct. That dataset should carry mission notices, safety and coordinating wording, relay and comms stand-ins, site-worth controls, and chaseable source pointers, and it should be paired with qualitative process tracing of contested high-worth sites. The combined design would let scholars and policymakers split routine coordinating from working shutout, and it would do so with a benchmark that grants the engineering reasons everyone crowds the same few places. Building that dataset is demanding, but the coding scheme, the constructs, and the identification comparisons already stand spelled out in the preceding chapters, so the path from design to estimate is laid out rather than merely waved at.</w:t>
      </w:r>
    </w:p>
    <w:p>
      <w:pPr>
        <w:pStyle w:val="BodyText"/>
        <w:spacing w:line="480" w:lineRule="auto"/>
        <w:ind w:firstLine="720"/>
      </w:pPr>
      <w:r>
        <w:t xml:space="preserve">For governance, the upshot is immediate. Institutions should not wait until lunar access fights harden before asking how a fence would be caught. Transparency standards, hazard-ring norms, site-worth disclosures, and distributed verification habits can be built now, while they are still cheap to lay down. The goal is not to bar all priority or all operational separation, because a crowded and dangerous surface will sometimes need both. The goal is to make sure priority stays warranted, bounded, contestable, and in tune with a shared lunar future, so operational necessity does not quietly curdle into a property claim by another name.</w:t>
      </w:r>
    </w:p>
    <w:bookmarkEnd w:id="148"/>
    <w:bookmarkStart w:id="149" w:name="what-this-dissertation-cannot-claim"/>
    <w:p>
      <w:pPr>
        <w:pStyle w:val="Heading2"/>
        <w:spacing w:line="480" w:lineRule="auto"/>
      </w:pPr>
      <w:r>
        <w:t xml:space="preserve">What this dissertation cannot claim</w:t>
      </w:r>
    </w:p>
    <w:p>
      <w:pPr>
        <w:pStyle w:val="FirstParagraph"/>
        <w:spacing w:line="480" w:lineRule="auto"/>
      </w:pPr>
      <w:r>
        <w:t xml:space="preserve">A conclusion earns trust partly by what it declines to assert, and this one declines several things. It does not claim a lunar fence is underway, because the finished work has not measured lunar claiming. It does not claim a commons is safe, because the same hole cuts both ways. It does not claim the two source-vetting papers bear on the enclosure question directly, because they vet the writing setting and nothing past that. And it does not claim the eventual coded dataset will find a fence, because a design built to be breakable must be willing to hand back the commons verdict if the record backs it. These refusals are not modesty for its own sake. They mark the line between what has been shown and what remains, and a dissertation that smeared that line would swap its credibility for a bolder-sounding close.</w:t>
      </w:r>
    </w:p>
    <w:p>
      <w:pPr>
        <w:pStyle w:val="BodyText"/>
        <w:spacing w:line="480" w:lineRule="auto"/>
        <w:ind w:firstLine="720"/>
      </w:pPr>
      <w:r>
        <w:t xml:space="preserve">Limits flagged across the preceding chapters compound into one honest summary. Site-worth confounding could still mislead a design that measures bunching; language fuzz could still puff an exclusion tally; patchy observability leaves a hidden share of conduct uncoded; and small numbers of contested sites make inference sensitive to coding calls. Each threat has a softener, and none has a cure. The right reply is not to wish the threats away but to relay any future finding with uncertainty scaled to them, so a charge of enclosure would land hedged by exactly the doubts that could undo it.</w:t>
      </w:r>
    </w:p>
    <w:bookmarkEnd w:id="149"/>
    <w:bookmarkStart w:id="150" w:name="future-work"/>
    <w:p>
      <w:pPr>
        <w:pStyle w:val="Heading2"/>
        <w:spacing w:line="480" w:lineRule="auto"/>
      </w:pPr>
      <w:r>
        <w:t xml:space="preserve">Future work</w:t>
      </w:r>
    </w:p>
    <w:p>
      <w:pPr>
        <w:pStyle w:val="FirstParagraph"/>
        <w:spacing w:line="480" w:lineRule="auto"/>
      </w:pPr>
      <w:r>
        <w:t xml:space="preserve">This agenda stretches in several concrete directions past the core coded dataset. The first is building and publicly releasing the site-linked pool itself, with its coding rules, source pointers, and fuzzy labels intact, so other researchers can vet and stretch it rather than rebuild it. A shared, chaseable dataset would let the commons-versus-enclosure question turn into a cumulative empirical program rather than a run of isolated arguments. The second direction is methodological sharpening of the cooperative benchmark, since the credibility of any enclosure finding rides on how convincingly the counterfactual spread is modeled, and rival benchmark builds warrant systematic comparison rather than a lone default.</w:t>
      </w:r>
    </w:p>
    <w:p>
      <w:pPr>
        <w:pStyle w:val="BodyText"/>
        <w:spacing w:line="480" w:lineRule="auto"/>
        <w:ind w:firstLine="720"/>
      </w:pPr>
      <w:r>
        <w:t xml:space="preserve">A third direction is comparative. Once the lunar instruments exist, they can be turned on other scarce-resource settings that meet the scope conditions, from particular orbital regimes to eventual work at other bodies, testing whether the enclosure gear switches on and off with local settings as the theory forecasts. A fourth direction ties the measurement program to the governance recommendation, by studying whether laying down a discriminating notice norm actually shifts the conduct record, which would turn the dissertation’s policy proposal into a testable intervention rather than a standing suggestion. Each direction builds on the machinery spelled out here, and together they sketch a program where measurement and governance advance in step.</w:t>
      </w:r>
    </w:p>
    <w:bookmarkEnd w:id="150"/>
    <w:bookmarkStart w:id="151" w:name="the-final-claim"/>
    <w:p>
      <w:pPr>
        <w:pStyle w:val="Heading2"/>
        <w:spacing w:line="480" w:lineRule="auto"/>
      </w:pPr>
      <w:r>
        <w:t xml:space="preserve">The final claim</w:t>
      </w:r>
    </w:p>
    <w:p>
      <w:pPr>
        <w:pStyle w:val="FirstParagraph"/>
        <w:spacing w:line="480" w:lineRule="auto"/>
      </w:pPr>
      <w:r>
        <w:t xml:space="preserve">One final claim remains, modest and consequential at once. A lunar commons will not last because players christen it one. Words run cheap. It will last only if public conduct keeps squaring, notice after notice and mission after mission, with the demands of shared access under genuine scarcity. Should the record start to show packed control and lasting exclusion, governance institutions must be able to catch it and reply, and they can only ever reply to what they can measure. Measurement is thus no technical appendix to lunar governance. It is one of the conditions under which a commons can stay a commons, and spelling out that measurement, honestly bounded and breakable, is the work this dissertation has tried to do.</w:t>
      </w:r>
    </w:p>
    <w:bookmarkEnd w:id="151"/>
    <w:bookmarkStart w:id="152" w:name="the-discipline-of-a-bounded-claim"/>
    <w:p>
      <w:pPr>
        <w:pStyle w:val="Heading2"/>
        <w:spacing w:line="480" w:lineRule="auto"/>
      </w:pPr>
      <w:r>
        <w:t xml:space="preserve">The discipline of a bounded claim</w:t>
      </w:r>
    </w:p>
    <w:p>
      <w:pPr>
        <w:pStyle w:val="FirstParagraph"/>
        <w:spacing w:line="480" w:lineRule="auto"/>
      </w:pPr>
      <w:r>
        <w:t xml:space="preserve">A quiet argument runs beneath this dissertation about how contested questions should be studied. The commons-versus-enclosure debate invites big claims, because the stakes run big and the lure to settle them by sheer argument runs strong. I have tried to fight that lure at every stage, not by shrinking the ambition but by pinning the claims to what evidence can back. It fixes enclosure and commons in visible terms so neither can be asserted by rhetoric. It builds controls so engineering worth is not mistaken for political grip. It sets a high bar of proof so a false charge is as hard to reach as a missed catch. And it relays its finished results, weak as they run, with no dressing up. Each of these calls costs something in immediate persuasive punch. Together they buy something worth more, a study whose conclusions, when they land, will be worth believing.</w:t>
      </w:r>
    </w:p>
    <w:p>
      <w:pPr>
        <w:pStyle w:val="BodyText"/>
        <w:spacing w:line="480" w:lineRule="auto"/>
        <w:ind w:firstLine="720"/>
      </w:pPr>
      <w:r>
        <w:t xml:space="preserve">This discipline is also the dissertation’s reply to a field carrying more conviction than measurement. Conviction is no flaw; the scholars who argue for a lunar commons or warn of a fence are answering real stakes with real insight. What the field wants is a way to check its convictions against the record players are already making. The dissertation supplies that check, and in doing so it shifts the terms the debate can run on. After this design exists, a charge of enclosure can be asked to meet its evidential bar, and a claim of commons can be asked to survive the same test. The debate turns answerable, the most a dissertation at this stage can hope to make it.</w:t>
      </w:r>
    </w:p>
    <w:bookmarkEnd w:id="152"/>
    <w:bookmarkStart w:id="153" w:name="a-closing-reflection"/>
    <w:p>
      <w:pPr>
        <w:pStyle w:val="Heading2"/>
        <w:spacing w:line="480" w:lineRule="auto"/>
      </w:pPr>
      <w:r>
        <w:t xml:space="preserve">A closing reflection</w:t>
      </w:r>
    </w:p>
    <w:p>
      <w:pPr>
        <w:pStyle w:val="FirstParagraph"/>
        <w:spacing w:line="480" w:lineRule="auto"/>
      </w:pPr>
      <w:r>
        <w:t xml:space="preserve">The Moon has long served as a screen onto which earthly hopes and dreads about governance get thrown. It has been pictured as humanity’s shared inheritance and as the next arena of great-power rivalry, sometimes in one breath. What is new is that the pictures are starting to meet hardware. Landers are being built, sites are being named, relays are being planned, and the abstractions of the governance debate are picking up coordinates. That convergence is what makes measurement both possible and urgent. Possible, because conduct at real sites can at last be caught. Urgent, because the conduct being caught now is the conduct that will set the defaults for what trails it.</w:t>
      </w:r>
    </w:p>
    <w:p>
      <w:pPr>
        <w:pStyle w:val="BodyText"/>
        <w:spacing w:line="480" w:lineRule="auto"/>
        <w:ind w:firstLine="720"/>
      </w:pPr>
      <w:r>
        <w:t xml:space="preserve">The dissertation’s wager is that the future of the lunar commons is not yet settled, and that keeping it unsettled, keeping both futures truly open, rides on the capacity to see which way conduct is tending before it tends too far. A commons no one can watch will be fenced in the dark, its fencing caught only when the barriers, built of infrastructure and habit rather than posts, are already too dear to pull. A commons that can be watched has a shot, because its defenders can move on evidence while moving is still cheap. Building that capacity to watch is not the whole of lunar governance. It is the precondition for the rest of it, and it is the contribution this dissertation has set out to make.</w:t>
      </w:r>
    </w:p>
    <w:p>
      <w:pPr>
        <w:pStyle w:val="BodyText"/>
        <w:spacing w:line="480" w:lineRule="auto"/>
        <w:ind w:firstLine="720"/>
      </w:pPr>
      <w:r>
        <w:t xml:space="preserve">The path from here is clear even where the destination is not. The instruments are spelled out, the coding rules are fixed, the finished source-vetting work has proven the habits in miniature, and the scope conditions mark where the enclosure gear ought and ought not to appear. What remains is the labor of building the site-linked dataset and turning the design on the conduct it was made to catch. That labor is heavy, and it is the ordinary business of empirical scholarship: patient coding, honest provenance, and a willingness to relay whichever verdict the record hands over. I have tried to make that labor worth taking up by making sure its result, commons or fence, will rest on evidence rather than on the eloquence of whoever argues loudest. A question that can be settled by evidence is a question worth the work, and the settling of this one, on terms this design has tried to make fair, is left to the empirical program these chapters have readied. Should that program find a commons, the finding will mean something because it could have found otherwise. Should it find a fence, the same holds. Either way, the debate will have won what it most wanted, a record it can be held to, and the Moon’s contested ground will have turned, at last, into a matter of measurement rather than assertion.</w:t>
      </w:r>
    </w:p>
    <w:p>
      <w:pPr>
        <w:pStyle w:val="BodyText"/>
        <w:spacing w:line="480" w:lineRule="auto"/>
        <w:ind w:firstLine="720"/>
      </w:pPr>
      <w:r>
        <w:t xml:space="preserve">One last point closes the argument. The worth of a breakable design is that it binds its author as much as its subjects. Having spelled out ahead of time what a fence and a commons would each look like, the dissertation forfeits the option of reading the record to suit a favored close. That forfeiture is the discipline the whole project has been built to accept, and it is what parts a measurement from an opinion. The commons the Moon may yet become will be defended, if at all, by people willing to be told they were wrong. This dissertation has tried to be one instrument such people could use.</w:t>
      </w:r>
    </w:p>
    <w:bookmarkEnd w:id="153"/>
    <w:bookmarkStart w:id="188" w:name="references"/>
    <w:p>
      <w:pPr>
        <w:pStyle w:val="Heading2"/>
        <w:spacing w:line="480" w:lineRule="auto"/>
      </w:pPr>
      <w:r>
        <w:t xml:space="preserve">References</w:t>
      </w:r>
    </w:p>
    <w:p>
      <w:pPr>
        <w:pStyle w:val="FirstParagraph"/>
        <w:spacing w:line="480" w:lineRule="auto"/>
      </w:pPr>
      <w:bookmarkStart w:id="154" w:name="ref-1"/>
      <w:bookmarkEnd w:id="154"/>
      <w:r>
        <w:t xml:space="preserve">1. R. Zhang and A. Balakrishnan,</w:t>
      </w:r>
      <w:r>
        <w:t xml:space="preserve"> </w:t>
      </w:r>
      <w:r>
        <w:t xml:space="preserve">“From Ozone Depletion to Orbital Debris: Lessons Learned from the Montreal Protocol,”</w:t>
      </w:r>
      <w:r>
        <w:t xml:space="preserve"> </w:t>
      </w:r>
      <w:r>
        <w:t xml:space="preserve">AMOS, 2022.</w:t>
      </w:r>
    </w:p>
    <w:p>
      <w:pPr>
        <w:pStyle w:val="BodyText"/>
        <w:spacing w:line="480" w:lineRule="auto"/>
        <w:ind w:firstLine="720"/>
      </w:pPr>
      <w:bookmarkStart w:id="155" w:name="ref-2"/>
      <w:bookmarkEnd w:id="155"/>
      <w:r>
        <w:t xml:space="preserve">2. A. Mokhnatkin,</w:t>
      </w:r>
      <w:r>
        <w:t xml:space="preserve"> </w:t>
      </w:r>
      <w:r>
        <w:t xml:space="preserve">“Possible Ways Forward for the ISON Initiative and Similar Projects. A Consortium for Decentralized Sharing of SSA Data,”</w:t>
      </w:r>
      <w:r>
        <w:t xml:space="preserve"> </w:t>
      </w:r>
      <w:r>
        <w:t xml:space="preserve">AMOS, 2023, doi:</w:t>
      </w:r>
      <w:r>
        <w:t xml:space="preserve"> </w:t>
      </w:r>
      <w:hyperlink r:id="rId156">
        <w:r>
          <w:rPr>
            <w:rStyle w:val="Hyperlink"/>
          </w:rPr>
          <w:t xml:space="preserve">10.64861/DDNM3393</w:t>
        </w:r>
      </w:hyperlink>
    </w:p>
    <w:p>
      <w:pPr>
        <w:pStyle w:val="BodyText"/>
        <w:spacing w:line="480" w:lineRule="auto"/>
        <w:ind w:firstLine="720"/>
      </w:pPr>
      <w:bookmarkStart w:id="157" w:name="ref-3"/>
      <w:bookmarkEnd w:id="157"/>
      <w:r>
        <w:t xml:space="preserve">3. M. Young and A. Thadani,</w:t>
      </w:r>
      <w:r>
        <w:t xml:space="preserve"> </w:t>
      </w:r>
      <w:r>
        <w:t xml:space="preserve">“Low-Orbit, High Stakes: Winning the LEO Broadband Competition,”</w:t>
      </w:r>
      <w:r>
        <w:t xml:space="preserve"> </w:t>
      </w:r>
      <w:r>
        <w:t xml:space="preserve">Center for Strategic and International Studies, 2022.</w:t>
      </w:r>
    </w:p>
    <w:p>
      <w:pPr>
        <w:pStyle w:val="BodyText"/>
        <w:spacing w:line="480" w:lineRule="auto"/>
        <w:ind w:firstLine="720"/>
      </w:pPr>
      <w:bookmarkStart w:id="158" w:name="ref-4"/>
      <w:bookmarkEnd w:id="158"/>
      <w:r>
        <w:t xml:space="preserve">4. H. Reed, R. Stilwell, B. Weeden, N. Dailey, and N. Tsamis,</w:t>
      </w:r>
      <w:r>
        <w:t xml:space="preserve"> </w:t>
      </w:r>
      <w:r>
        <w:t xml:space="preserve">“Sharing Operational Risk Information in the Space Domain to Facilitate Norms Development and Compliance Monitoring,”</w:t>
      </w:r>
      <w:r>
        <w:t xml:space="preserve"> </w:t>
      </w:r>
      <w:r>
        <w:t xml:space="preserve">AMOS, 2022.</w:t>
      </w:r>
    </w:p>
    <w:p>
      <w:pPr>
        <w:pStyle w:val="BodyText"/>
        <w:spacing w:line="480" w:lineRule="auto"/>
        <w:ind w:firstLine="720"/>
      </w:pPr>
      <w:bookmarkStart w:id="159" w:name="ref-5"/>
      <w:bookmarkEnd w:id="159"/>
      <w:r>
        <w:t xml:space="preserve">5. H. Reed, N. Dailey, R. Stilwell, and B. Weeden,</w:t>
      </w:r>
      <w:r>
        <w:t xml:space="preserve"> </w:t>
      </w:r>
      <w:r>
        <w:t xml:space="preserve">“Decentralized Space Information Sharing as a Key Enabler of Trust and the Preservation of Space,”</w:t>
      </w:r>
      <w:r>
        <w:t xml:space="preserve"> </w:t>
      </w:r>
      <w:r>
        <w:t xml:space="preserve">AMOS, 2021.</w:t>
      </w:r>
    </w:p>
    <w:p>
      <w:pPr>
        <w:pStyle w:val="BodyText"/>
        <w:spacing w:line="480" w:lineRule="auto"/>
        <w:ind w:firstLine="720"/>
      </w:pPr>
      <w:bookmarkStart w:id="160" w:name="ref-6"/>
      <w:bookmarkEnd w:id="160"/>
      <w:r>
        <w:t xml:space="preserve">6. V. Zancan, A. Paravano, G. Locatelli, and P. Trucco,</w:t>
      </w:r>
      <w:r>
        <w:t xml:space="preserve"> </w:t>
      </w:r>
      <w:r>
        <w:t xml:space="preserve">“Evolving governance in the space sector: From Legacy Space to New Space models,”</w:t>
      </w:r>
      <w:r>
        <w:t xml:space="preserve"> </w:t>
      </w:r>
      <w:r>
        <w:t xml:space="preserve">Acta Astronautica, 2024, doi:</w:t>
      </w:r>
      <w:r>
        <w:t xml:space="preserve"> </w:t>
      </w:r>
      <w:hyperlink r:id="rId161">
        <w:r>
          <w:rPr>
            <w:rStyle w:val="Hyperlink"/>
          </w:rPr>
          <w:t xml:space="preserve">10.1016/j.actaastro.2024.09.005</w:t>
        </w:r>
      </w:hyperlink>
    </w:p>
    <w:p>
      <w:pPr>
        <w:pStyle w:val="BodyText"/>
        <w:spacing w:line="480" w:lineRule="auto"/>
        <w:ind w:firstLine="720"/>
      </w:pPr>
      <w:bookmarkStart w:id="162" w:name="ref-7"/>
      <w:bookmarkEnd w:id="162"/>
      <w:r>
        <w:t xml:space="preserve">7. E. Cirkovic and D. Wood,</w:t>
      </w:r>
      <w:r>
        <w:t xml:space="preserve"> </w:t>
      </w:r>
      <w:r>
        <w:t xml:space="preserve">“Integrating planetary boundaries into sustainable space exploration: An earth-outer space system design framework,”</w:t>
      </w:r>
      <w:r>
        <w:t xml:space="preserve"> </w:t>
      </w:r>
      <w:r>
        <w:t xml:space="preserve">Acta Astronautica, 2024, doi:</w:t>
      </w:r>
      <w:r>
        <w:t xml:space="preserve"> </w:t>
      </w:r>
      <w:hyperlink r:id="rId163">
        <w:r>
          <w:rPr>
            <w:rStyle w:val="Hyperlink"/>
          </w:rPr>
          <w:t xml:space="preserve">10.1016/j.actaastro.2024.12.037</w:t>
        </w:r>
      </w:hyperlink>
    </w:p>
    <w:p>
      <w:pPr>
        <w:pStyle w:val="BodyText"/>
        <w:spacing w:line="480" w:lineRule="auto"/>
        <w:ind w:firstLine="720"/>
      </w:pPr>
      <w:bookmarkStart w:id="164" w:name="ref-8"/>
      <w:bookmarkEnd w:id="164"/>
      <w:r>
        <w:t xml:space="preserve">8. F. Ottoboni, A. Muciaccia, and C. Colombo,</w:t>
      </w:r>
      <w:r>
        <w:t xml:space="preserve"> </w:t>
      </w:r>
      <w:r>
        <w:t xml:space="preserve">“Reconstruction of in-orbit breakup events over the short term,”</w:t>
      </w:r>
      <w:r>
        <w:t xml:space="preserve"> </w:t>
      </w:r>
      <w:r>
        <w:t xml:space="preserve">Acta Astronautica, 2026, doi:</w:t>
      </w:r>
      <w:r>
        <w:t xml:space="preserve"> </w:t>
      </w:r>
      <w:hyperlink r:id="rId165">
        <w:r>
          <w:rPr>
            <w:rStyle w:val="Hyperlink"/>
          </w:rPr>
          <w:t xml:space="preserve">10.1016/j.actaastro.2026.01.061</w:t>
        </w:r>
      </w:hyperlink>
    </w:p>
    <w:p>
      <w:pPr>
        <w:pStyle w:val="BodyText"/>
        <w:spacing w:line="480" w:lineRule="auto"/>
        <w:ind w:firstLine="720"/>
      </w:pPr>
      <w:bookmarkStart w:id="166" w:name="ref-9"/>
      <w:bookmarkEnd w:id="166"/>
      <w:r>
        <w:t xml:space="preserve">9. Y. Yu, Y. Huang, H. Tian, Y. Zhu, C. Qian, and Y. Zhao,</w:t>
      </w:r>
      <w:r>
        <w:t xml:space="preserve"> </w:t>
      </w:r>
      <w:r>
        <w:t xml:space="preserve">“Design and experimental verification of multi-tethered spacecraft formation encircled to capture small celestial body system,”</w:t>
      </w:r>
      <w:r>
        <w:t xml:space="preserve"> </w:t>
      </w:r>
      <w:r>
        <w:t xml:space="preserve">Acta Astronautica, 2025, doi:</w:t>
      </w:r>
      <w:r>
        <w:t xml:space="preserve"> </w:t>
      </w:r>
      <w:hyperlink r:id="rId167">
        <w:r>
          <w:rPr>
            <w:rStyle w:val="Hyperlink"/>
          </w:rPr>
          <w:t xml:space="preserve">10.1016/j.actaastro.2025.01.015</w:t>
        </w:r>
      </w:hyperlink>
    </w:p>
    <w:p>
      <w:pPr>
        <w:pStyle w:val="BodyText"/>
        <w:spacing w:line="480" w:lineRule="auto"/>
        <w:ind w:firstLine="720"/>
      </w:pPr>
      <w:bookmarkStart w:id="168" w:name="ref-10"/>
      <w:bookmarkEnd w:id="168"/>
      <w:r>
        <w:t xml:space="preserve">10. Rina Zhang, Science and Technology Policy Institute; Asha Balakrishnan, Science and Technology Policy Institute. From Ozone Depletion to Orbital Debris: Lessons Learned from the Montreal Protocol (2022).</w:t>
      </w:r>
    </w:p>
    <w:p>
      <w:pPr>
        <w:pStyle w:val="BodyText"/>
        <w:spacing w:line="480" w:lineRule="auto"/>
        <w:ind w:firstLine="720"/>
      </w:pPr>
      <w:bookmarkStart w:id="169" w:name="ref-11"/>
      <w:bookmarkEnd w:id="169"/>
      <w:r>
        <w:t xml:space="preserve">11. Artem Mokhnatkin, Keldysh Institute of Applied Mathematics. Possible Ways Forward for the ISON Initiative and Similar Projects. A Consortium for Decentralized Sharing of SSA Data (2023). doi:</w:t>
      </w:r>
      <w:r>
        <w:t xml:space="preserve"> </w:t>
      </w:r>
      <w:hyperlink r:id="rId156">
        <w:r>
          <w:rPr>
            <w:rStyle w:val="Hyperlink"/>
          </w:rPr>
          <w:t xml:space="preserve">10.64861/DDNM3393</w:t>
        </w:r>
      </w:hyperlink>
    </w:p>
    <w:p>
      <w:pPr>
        <w:pStyle w:val="BodyText"/>
        <w:spacing w:line="480" w:lineRule="auto"/>
        <w:ind w:firstLine="720"/>
      </w:pPr>
      <w:bookmarkStart w:id="170" w:name="ref-12"/>
      <w:bookmarkEnd w:id="170"/>
      <w:r>
        <w:t xml:space="preserve">12. W. Thomas Vestrand, Los Alamos National Laboratory; Yancey H. Sechrest, Los Alamos National Laboratory; Robert J. Hill Jr., Los Alamos National Laboratory; David M. Palmer, Los Alamos National Laboratory; Lucas P. Parker, Los Alamos National Laboratory; Marion W. Vance, Los Alamos National Laboratory; Przemek R. Wozniak, Los Alamos National Laboratory. Exploring a New Class of Bright, Ultra-fast, Glints from Resident Space Objects (2022).</w:t>
      </w:r>
    </w:p>
    <w:p>
      <w:pPr>
        <w:pStyle w:val="BodyText"/>
        <w:spacing w:line="480" w:lineRule="auto"/>
        <w:ind w:firstLine="720"/>
      </w:pPr>
      <w:bookmarkStart w:id="171" w:name="ref-13"/>
      <w:bookmarkEnd w:id="171"/>
      <w:r>
        <w:t xml:space="preserve">13. Jang-Hyun Park (Korea Astronomy &amp; Space Science Institute), Young-Jun Choi (Korea Astronomy &amp; Space Science Institute), Jung-Hyun Jo (Korea Astronomy &amp; Space Science Institute), Hong-Kyu Moon (Korea Astronomy &amp; Space Science Institute), Hong-Suh Yim (Korea Astronomy &amp; Space Science Institute), Young-Sik Park (Korea Astronomy &amp; Space Science Institute), Young-Ho Hae (Korea Astronomy &amp; Space Science Institute), Sun-Youp Park (Korea Astronomy &amp; Space Science Institute), Jim Choi (UST), Ju-Young Son (UST). Proto-Type Development of Optical Wide-field Patrol Network and Test Observation (2014).</w:t>
      </w:r>
    </w:p>
    <w:p>
      <w:pPr>
        <w:pStyle w:val="BodyText"/>
        <w:spacing w:line="480" w:lineRule="auto"/>
        <w:ind w:firstLine="720"/>
      </w:pPr>
      <w:bookmarkStart w:id="172" w:name="ref-14"/>
      <w:bookmarkEnd w:id="172"/>
      <w:r>
        <w:t xml:space="preserve">14. Makena Young, Center for Strategic and International Studies; Akhil Thadani, Center for Strategic and International Studies. Low-Orbit, High Stakes: Winning the LEO Broadband Competition (2022).</w:t>
      </w:r>
    </w:p>
    <w:p>
      <w:pPr>
        <w:pStyle w:val="BodyText"/>
        <w:spacing w:line="480" w:lineRule="auto"/>
        <w:ind w:firstLine="720"/>
      </w:pPr>
      <w:bookmarkStart w:id="173" w:name="ref-15"/>
      <w:bookmarkEnd w:id="173"/>
      <w:r>
        <w:t xml:space="preserve">15. Harvey Reed, The MITRE Corporation; Ruth Stilwell, Aerospace Policy Solutions, LLC; Brian Weeden, Secure World Foundation; Nathaniel Dailey, The MITRE Corporation; Nick Tsamis, The MITRE Corporation. Sharing Operational Risk Information in the Space Domain to Facilitate Norms Development and Compliance Monitoring (2022).</w:t>
      </w:r>
    </w:p>
    <w:p>
      <w:pPr>
        <w:pStyle w:val="BodyText"/>
        <w:spacing w:line="480" w:lineRule="auto"/>
        <w:ind w:firstLine="720"/>
      </w:pPr>
      <w:bookmarkStart w:id="174" w:name="ref-16"/>
      <w:bookmarkEnd w:id="174"/>
      <w:r>
        <w:t xml:space="preserve">16. Thomas Rimmele (National Solar Observatory), T. Berger (National Solar Observatory), J. McMullin (National Solar Observatory), M. Warner (National Solar Observatory), R. Casinsi (High Altitude Observatory), J. Kuhn (University of Hawaii), H. Lin (University of Hawaii), F. Woeger (National Solar Observatory), W. Schmidt (Kiepenheuer Institute, Freiburg), A. Tritschler (National Solar Observatory), DKIST Team. The Daniel K. Inouye Solar Telescope: A Project Update (2014).</w:t>
      </w:r>
    </w:p>
    <w:p>
      <w:pPr>
        <w:pStyle w:val="BodyText"/>
        <w:spacing w:line="480" w:lineRule="auto"/>
        <w:ind w:firstLine="720"/>
      </w:pPr>
      <w:bookmarkStart w:id="175" w:name="ref-17"/>
      <w:bookmarkEnd w:id="175"/>
      <w:r>
        <w:t xml:space="preserve">17. Harvey Reed, MITRE; Nathaniel Dailey, MITRE; Ruth Stilwell, Aerospace Policy Solutions, LLC; Brian Weeden, Secure World Foundation. Decentralized Space Information Sharing as a Key Enabler of Trust and the Preservation of Space (2021).</w:t>
      </w:r>
    </w:p>
    <w:p>
      <w:pPr>
        <w:pStyle w:val="BodyText"/>
        <w:spacing w:line="480" w:lineRule="auto"/>
        <w:ind w:firstLine="720"/>
      </w:pPr>
      <w:bookmarkStart w:id="176" w:name="ref-18"/>
      <w:bookmarkEnd w:id="176"/>
      <w:r>
        <w:t xml:space="preserve">18. Matjaž Vidmar. Enablers, Equippers, Shapers and Movers: A typology of innovation intermediaries’ interventions and the development of an emergent innovation system (2020). doi:</w:t>
      </w:r>
      <w:r>
        <w:t xml:space="preserve"> </w:t>
      </w:r>
      <w:hyperlink r:id="rId177">
        <w:r>
          <w:rPr>
            <w:rStyle w:val="Hyperlink"/>
          </w:rPr>
          <w:t xml:space="preserve">10.1016/j.actaastro.2020.10.011</w:t>
        </w:r>
      </w:hyperlink>
    </w:p>
    <w:p>
      <w:pPr>
        <w:pStyle w:val="BodyText"/>
        <w:spacing w:line="480" w:lineRule="auto"/>
        <w:ind w:firstLine="720"/>
      </w:pPr>
      <w:bookmarkStart w:id="178" w:name="ref-19"/>
      <w:bookmarkEnd w:id="178"/>
      <w:r>
        <w:t xml:space="preserve">19. Michael R. Padgen; Tori Chinn; C. Friedericks; Matthew P. Lera; Matthew Chin; Macarena Parra; Matthew Piccini; Antonio J. Ricco; Stevan Spremo. The EcAMSat fluidic system to study antibiotic resistance in low earth orbit: Development and lessons learned from space flight (2020). doi:</w:t>
      </w:r>
      <w:r>
        <w:t xml:space="preserve"> </w:t>
      </w:r>
      <w:hyperlink r:id="rId179">
        <w:r>
          <w:rPr>
            <w:rStyle w:val="Hyperlink"/>
          </w:rPr>
          <w:t xml:space="preserve">10.1016/j.actaastro.2020.02.031</w:t>
        </w:r>
      </w:hyperlink>
    </w:p>
    <w:p>
      <w:pPr>
        <w:pStyle w:val="BodyText"/>
        <w:spacing w:line="480" w:lineRule="auto"/>
        <w:ind w:firstLine="720"/>
      </w:pPr>
      <w:bookmarkStart w:id="180" w:name="ref-20"/>
      <w:bookmarkEnd w:id="180"/>
      <w:r>
        <w:t xml:space="preserve">20. Mátyás Gede; Henrik Hargitai. An online planetary exploration tool: “Country Movers” (2017). doi:</w:t>
      </w:r>
      <w:r>
        <w:t xml:space="preserve"> </w:t>
      </w:r>
      <w:hyperlink r:id="rId181">
        <w:r>
          <w:rPr>
            <w:rStyle w:val="Hyperlink"/>
          </w:rPr>
          <w:t xml:space="preserve">10.1016/j.actaastro.2017.04.028</w:t>
        </w:r>
      </w:hyperlink>
    </w:p>
    <w:p>
      <w:pPr>
        <w:pStyle w:val="BodyText"/>
        <w:spacing w:line="480" w:lineRule="auto"/>
        <w:ind w:firstLine="720"/>
      </w:pPr>
      <w:bookmarkStart w:id="182" w:name="ref-21"/>
      <w:bookmarkEnd w:id="182"/>
      <w:r>
        <w:t xml:space="preserve">21. Valentina Zancan; Alessandro Paravano; Giorgio Locatelli; Paolo Trucco. Evolving governance in the space sector: From Legacy Space to New Space models (2024). doi:</w:t>
      </w:r>
      <w:r>
        <w:t xml:space="preserve"> </w:t>
      </w:r>
      <w:hyperlink r:id="rId161">
        <w:r>
          <w:rPr>
            <w:rStyle w:val="Hyperlink"/>
          </w:rPr>
          <w:t xml:space="preserve">10.1016/j.actaastro.2024.09.005</w:t>
        </w:r>
      </w:hyperlink>
    </w:p>
    <w:p>
      <w:pPr>
        <w:pStyle w:val="BodyText"/>
        <w:spacing w:line="480" w:lineRule="auto"/>
        <w:ind w:firstLine="720"/>
      </w:pPr>
      <w:bookmarkStart w:id="183" w:name="ref-22"/>
      <w:bookmarkEnd w:id="183"/>
      <w:r>
        <w:t xml:space="preserve">22. Elena Cirkovic; Danielle Wood. “Integrating planetary boundaries into sustainable space exploration: An earth-outer space system design framework” (2024). doi:</w:t>
      </w:r>
      <w:r>
        <w:t xml:space="preserve"> </w:t>
      </w:r>
      <w:hyperlink r:id="rId163">
        <w:r>
          <w:rPr>
            <w:rStyle w:val="Hyperlink"/>
          </w:rPr>
          <w:t xml:space="preserve">10.1016/j.actaastro.2024.12.037</w:t>
        </w:r>
      </w:hyperlink>
    </w:p>
    <w:p>
      <w:pPr>
        <w:pStyle w:val="BodyText"/>
        <w:spacing w:line="480" w:lineRule="auto"/>
        <w:ind w:firstLine="720"/>
      </w:pPr>
      <w:bookmarkStart w:id="184" w:name="ref-23"/>
      <w:bookmarkEnd w:id="184"/>
      <w:r>
        <w:t xml:space="preserve">23. Francesca Ottoboni; Andrea Muciaccia; Camilla Colombo. Reconstruction of in-orbit breakup events over the short term (2026). doi:</w:t>
      </w:r>
      <w:r>
        <w:t xml:space="preserve"> </w:t>
      </w:r>
      <w:hyperlink r:id="rId165">
        <w:r>
          <w:rPr>
            <w:rStyle w:val="Hyperlink"/>
          </w:rPr>
          <w:t xml:space="preserve">10.1016/j.actaastro.2026.01.061</w:t>
        </w:r>
      </w:hyperlink>
    </w:p>
    <w:p>
      <w:pPr>
        <w:pStyle w:val="BodyText"/>
        <w:spacing w:line="480" w:lineRule="auto"/>
        <w:ind w:firstLine="720"/>
      </w:pPr>
      <w:bookmarkStart w:id="185" w:name="ref-24"/>
      <w:bookmarkEnd w:id="185"/>
      <w:r>
        <w:t xml:space="preserve">24. Yang Yu; Yixin Huang; Hao Tian; Yuchen Zhu; Changzheng Qian; Yang Zhao. Design and experimental verification of multi-tethered spacecraft formation encircled to capture small celestial body system (2025). doi:</w:t>
      </w:r>
      <w:r>
        <w:t xml:space="preserve"> </w:t>
      </w:r>
      <w:hyperlink r:id="rId167">
        <w:r>
          <w:rPr>
            <w:rStyle w:val="Hyperlink"/>
          </w:rPr>
          <w:t xml:space="preserve">10.1016/j.actaastro.2025.01.015</w:t>
        </w:r>
      </w:hyperlink>
    </w:p>
    <w:p>
      <w:pPr>
        <w:pStyle w:val="BodyText"/>
        <w:spacing w:line="480" w:lineRule="auto"/>
        <w:ind w:firstLine="720"/>
      </w:pPr>
      <w:bookmarkStart w:id="186" w:name="ref-25"/>
      <w:bookmarkEnd w:id="186"/>
      <w:r>
        <w:t xml:space="preserve">25. David González-Bárcena; Lilian Peinado; Alejandro Fernández-Soler; Ángel-Grover Pérez-Muñoz; José Miguel Álvarez; Fernando Ayape; Jonathan Michael Martin; Juan Bermejo-Ballesteros; Ángel Porras-Hermoso; Daniel Alfonso-Corcuera; Sergio Marín-Coca; Manú Soto-Aranaz; Blanca Boado-Cuartero; Rafael García-Romero; Santiago Pindado; Javier Pérez-Álvarez; Juan Zamorano; Ignacio Torralbo; Javier Piqueras; Isabel Pérez-Grande; Angel Pedro Sanz Andres. TASEC-Lab: A COTS-based CubeSat-like university experiment for characterizing the convective heat transfer in stratospheric balloon missions (2022). doi:</w:t>
      </w:r>
      <w:r>
        <w:t xml:space="preserve"> </w:t>
      </w:r>
      <w:hyperlink r:id="rId187">
        <w:r>
          <w:rPr>
            <w:rStyle w:val="Hyperlink"/>
          </w:rPr>
          <w:t xml:space="preserve">10.1016/j.actaastro.2022.04.028</w:t>
        </w:r>
      </w:hyperlink>
    </w:p>
    <w:bookmarkEnd w:id="188"/>
    <w:bookmarkEnd w:id="189"/>
    <w:bookmarkStart w:id="206"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7" w:name="X0173cfd60038c19e5fd9f5eaf2ce35512420a41"/>
    <w:p>
      <w:pPr>
        <w:pStyle w:val="Heading2"/>
        <w:spacing w:line="480" w:lineRule="auto"/>
      </w:pPr>
      <w:r>
        <w:t xml:space="preserve">A.1 Signal Intensity in Commons or Enclosure Empirical Test of Polycentric Versus First-Mover Governanc: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90"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3.3025</w:t>
            </w:r>
          </w:p>
        </w:tc>
        <w:tc>
          <w:tcPr>
            <w:tcW w:w="0" w:type="auto"/>
          </w:tcPr>
          <w:p>
            <w:pPr>
              <w:spacing w:line="240" w:lineRule="auto" w:before="0" w:after="0"/>
              <w:pStyle w:val="Compact"/>
            </w:pPr>
            <w:r>
              <w:rPr>
                <w:sz w:val="20"/>
                <w:szCs w:val="20"/>
              </w:rPr>
              <w:t xml:space="preserve">1.3594</w:t>
            </w:r>
          </w:p>
        </w:tc>
        <w:tc>
          <w:tcPr>
            <w:tcW w:w="0" w:type="auto"/>
          </w:tcPr>
          <w:p>
            <w:pPr>
              <w:spacing w:line="240" w:lineRule="auto" w:before="0" w:after="0"/>
              <w:pStyle w:val="Compact"/>
            </w:pPr>
            <w:r>
              <w:rPr>
                <w:sz w:val="20"/>
                <w:szCs w:val="20"/>
              </w:rPr>
              <w:t xml:space="preserve">2.4294</w:t>
            </w:r>
          </w:p>
        </w:tc>
        <w:tc>
          <w:tcPr>
            <w:tcW w:w="0" w:type="auto"/>
          </w:tcPr>
          <w:p>
            <w:pPr>
              <w:spacing w:line="240" w:lineRule="auto" w:before="0" w:after="0"/>
              <w:pStyle w:val="Compact"/>
            </w:pPr>
            <w:r>
              <w:rPr>
                <w:sz w:val="20"/>
                <w:szCs w:val="20"/>
              </w:rPr>
              <w:t xml:space="preserve">0.0151</w:t>
            </w:r>
          </w:p>
        </w:tc>
        <w:tc>
          <w:tcPr>
            <w:tcW w:w="0" w:type="auto"/>
          </w:tcPr>
          <w:p>
            <w:pPr>
              <w:spacing w:line="240" w:lineRule="auto" w:before="0" w:after="0"/>
              <w:pStyle w:val="Compact"/>
            </w:pPr>
            <w:r>
              <w:rPr>
                <w:sz w:val="20"/>
                <w:szCs w:val="20"/>
              </w:rPr>
              <w:t xml:space="preserve">[0.6381, 5.9668]</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-0.0376</w:t>
            </w:r>
          </w:p>
        </w:tc>
        <w:tc>
          <w:tcPr>
            <w:tcW w:w="0" w:type="auto"/>
          </w:tcPr>
          <w:p>
            <w:pPr>
              <w:spacing w:line="240" w:lineRule="auto" w:before="0" w:after="0"/>
              <w:pStyle w:val="Compact"/>
            </w:pPr>
            <w:r>
              <w:rPr>
                <w:sz w:val="20"/>
                <w:szCs w:val="20"/>
              </w:rPr>
              <w:t xml:space="preserve">0.1074</w:t>
            </w:r>
          </w:p>
        </w:tc>
        <w:tc>
          <w:tcPr>
            <w:tcW w:w="0" w:type="auto"/>
          </w:tcPr>
          <w:p>
            <w:pPr>
              <w:spacing w:line="240" w:lineRule="auto" w:before="0" w:after="0"/>
              <w:pStyle w:val="Compact"/>
            </w:pPr>
            <w:r>
              <w:rPr>
                <w:sz w:val="20"/>
                <w:szCs w:val="20"/>
              </w:rPr>
              <w:t xml:space="preserve">-0.3501</w:t>
            </w:r>
          </w:p>
        </w:tc>
        <w:tc>
          <w:tcPr>
            <w:tcW w:w="0" w:type="auto"/>
          </w:tcPr>
          <w:p>
            <w:pPr>
              <w:spacing w:line="240" w:lineRule="auto" w:before="0" w:after="0"/>
              <w:pStyle w:val="Compact"/>
            </w:pPr>
            <w:r>
              <w:rPr>
                <w:sz w:val="20"/>
                <w:szCs w:val="20"/>
              </w:rPr>
              <w:t xml:space="preserve">0.7262</w:t>
            </w:r>
          </w:p>
        </w:tc>
        <w:tc>
          <w:tcPr>
            <w:tcW w:w="0" w:type="auto"/>
          </w:tcPr>
          <w:p>
            <w:pPr>
              <w:spacing w:line="240" w:lineRule="auto" w:before="0" w:after="0"/>
              <w:pStyle w:val="Compact"/>
            </w:pPr>
            <w:r>
              <w:rPr>
                <w:sz w:val="20"/>
                <w:szCs w:val="20"/>
              </w:rPr>
              <w:t xml:space="preserve">[-0.2481, 0.1729]</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-0.0687</w:t>
            </w:r>
          </w:p>
        </w:tc>
        <w:tc>
          <w:tcPr>
            <w:tcW w:w="0" w:type="auto"/>
          </w:tcPr>
          <w:p>
            <w:pPr>
              <w:spacing w:line="240" w:lineRule="auto" w:before="0" w:after="0"/>
              <w:pStyle w:val="Compact"/>
            </w:pPr>
            <w:r>
              <w:rPr>
                <w:sz w:val="20"/>
                <w:szCs w:val="20"/>
              </w:rPr>
              <w:t xml:space="preserve">0.0331</w:t>
            </w:r>
          </w:p>
        </w:tc>
        <w:tc>
          <w:tcPr>
            <w:tcW w:w="0" w:type="auto"/>
          </w:tcPr>
          <w:p>
            <w:pPr>
              <w:spacing w:line="240" w:lineRule="auto" w:before="0" w:after="0"/>
              <w:pStyle w:val="Compact"/>
            </w:pPr>
            <w:r>
              <w:rPr>
                <w:sz w:val="20"/>
                <w:szCs w:val="20"/>
              </w:rPr>
              <w:t xml:space="preserve">-2.0759</w:t>
            </w:r>
          </w:p>
        </w:tc>
        <w:tc>
          <w:tcPr>
            <w:tcW w:w="0" w:type="auto"/>
          </w:tcPr>
          <w:p>
            <w:pPr>
              <w:spacing w:line="240" w:lineRule="auto" w:before="0" w:after="0"/>
              <w:pStyle w:val="Compact"/>
            </w:pPr>
            <w:r>
              <w:rPr>
                <w:sz w:val="20"/>
                <w:szCs w:val="20"/>
              </w:rPr>
              <w:t xml:space="preserve">0.0379</w:t>
            </w:r>
          </w:p>
        </w:tc>
        <w:tc>
          <w:tcPr>
            <w:tcW w:w="0" w:type="auto"/>
          </w:tcPr>
          <w:p>
            <w:pPr>
              <w:spacing w:line="240" w:lineRule="auto" w:before="0" w:after="0"/>
              <w:pStyle w:val="Compact"/>
            </w:pPr>
            <w:r>
              <w:rPr>
                <w:sz w:val="20"/>
                <w:szCs w:val="20"/>
              </w:rPr>
              <w:t xml:space="preserve">[-0.1336, -0.0038]</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0.4327</w:t>
            </w:r>
          </w:p>
        </w:tc>
        <w:tc>
          <w:tcPr>
            <w:tcW w:w="0" w:type="auto"/>
          </w:tcPr>
          <w:p>
            <w:pPr>
              <w:spacing w:line="240" w:lineRule="auto" w:before="0" w:after="0"/>
              <w:pStyle w:val="Compact"/>
            </w:pPr>
            <w:r>
              <w:rPr>
                <w:sz w:val="20"/>
                <w:szCs w:val="20"/>
              </w:rPr>
              <w:t xml:space="preserve">0.8629</w:t>
            </w:r>
          </w:p>
        </w:tc>
        <w:tc>
          <w:tcPr>
            <w:tcW w:w="0" w:type="auto"/>
          </w:tcPr>
          <w:p>
            <w:pPr>
              <w:spacing w:line="240" w:lineRule="auto" w:before="0" w:after="0"/>
              <w:pStyle w:val="Compact"/>
            </w:pPr>
            <w:r>
              <w:rPr>
                <w:sz w:val="20"/>
                <w:szCs w:val="20"/>
              </w:rPr>
              <w:t xml:space="preserve">0.5015</w:t>
            </w:r>
          </w:p>
        </w:tc>
        <w:tc>
          <w:tcPr>
            <w:tcW w:w="0" w:type="auto"/>
          </w:tcPr>
          <w:p>
            <w:pPr>
              <w:spacing w:line="240" w:lineRule="auto" w:before="0" w:after="0"/>
              <w:pStyle w:val="Compact"/>
            </w:pPr>
            <w:r>
              <w:rPr>
                <w:sz w:val="20"/>
                <w:szCs w:val="20"/>
              </w:rPr>
              <w:t xml:space="preserve">0.616</w:t>
            </w:r>
          </w:p>
        </w:tc>
        <w:tc>
          <w:tcPr>
            <w:tcW w:w="0" w:type="auto"/>
          </w:tcPr>
          <w:p>
            <w:pPr>
              <w:spacing w:line="240" w:lineRule="auto" w:before="0" w:after="0"/>
              <w:pStyle w:val="Compact"/>
            </w:pPr>
            <w:r>
              <w:rPr>
                <w:sz w:val="20"/>
                <w:szCs w:val="20"/>
              </w:rPr>
              <w:t xml:space="preserve">[-1.2584, 2.1239]</w:t>
            </w:r>
          </w:p>
        </w:tc>
      </w:tr>
    </w:tbl>
    <w:p>
      <w:pPr>
        <w:pStyle w:val="BodyText"/>
        <w:spacing w:line="480" w:lineRule="auto"/>
        <w:ind w:firstLine="720"/>
      </w:pPr>
      <w:r>
        <w:t xml:space="preserve">Fit: N = 30 R2 = 0.0675 R2_adj = -0.0401 F = 1.8316 F_p = 0.1662</w:t>
      </w:r>
    </w:p>
    <w:bookmarkEnd w:id="190"/>
    <w:bookmarkStart w:id="194"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92" name="Picture"/>
            <a:graphic>
              <a:graphicData uri="http://schemas.openxmlformats.org/drawingml/2006/picture">
                <pic:pic>
                  <pic:nvPicPr>
                    <pic:cNvPr descr="D:/Claude_Code/brain/collegium/candidates/dissertations/CISLUNAR_DEV_04/research_papers/p1/paper_fig1.png" id="193" name="Picture"/>
                    <pic:cNvPicPr>
                      <a:picLocks noChangeArrowheads="1" noChangeAspect="1"/>
                    </pic:cNvPicPr>
                  </pic:nvPicPr>
                  <pic:blipFill>
                    <a:blip r:embed="rId19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94"/>
    <w:bookmarkStart w:id="195"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10.64861/DDNM3393</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https://amostech.space/year/2022/exploring-a-new-class-of-bright-ultra-fast-glints-from-resident-space-objects/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https://amostech.space/year/2014/proto-type-development-of-optical-wide-field-patrol-network-and-test-observation/</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https://amostech.space/year/2022/sharing-operational-risk-information-in-the-space-domain-to-facilitate-norms-development-and-compliance-monitoring/</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https://amostech.space/year/2014/the-daniel-k-inouye-solar-telescope-a-project-update/</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10.64861/VUSE2201</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https://amostech.space/year/2009/science-objectives-and-commissioning-of-the-magdalena-ridge-observatory-interferometer/</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https://amostech.space/year/2022/magdalena-ridge-observatory-interferometer-an-overview-of-an-astrophysics-facility-for-supporting-sda-efforts/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https://amostech.space/year/2021/development-and-testing-of-a-novel-low-cost-leo-optical-surveillance-sensor/</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10.1016/j.actaastro.2020.10.011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10.1016/j.actaastro.2020.02.031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10.1016/j.actaastro.2017.04.028</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10.1016/j.actaastro.2024.12.037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10.1016/j.actaastro.2026.01.061</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10.1016/j.actaastro.2025.01.015</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10.1016/j.actaastro.2022.04.028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10.1016/j.actaastro.2024.02.016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10.1016/j.actaastro.2025.01.029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10.1016/j.actaastro.2019.04.035</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10.1016/j.actaastro.2024.01.044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Governing Outer Space as a Commons Is Critical for Commons on Earth</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10.5334/ijc.1378</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10.1162/glep_a_00775</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The Missing Ingredients for a Polycentric Governance System of Orbital Debris</w:t>
            </w:r>
          </w:p>
        </w:tc>
      </w:tr>
    </w:tbl>
    <w:bookmarkEnd w:id="195"/>
    <w:bookmarkStart w:id="196"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96"/>
    <w:bookmarkEnd w:id="197"/>
    <w:bookmarkStart w:id="205" w:name="X4e9800b82dfb2778bffb6a5b331267f4f26ae2b"/>
    <w:p>
      <w:pPr>
        <w:pStyle w:val="Heading2"/>
        <w:spacing w:line="480" w:lineRule="auto"/>
      </w:pPr>
      <w:r>
        <w:t xml:space="preserve">A.2 Attention Accumulation in Commons or Enclosure Empirical Test of Polycentric Versus First-Mover Governanc: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98"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0.6229</w:t>
            </w:r>
          </w:p>
        </w:tc>
        <w:tc>
          <w:tcPr>
            <w:tcW w:w="0" w:type="auto"/>
          </w:tcPr>
          <w:p>
            <w:pPr>
              <w:spacing w:line="240" w:lineRule="auto" w:before="0" w:after="0"/>
              <w:pStyle w:val="Compact"/>
            </w:pPr>
            <w:r>
              <w:rPr>
                <w:sz w:val="20"/>
                <w:szCs w:val="20"/>
              </w:rPr>
              <w:t xml:space="preserve">0.3826</w:t>
            </w:r>
          </w:p>
        </w:tc>
        <w:tc>
          <w:tcPr>
            <w:tcW w:w="0" w:type="auto"/>
          </w:tcPr>
          <w:p>
            <w:pPr>
              <w:spacing w:line="240" w:lineRule="auto" w:before="0" w:after="0"/>
              <w:pStyle w:val="Compact"/>
            </w:pPr>
            <w:r>
              <w:rPr>
                <w:sz w:val="20"/>
                <w:szCs w:val="20"/>
              </w:rPr>
              <w:t xml:space="preserve">1.6282</w:t>
            </w:r>
          </w:p>
        </w:tc>
        <w:tc>
          <w:tcPr>
            <w:tcW w:w="0" w:type="auto"/>
          </w:tcPr>
          <w:p>
            <w:pPr>
              <w:spacing w:line="240" w:lineRule="auto" w:before="0" w:after="0"/>
              <w:pStyle w:val="Compact"/>
            </w:pPr>
            <w:r>
              <w:rPr>
                <w:sz w:val="20"/>
                <w:szCs w:val="20"/>
              </w:rPr>
              <w:t xml:space="preserve">0.1035</w:t>
            </w:r>
          </w:p>
        </w:tc>
        <w:tc>
          <w:tcPr>
            <w:tcW w:w="0" w:type="auto"/>
          </w:tcPr>
          <w:p>
            <w:pPr>
              <w:spacing w:line="240" w:lineRule="auto" w:before="0" w:after="0"/>
              <w:pStyle w:val="Compact"/>
            </w:pPr>
            <w:r>
              <w:rPr>
                <w:sz w:val="20"/>
                <w:szCs w:val="20"/>
              </w:rPr>
              <w:t xml:space="preserve">[-0.1269, 1.3728]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0.0709</w:t>
            </w:r>
          </w:p>
        </w:tc>
        <w:tc>
          <w:tcPr>
            <w:tcW w:w="0" w:type="auto"/>
          </w:tcPr>
          <w:p>
            <w:pPr>
              <w:spacing w:line="240" w:lineRule="auto" w:before="0" w:after="0"/>
              <w:pStyle w:val="Compact"/>
            </w:pPr>
            <w:r>
              <w:rPr>
                <w:sz w:val="20"/>
                <w:szCs w:val="20"/>
              </w:rPr>
              <w:t xml:space="preserve">0.2687</w:t>
            </w:r>
          </w:p>
        </w:tc>
        <w:tc>
          <w:tcPr>
            <w:tcW w:w="0" w:type="auto"/>
          </w:tcPr>
          <w:p>
            <w:pPr>
              <w:spacing w:line="240" w:lineRule="auto" w:before="0" w:after="0"/>
              <w:pStyle w:val="Compact"/>
            </w:pPr>
            <w:r>
              <w:rPr>
                <w:sz w:val="20"/>
                <w:szCs w:val="20"/>
              </w:rPr>
              <w:t xml:space="preserve">0.2638</w:t>
            </w:r>
          </w:p>
        </w:tc>
        <w:tc>
          <w:tcPr>
            <w:tcW w:w="0" w:type="auto"/>
          </w:tcPr>
          <w:p>
            <w:pPr>
              <w:spacing w:line="240" w:lineRule="auto" w:before="0" w:after="0"/>
              <w:pStyle w:val="Compact"/>
            </w:pPr>
            <w:r>
              <w:rPr>
                <w:sz w:val="20"/>
                <w:szCs w:val="20"/>
              </w:rPr>
              <w:t xml:space="preserve">0.792</w:t>
            </w:r>
          </w:p>
        </w:tc>
        <w:tc>
          <w:tcPr>
            <w:tcW w:w="0" w:type="auto"/>
          </w:tcPr>
          <w:p>
            <w:pPr>
              <w:spacing w:line="240" w:lineRule="auto" w:before="0" w:after="0"/>
              <w:pStyle w:val="Compact"/>
            </w:pPr>
            <w:r>
              <w:rPr>
                <w:sz w:val="20"/>
                <w:szCs w:val="20"/>
              </w:rPr>
              <w:t xml:space="preserve">[-0.4558, 0.5976]</w:t>
            </w:r>
          </w:p>
        </w:tc>
      </w:tr>
    </w:tbl>
    <w:p>
      <w:pPr>
        <w:pStyle w:val="BodyText"/>
        <w:spacing w:line="480" w:lineRule="auto"/>
        <w:ind w:firstLine="720"/>
      </w:pPr>
      <w:r>
        <w:t xml:space="preserve">Fit: N = 30 R2 = 0.0015 elasticity_b = 0.0709 progress_ratio_2^b = 1.0504</w:t>
      </w:r>
    </w:p>
    <w:bookmarkEnd w:id="198"/>
    <w:bookmarkStart w:id="202"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200" name="Picture"/>
            <a:graphic>
              <a:graphicData uri="http://schemas.openxmlformats.org/drawingml/2006/picture">
                <pic:pic>
                  <pic:nvPicPr>
                    <pic:cNvPr descr="D:/Claude_Code/brain/collegium/candidates/dissertations/CISLUNAR_DEV_04/research_papers/p2/paper_fig1.png" id="201" name="Picture"/>
                    <pic:cNvPicPr>
                      <a:picLocks noChangeArrowheads="1" noChangeAspect="1"/>
                    </pic:cNvPicPr>
                  </pic:nvPicPr>
                  <pic:blipFill>
                    <a:blip r:embed="rId19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202"/>
    <w:bookmarkStart w:id="203"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10.64861/DDNM3393</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https://amostech.space/year/2022/exploring-a-new-class-of-bright-ultra-fast-glints-from-resident-space-objects/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https://amostech.space/year/2014/proto-type-development-of-optical-wide-field-patrol-network-and-test-observation/</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https://amostech.space/year/2022/sharing-operational-risk-information-in-the-space-domain-to-facilitate-norms-development-and-compliance-monitoring/</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https://amostech.space/year/2014/the-daniel-k-inouye-solar-telescope-a-project-update/</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10.64861/VUSE2201</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https://amostech.space/year/2009/science-objectives-and-commissioning-of-the-magdalena-ridge-observatory-interferometer/</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https://amostech.space/year/2022/magdalena-ridge-observatory-interferometer-an-overview-of-an-astrophysics-facility-for-supporting-sda-efforts/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https://amostech.space/year/2021/development-and-testing-of-a-novel-low-cost-leo-optical-surveillance-sensor/</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10.1016/j.actaastro.2020.10.011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10.1016/j.actaastro.2020.02.031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10.1016/j.actaastro.2017.04.028</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10.1016/j.actaastro.2024.12.037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10.1016/j.actaastro.2026.01.061</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10.1016/j.actaastro.2025.01.015</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10.1016/j.actaastro.2022.04.028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10.1016/j.actaastro.2024.02.016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10.1016/j.actaastro.2025.01.029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10.1016/j.actaastro.2019.04.035</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10.1016/j.actaastro.2024.01.044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Governing Outer Space as a Commons Is Critical for Commons on Earth</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10.5334/ijc.1378</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10.1162/glep_a_00775</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The Missing Ingredients for a Polycentric Governance System of Orbital Debris</w:t>
            </w:r>
          </w:p>
        </w:tc>
      </w:tr>
    </w:tbl>
    <w:bookmarkEnd w:id="203"/>
    <w:bookmarkStart w:id="204"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204"/>
    <w:bookmarkEnd w:id="205"/>
    <w:bookmarkEnd w:id="20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1" Type="http://schemas.openxmlformats.org/officeDocument/2006/relationships/image" Target="media/rId191.png"/><Relationship Id="rId199" Type="http://schemas.openxmlformats.org/officeDocument/2006/relationships/image" Target="media/rId199.png"/><Relationship Id="rId181" Type="http://schemas.openxmlformats.org/officeDocument/2006/relationships/hyperlink" Target="https://doi.org/10.1016/j.actaastro.2017.04.028" TargetMode="External"/><Relationship Id="rId179" Type="http://schemas.openxmlformats.org/officeDocument/2006/relationships/hyperlink" Target="https://doi.org/10.1016/j.actaastro.2020.02.031" TargetMode="External"/><Relationship Id="rId177" Type="http://schemas.openxmlformats.org/officeDocument/2006/relationships/hyperlink" Target="https://doi.org/10.1016/j.actaastro.2020.10.011" TargetMode="External"/><Relationship Id="rId187" Type="http://schemas.openxmlformats.org/officeDocument/2006/relationships/hyperlink" Target="https://doi.org/10.1016/j.actaastro.2022.04.028" TargetMode="External"/><Relationship Id="rId161" Type="http://schemas.openxmlformats.org/officeDocument/2006/relationships/hyperlink" Target="https://doi.org/10.1016/j.actaastro.2024.09.005" TargetMode="External"/><Relationship Id="rId163" Type="http://schemas.openxmlformats.org/officeDocument/2006/relationships/hyperlink" Target="https://doi.org/10.1016/j.actaastro.2024.12.037" TargetMode="External"/><Relationship Id="rId167" Type="http://schemas.openxmlformats.org/officeDocument/2006/relationships/hyperlink" Target="https://doi.org/10.1016/j.actaastro.2025.01.015" TargetMode="External"/><Relationship Id="rId165" Type="http://schemas.openxmlformats.org/officeDocument/2006/relationships/hyperlink" Target="https://doi.org/10.1016/j.actaastro.2026.01.061" TargetMode="External"/><Relationship Id="rId156" Type="http://schemas.openxmlformats.org/officeDocument/2006/relationships/hyperlink" Target="https://doi.org/10.64861/DDNM3393" TargetMode="External"/></Relationships>
</file>

<file path=word/_rels/footnotes.xml.rels><?xml version='1.0' encoding='UTF-8' standalone='yes'?>
<Relationships xmlns="http://schemas.openxmlformats.org/package/2006/relationships"><Relationship Id="rId181" Type="http://schemas.openxmlformats.org/officeDocument/2006/relationships/hyperlink" Target="https://doi.org/10.1016/j.actaastro.2017.04.028" TargetMode="External"/><Relationship Id="rId179" Type="http://schemas.openxmlformats.org/officeDocument/2006/relationships/hyperlink" Target="https://doi.org/10.1016/j.actaastro.2020.02.031" TargetMode="External"/><Relationship Id="rId177" Type="http://schemas.openxmlformats.org/officeDocument/2006/relationships/hyperlink" Target="https://doi.org/10.1016/j.actaastro.2020.10.011" TargetMode="External"/><Relationship Id="rId187" Type="http://schemas.openxmlformats.org/officeDocument/2006/relationships/hyperlink" Target="https://doi.org/10.1016/j.actaastro.2022.04.028" TargetMode="External"/><Relationship Id="rId161" Type="http://schemas.openxmlformats.org/officeDocument/2006/relationships/hyperlink" Target="https://doi.org/10.1016/j.actaastro.2024.09.005" TargetMode="External"/><Relationship Id="rId163" Type="http://schemas.openxmlformats.org/officeDocument/2006/relationships/hyperlink" Target="https://doi.org/10.1016/j.actaastro.2024.12.037" TargetMode="External"/><Relationship Id="rId167" Type="http://schemas.openxmlformats.org/officeDocument/2006/relationships/hyperlink" Target="https://doi.org/10.1016/j.actaastro.2025.01.015" TargetMode="External"/><Relationship Id="rId165" Type="http://schemas.openxmlformats.org/officeDocument/2006/relationships/hyperlink" Target="https://doi.org/10.1016/j.actaastro.2026.01.061" TargetMode="External"/><Relationship Id="rId156" Type="http://schemas.openxmlformats.org/officeDocument/2006/relationships/hyperlink" Target="https://doi.org/10.64861/DDNM33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Commons or Enclosure? Empirical Test of Polycentric Versus First-Mover Governance for Lunar Resource Extraction Sites</dc:title>
  <dc:creator>Cyrus Ito (1B-LUN-166)</dc:creator>
  <cp:keywords/>
  <dcterms:created xsi:type="dcterms:W3CDTF">2026-07-03T20:41:37Z</dcterms:created>
  <dcterms:modified xsi:type="dcterms:W3CDTF">2026-07-03T20:41:37Z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