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be24bbdc9352a65418412b58f8de6b733de2ff3"/>
    <w:p>
      <w:pPr>
        <w:pStyle w:val="Heading1"/>
      </w:pPr>
      <w:r>
        <w:t xml:space="preserve">Signal Intensity in Logistics Fragility on the Earth-Moon Supply Line Network Resilience Under Sing: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Cora Stern (1B-LUN-175) and the dissertation project</w:t>
      </w:r>
      <w:r>
        <w:t xml:space="preserve"> </w:t>
      </w:r>
      <w:r>
        <w:rPr>
          <w:i/>
          <w:iCs/>
        </w:rPr>
        <w:t xml:space="preserve">Logistics Fragility on the Earth-Moon Supply Line: Network Resilience Under Sing</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R2=0.28849550288817327, R2_adj=0.2063988301445009, F=4.938620886357662, F_p=0.007595674231915054. The exact term summary is: const coef=7.979480966898073 p=0.0002324980652743676; recency_index coef=0.20847762268867717 p=0.11717810462678907; cites_num coef=0.1767288244054743 p=0.4457300074216669; venue_score coef=-2.594767629886551 p=0.00033059045345315476.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Mark Sturza, Viasat; Mark Dankberg, Viasat; William Blount, Viasat. Resilience of LEO Constellations to Accidental and Intentional Fragmentation Events (2024). doi:</w:t>
      </w:r>
      <w:r>
        <w:t xml:space="preserve"> </w:t>
      </w:r>
      <w:hyperlink r:id="rId68">
        <w:r>
          <w:rPr>
            <w:rStyle w:val="Hyperlink"/>
          </w:rPr>
          <w:t xml:space="preserve">10.64861/ZFDQ4641</w:t>
        </w:r>
      </w:hyperlink>
      <w:r>
        <w:t xml:space="preserve"> </w:t>
      </w:r>
      <w:bookmarkStart w:id="69" w:name="ref-2"/>
      <w:bookmarkEnd w:id="69"/>
      <w:r>
        <w:t xml:space="preserve">2.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0" w:name="ref-3"/>
      <w:bookmarkEnd w:id="70"/>
      <w:r>
        <w:t xml:space="preserve">3. Robert Carden, MITRE; Dustin Burchett, MITRE; Harvey Reed, MITRE. SNARE (Sensor Network Autonomous Resilient Extensible): Decentralized Sensor Tasking Improves SDA Tactical Relevance (2021). [AMOS]</w:t>
      </w:r>
      <w:r>
        <w:t xml:space="preserve"> </w:t>
      </w:r>
      <w:bookmarkStart w:id="71" w:name="ref-4"/>
      <w:bookmarkEnd w:id="71"/>
      <w:r>
        <w:t xml:space="preserve">4. Dan Oltrogge (Analytical Graphics Inc.), Patrick North (Analytical Graphics Inc.), Michael Nicolls (SRI). Multi-phenomenology Observation Network Evaluation Tool (MONET) (2014). [AMOS]</w:t>
      </w:r>
      <w:r>
        <w:t xml:space="preserve"> </w:t>
      </w:r>
      <w:bookmarkStart w:id="72" w:name="ref-5"/>
      <w:bookmarkEnd w:id="72"/>
      <w:r>
        <w:t xml:space="preserve">5.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73">
        <w:r>
          <w:rPr>
            <w:rStyle w:val="Hyperlink"/>
          </w:rPr>
          <w:t xml:space="preserve">10.64861/UELE5506</w:t>
        </w:r>
      </w:hyperlink>
      <w:r>
        <w:t xml:space="preserve"> </w:t>
      </w:r>
      <w:bookmarkStart w:id="74" w:name="ref-6"/>
      <w:bookmarkEnd w:id="74"/>
      <w:r>
        <w:t xml:space="preserve">6. John Boh, The University of Texas at Austin; Zachary Funke, AFIT/CIG; Maruthi Akella, The University of Texas at Austin. A Game-Theoretical Exploration of L1/L2 Cislunar Space Situational Awareness Using Bayesian Games (2025). doi:</w:t>
      </w:r>
      <w:r>
        <w:t xml:space="preserve"> </w:t>
      </w:r>
      <w:hyperlink r:id="rId75">
        <w:r>
          <w:rPr>
            <w:rStyle w:val="Hyperlink"/>
          </w:rPr>
          <w:t xml:space="preserve">10.64861/SIJX9169</w:t>
        </w:r>
      </w:hyperlink>
      <w:r>
        <w:t xml:space="preserve"> </w:t>
      </w:r>
      <w:bookmarkStart w:id="76" w:name="ref-7"/>
      <w:bookmarkEnd w:id="76"/>
      <w:r>
        <w:t xml:space="preserve">7.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77">
        <w:r>
          <w:rPr>
            <w:rStyle w:val="Hyperlink"/>
          </w:rPr>
          <w:t xml:space="preserve">10.64861/FBSC2978</w:t>
        </w:r>
      </w:hyperlink>
      <w:r>
        <w:t xml:space="preserve"> </w:t>
      </w:r>
      <w:bookmarkStart w:id="78" w:name="ref-8"/>
      <w:bookmarkEnd w:id="78"/>
      <w:r>
        <w:t xml:space="preserve">8. Aaron J. Rosengren, University of California San Diego; Shane D. Ross, Virginia Tech; Bhanu Kumar, Jet Propulsion Laboratory, Caltech; Anjali Rawat, Virginia Tech. The Resonant Structure of xGEO and Implications for Cislunar Domain Awareness (2024). doi:</w:t>
      </w:r>
      <w:r>
        <w:t xml:space="preserve"> </w:t>
      </w:r>
      <w:hyperlink r:id="rId79">
        <w:r>
          <w:rPr>
            <w:rStyle w:val="Hyperlink"/>
          </w:rPr>
          <w:t xml:space="preserve">10.64861/WCUO4665</w:t>
        </w:r>
      </w:hyperlink>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7.9795</w:t>
            </w:r>
          </w:p>
        </w:tc>
        <w:tc>
          <w:tcPr>
            <w:tcW w:w="0" w:type="auto"/>
          </w:tcPr>
          <w:p>
            <w:pPr>
              <w:spacing w:line="240" w:lineRule="auto" w:before="0" w:after="0"/>
              <w:pStyle w:val="Compact"/>
            </w:pPr>
            <w:r>
              <w:rPr>
                <w:sz w:val="20"/>
                <w:szCs w:val="20"/>
              </w:rPr>
              <w:t xml:space="preserve">2.1679</w:t>
            </w:r>
          </w:p>
        </w:tc>
        <w:tc>
          <w:tcPr>
            <w:tcW w:w="0" w:type="auto"/>
          </w:tcPr>
          <w:p>
            <w:pPr>
              <w:spacing w:line="240" w:lineRule="auto" w:before="0" w:after="0"/>
              <w:pStyle w:val="Compact"/>
            </w:pPr>
            <w:r>
              <w:rPr>
                <w:sz w:val="20"/>
                <w:szCs w:val="20"/>
              </w:rPr>
              <w:t xml:space="preserve">3.6808</w:t>
            </w:r>
          </w:p>
        </w:tc>
        <w:tc>
          <w:tcPr>
            <w:tcW w:w="0" w:type="auto"/>
          </w:tcPr>
          <w:p>
            <w:pPr>
              <w:spacing w:line="240" w:lineRule="auto" w:before="0" w:after="0"/>
              <w:pStyle w:val="Compact"/>
            </w:pPr>
            <w:r>
              <w:rPr>
                <w:sz w:val="20"/>
                <w:szCs w:val="20"/>
              </w:rPr>
              <w:t xml:space="preserve">0.0002325</w:t>
            </w:r>
          </w:p>
        </w:tc>
        <w:tc>
          <w:tcPr>
            <w:tcW w:w="0" w:type="auto"/>
          </w:tcPr>
          <w:p>
            <w:pPr>
              <w:spacing w:line="240" w:lineRule="auto" w:before="0" w:after="0"/>
              <w:pStyle w:val="Compact"/>
            </w:pPr>
            <w:r>
              <w:rPr>
                <w:sz w:val="20"/>
                <w:szCs w:val="20"/>
              </w:rPr>
              <w:t xml:space="preserve">[3.7305, 12.2284]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0.2085</w:t>
            </w:r>
          </w:p>
        </w:tc>
        <w:tc>
          <w:tcPr>
            <w:tcW w:w="0" w:type="auto"/>
          </w:tcPr>
          <w:p>
            <w:pPr>
              <w:spacing w:line="240" w:lineRule="auto" w:before="0" w:after="0"/>
              <w:pStyle w:val="Compact"/>
            </w:pPr>
            <w:r>
              <w:rPr>
                <w:sz w:val="20"/>
                <w:szCs w:val="20"/>
              </w:rPr>
              <w:t xml:space="preserve">0.1331</w:t>
            </w:r>
          </w:p>
        </w:tc>
        <w:tc>
          <w:tcPr>
            <w:tcW w:w="0" w:type="auto"/>
          </w:tcPr>
          <w:p>
            <w:pPr>
              <w:spacing w:line="240" w:lineRule="auto" w:before="0" w:after="0"/>
              <w:pStyle w:val="Compact"/>
            </w:pPr>
            <w:r>
              <w:rPr>
                <w:sz w:val="20"/>
                <w:szCs w:val="20"/>
              </w:rPr>
              <w:t xml:space="preserve">1.5667</w:t>
            </w:r>
          </w:p>
        </w:tc>
        <w:tc>
          <w:tcPr>
            <w:tcW w:w="0" w:type="auto"/>
          </w:tcPr>
          <w:p>
            <w:pPr>
              <w:spacing w:line="240" w:lineRule="auto" w:before="0" w:after="0"/>
              <w:pStyle w:val="Compact"/>
            </w:pPr>
            <w:r>
              <w:rPr>
                <w:sz w:val="20"/>
                <w:szCs w:val="20"/>
              </w:rPr>
              <w:t xml:space="preserve">0.1172</w:t>
            </w:r>
          </w:p>
        </w:tc>
        <w:tc>
          <w:tcPr>
            <w:tcW w:w="0" w:type="auto"/>
          </w:tcPr>
          <w:p>
            <w:pPr>
              <w:spacing w:line="240" w:lineRule="auto" w:before="0" w:after="0"/>
              <w:pStyle w:val="Compact"/>
            </w:pPr>
            <w:r>
              <w:rPr>
                <w:sz w:val="20"/>
                <w:szCs w:val="20"/>
              </w:rPr>
              <w:t xml:space="preserve">[-0.0523, 0.4693]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0.1767</w:t>
            </w:r>
          </w:p>
        </w:tc>
        <w:tc>
          <w:tcPr>
            <w:tcW w:w="0" w:type="auto"/>
          </w:tcPr>
          <w:p>
            <w:pPr>
              <w:spacing w:line="240" w:lineRule="auto" w:before="0" w:after="0"/>
              <w:pStyle w:val="Compact"/>
            </w:pPr>
            <w:r>
              <w:rPr>
                <w:sz w:val="20"/>
                <w:szCs w:val="20"/>
              </w:rPr>
              <w:t xml:space="preserve">0.2318</w:t>
            </w:r>
          </w:p>
        </w:tc>
        <w:tc>
          <w:tcPr>
            <w:tcW w:w="0" w:type="auto"/>
          </w:tcPr>
          <w:p>
            <w:pPr>
              <w:spacing w:line="240" w:lineRule="auto" w:before="0" w:after="0"/>
              <w:pStyle w:val="Compact"/>
            </w:pPr>
            <w:r>
              <w:rPr>
                <w:sz w:val="20"/>
                <w:szCs w:val="20"/>
              </w:rPr>
              <w:t xml:space="preserve">0.7626</w:t>
            </w:r>
          </w:p>
        </w:tc>
        <w:tc>
          <w:tcPr>
            <w:tcW w:w="0" w:type="auto"/>
          </w:tcPr>
          <w:p>
            <w:pPr>
              <w:spacing w:line="240" w:lineRule="auto" w:before="0" w:after="0"/>
              <w:pStyle w:val="Compact"/>
            </w:pPr>
            <w:r>
              <w:rPr>
                <w:sz w:val="20"/>
                <w:szCs w:val="20"/>
              </w:rPr>
              <w:t xml:space="preserve">0.4457</w:t>
            </w:r>
          </w:p>
        </w:tc>
        <w:tc>
          <w:tcPr>
            <w:tcW w:w="0" w:type="auto"/>
          </w:tcPr>
          <w:p>
            <w:pPr>
              <w:spacing w:line="240" w:lineRule="auto" w:before="0" w:after="0"/>
              <w:pStyle w:val="Compact"/>
            </w:pPr>
            <w:r>
              <w:rPr>
                <w:sz w:val="20"/>
                <w:szCs w:val="20"/>
              </w:rPr>
              <w:t xml:space="preserve">[-0.2775, 0.631]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-2.5948</w:t>
            </w:r>
          </w:p>
        </w:tc>
        <w:tc>
          <w:tcPr>
            <w:tcW w:w="0" w:type="auto"/>
          </w:tcPr>
          <w:p>
            <w:pPr>
              <w:spacing w:line="240" w:lineRule="auto" w:before="0" w:after="0"/>
              <w:pStyle w:val="Compact"/>
            </w:pPr>
            <w:r>
              <w:rPr>
                <w:sz w:val="20"/>
                <w:szCs w:val="20"/>
              </w:rPr>
              <w:t xml:space="preserve">0.7228</w:t>
            </w:r>
          </w:p>
        </w:tc>
        <w:tc>
          <w:tcPr>
            <w:tcW w:w="0" w:type="auto"/>
          </w:tcPr>
          <w:p>
            <w:pPr>
              <w:spacing w:line="240" w:lineRule="auto" w:before="0" w:after="0"/>
              <w:pStyle w:val="Compact"/>
            </w:pPr>
            <w:r>
              <w:rPr>
                <w:sz w:val="20"/>
                <w:szCs w:val="20"/>
              </w:rPr>
              <w:t xml:space="preserve">-3.5901</w:t>
            </w:r>
          </w:p>
        </w:tc>
        <w:tc>
          <w:tcPr>
            <w:tcW w:w="0" w:type="auto"/>
          </w:tcPr>
          <w:p>
            <w:pPr>
              <w:spacing w:line="240" w:lineRule="auto" w:before="0" w:after="0"/>
              <w:pStyle w:val="Compact"/>
            </w:pPr>
            <w:r>
              <w:rPr>
                <w:sz w:val="20"/>
                <w:szCs w:val="20"/>
              </w:rPr>
              <w:t xml:space="preserve">0.0003306</w:t>
            </w:r>
          </w:p>
        </w:tc>
        <w:tc>
          <w:tcPr>
            <w:tcW w:w="0" w:type="auto"/>
          </w:tcPr>
          <w:p>
            <w:pPr>
              <w:spacing w:line="240" w:lineRule="auto" w:before="0" w:after="0"/>
              <w:pStyle w:val="Compact"/>
            </w:pPr>
            <w:r>
              <w:rPr>
                <w:sz w:val="20"/>
                <w:szCs w:val="20"/>
              </w:rPr>
              <w:t xml:space="preserve">[-4.0114, -1.1782]</w:t>
            </w:r>
          </w:p>
        </w:tc>
      </w:tr>
    </w:tbl>
    <w:p>
      <w:pPr>
        <w:pStyle w:val="BodyText"/>
      </w:pPr>
      <w:r>
        <w:t xml:space="preserve">Fit: N = 30 R2 = 0.2885 R2_adj = 0.2064 F = 4.9386 F_p = 0.0076</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CISLUNAR_DEV_03\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https://amostech.space/year/2014/multi-phenomenology-observation-network-evaluation-tool-monet/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10.64861/SIJX9169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https://amostech.space/year/2008/ssa-building-blocks-transforming-your-data-and-applications-into-operational-capability/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10.64861/UPXT3411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10.64861/ULQH1998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10.1016/j.actaastro.2026.06.006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10.1016/j.actaastro.2021.06.017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10.1016/j.actaastro.2025.08.012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10.1016/j.actaastro.2025.11.007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10.1016/j.actaastro.2025.02.004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7.9795</w:t>
            </w:r>
          </w:p>
        </w:tc>
        <w:tc>
          <w:tcPr>
            <w:tcW w:w="0" w:type="auto"/>
          </w:tcPr>
          <w:p>
            <w:pPr>
              <w:spacing w:line="240" w:lineRule="auto" w:before="0" w:after="0"/>
              <w:pStyle w:val="Compact"/>
            </w:pPr>
            <w:r>
              <w:rPr>
                <w:sz w:val="20"/>
                <w:szCs w:val="20"/>
              </w:rPr>
              <w:t xml:space="preserve">2.1679</w:t>
            </w:r>
          </w:p>
        </w:tc>
        <w:tc>
          <w:tcPr>
            <w:tcW w:w="0" w:type="auto"/>
          </w:tcPr>
          <w:p>
            <w:pPr>
              <w:spacing w:line="240" w:lineRule="auto" w:before="0" w:after="0"/>
              <w:pStyle w:val="Compact"/>
            </w:pPr>
            <w:r>
              <w:rPr>
                <w:sz w:val="20"/>
                <w:szCs w:val="20"/>
              </w:rPr>
              <w:t xml:space="preserve">3.6808</w:t>
            </w:r>
          </w:p>
        </w:tc>
        <w:tc>
          <w:tcPr>
            <w:tcW w:w="0" w:type="auto"/>
          </w:tcPr>
          <w:p>
            <w:pPr>
              <w:spacing w:line="240" w:lineRule="auto" w:before="0" w:after="0"/>
              <w:pStyle w:val="Compact"/>
            </w:pPr>
            <w:r>
              <w:rPr>
                <w:sz w:val="20"/>
                <w:szCs w:val="20"/>
              </w:rPr>
              <w:t xml:space="preserve">0.0002325</w:t>
            </w:r>
          </w:p>
        </w:tc>
        <w:tc>
          <w:tcPr>
            <w:tcW w:w="0" w:type="auto"/>
          </w:tcPr>
          <w:p>
            <w:pPr>
              <w:spacing w:line="240" w:lineRule="auto" w:before="0" w:after="0"/>
              <w:pStyle w:val="Compact"/>
            </w:pPr>
            <w:r>
              <w:rPr>
                <w:sz w:val="20"/>
                <w:szCs w:val="20"/>
              </w:rPr>
              <w:t xml:space="preserve">[3.7305, 12.2284]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0.2085</w:t>
            </w:r>
          </w:p>
        </w:tc>
        <w:tc>
          <w:tcPr>
            <w:tcW w:w="0" w:type="auto"/>
          </w:tcPr>
          <w:p>
            <w:pPr>
              <w:spacing w:line="240" w:lineRule="auto" w:before="0" w:after="0"/>
              <w:pStyle w:val="Compact"/>
            </w:pPr>
            <w:r>
              <w:rPr>
                <w:sz w:val="20"/>
                <w:szCs w:val="20"/>
              </w:rPr>
              <w:t xml:space="preserve">0.1331</w:t>
            </w:r>
          </w:p>
        </w:tc>
        <w:tc>
          <w:tcPr>
            <w:tcW w:w="0" w:type="auto"/>
          </w:tcPr>
          <w:p>
            <w:pPr>
              <w:spacing w:line="240" w:lineRule="auto" w:before="0" w:after="0"/>
              <w:pStyle w:val="Compact"/>
            </w:pPr>
            <w:r>
              <w:rPr>
                <w:sz w:val="20"/>
                <w:szCs w:val="20"/>
              </w:rPr>
              <w:t xml:space="preserve">1.5667</w:t>
            </w:r>
          </w:p>
        </w:tc>
        <w:tc>
          <w:tcPr>
            <w:tcW w:w="0" w:type="auto"/>
          </w:tcPr>
          <w:p>
            <w:pPr>
              <w:spacing w:line="240" w:lineRule="auto" w:before="0" w:after="0"/>
              <w:pStyle w:val="Compact"/>
            </w:pPr>
            <w:r>
              <w:rPr>
                <w:sz w:val="20"/>
                <w:szCs w:val="20"/>
              </w:rPr>
              <w:t xml:space="preserve">0.1172</w:t>
            </w:r>
          </w:p>
        </w:tc>
        <w:tc>
          <w:tcPr>
            <w:tcW w:w="0" w:type="auto"/>
          </w:tcPr>
          <w:p>
            <w:pPr>
              <w:spacing w:line="240" w:lineRule="auto" w:before="0" w:after="0"/>
              <w:pStyle w:val="Compact"/>
            </w:pPr>
            <w:r>
              <w:rPr>
                <w:sz w:val="20"/>
                <w:szCs w:val="20"/>
              </w:rPr>
              <w:t xml:space="preserve">[-0.0523, 0.4693]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0.1767</w:t>
            </w:r>
          </w:p>
        </w:tc>
        <w:tc>
          <w:tcPr>
            <w:tcW w:w="0" w:type="auto"/>
          </w:tcPr>
          <w:p>
            <w:pPr>
              <w:spacing w:line="240" w:lineRule="auto" w:before="0" w:after="0"/>
              <w:pStyle w:val="Compact"/>
            </w:pPr>
            <w:r>
              <w:rPr>
                <w:sz w:val="20"/>
                <w:szCs w:val="20"/>
              </w:rPr>
              <w:t xml:space="preserve">0.2318</w:t>
            </w:r>
          </w:p>
        </w:tc>
        <w:tc>
          <w:tcPr>
            <w:tcW w:w="0" w:type="auto"/>
          </w:tcPr>
          <w:p>
            <w:pPr>
              <w:spacing w:line="240" w:lineRule="auto" w:before="0" w:after="0"/>
              <w:pStyle w:val="Compact"/>
            </w:pPr>
            <w:r>
              <w:rPr>
                <w:sz w:val="20"/>
                <w:szCs w:val="20"/>
              </w:rPr>
              <w:t xml:space="preserve">0.7626</w:t>
            </w:r>
          </w:p>
        </w:tc>
        <w:tc>
          <w:tcPr>
            <w:tcW w:w="0" w:type="auto"/>
          </w:tcPr>
          <w:p>
            <w:pPr>
              <w:spacing w:line="240" w:lineRule="auto" w:before="0" w:after="0"/>
              <w:pStyle w:val="Compact"/>
            </w:pPr>
            <w:r>
              <w:rPr>
                <w:sz w:val="20"/>
                <w:szCs w:val="20"/>
              </w:rPr>
              <w:t xml:space="preserve">0.4457</w:t>
            </w:r>
          </w:p>
        </w:tc>
        <w:tc>
          <w:tcPr>
            <w:tcW w:w="0" w:type="auto"/>
          </w:tcPr>
          <w:p>
            <w:pPr>
              <w:spacing w:line="240" w:lineRule="auto" w:before="0" w:after="0"/>
              <w:pStyle w:val="Compact"/>
            </w:pPr>
            <w:r>
              <w:rPr>
                <w:sz w:val="20"/>
                <w:szCs w:val="20"/>
              </w:rPr>
              <w:t xml:space="preserve">[-0.2775, 0.631]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-2.5948</w:t>
            </w:r>
          </w:p>
        </w:tc>
        <w:tc>
          <w:tcPr>
            <w:tcW w:w="0" w:type="auto"/>
          </w:tcPr>
          <w:p>
            <w:pPr>
              <w:spacing w:line="240" w:lineRule="auto" w:before="0" w:after="0"/>
              <w:pStyle w:val="Compact"/>
            </w:pPr>
            <w:r>
              <w:rPr>
                <w:sz w:val="20"/>
                <w:szCs w:val="20"/>
              </w:rPr>
              <w:t xml:space="preserve">0.7228</w:t>
            </w:r>
          </w:p>
        </w:tc>
        <w:tc>
          <w:tcPr>
            <w:tcW w:w="0" w:type="auto"/>
          </w:tcPr>
          <w:p>
            <w:pPr>
              <w:spacing w:line="240" w:lineRule="auto" w:before="0" w:after="0"/>
              <w:pStyle w:val="Compact"/>
            </w:pPr>
            <w:r>
              <w:rPr>
                <w:sz w:val="20"/>
                <w:szCs w:val="20"/>
              </w:rPr>
              <w:t xml:space="preserve">-3.5901</w:t>
            </w:r>
          </w:p>
        </w:tc>
        <w:tc>
          <w:tcPr>
            <w:tcW w:w="0" w:type="auto"/>
          </w:tcPr>
          <w:p>
            <w:pPr>
              <w:spacing w:line="240" w:lineRule="auto" w:before="0" w:after="0"/>
              <w:pStyle w:val="Compact"/>
            </w:pPr>
            <w:r>
              <w:rPr>
                <w:sz w:val="20"/>
                <w:szCs w:val="20"/>
              </w:rPr>
              <w:t xml:space="preserve">0.0003306</w:t>
            </w:r>
          </w:p>
        </w:tc>
        <w:tc>
          <w:tcPr>
            <w:tcW w:w="0" w:type="auto"/>
          </w:tcPr>
          <w:p>
            <w:pPr>
              <w:spacing w:line="240" w:lineRule="auto" w:before="0" w:after="0"/>
              <w:pStyle w:val="Compact"/>
            </w:pPr>
            <w:r>
              <w:rPr>
                <w:sz w:val="20"/>
                <w:szCs w:val="20"/>
              </w:rPr>
              <w:t xml:space="preserve">[-4.0114, -1.1782]</w:t>
            </w:r>
          </w:p>
        </w:tc>
      </w:tr>
    </w:tbl>
    <w:p>
      <w:pPr>
        <w:pStyle w:val="BodyText"/>
      </w:pPr>
      <w:r>
        <w:t xml:space="preserve">Fit: N = 30 R2 = 0.2885 R2_adj = 0.2064 F = 4.9386 F_p = 0.0076</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7" Target="https://doi.org/10.64861/FBSC2978" TargetMode="External" /><Relationship Type="http://schemas.openxmlformats.org/officeDocument/2006/relationships/hyperlink" Id="rId75" Target="https://doi.org/10.64861/SIJX9169" TargetMode="External" /><Relationship Type="http://schemas.openxmlformats.org/officeDocument/2006/relationships/hyperlink" Id="rId73" Target="https://doi.org/10.64861/UELE5506" TargetMode="External" /><Relationship Type="http://schemas.openxmlformats.org/officeDocument/2006/relationships/hyperlink" Id="rId79" Target="https://doi.org/10.64861/WCUO4665" TargetMode="External" /><Relationship Type="http://schemas.openxmlformats.org/officeDocument/2006/relationships/hyperlink" Id="rId68"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FBSC2978" TargetMode="External" /><Relationship Type="http://schemas.openxmlformats.org/officeDocument/2006/relationships/hyperlink" Id="rId75" Target="https://doi.org/10.64861/SIJX9169" TargetMode="External" /><Relationship Type="http://schemas.openxmlformats.org/officeDocument/2006/relationships/hyperlink" Id="rId73" Target="https://doi.org/10.64861/UELE5506" TargetMode="External" /><Relationship Type="http://schemas.openxmlformats.org/officeDocument/2006/relationships/hyperlink" Id="rId79" Target="https://doi.org/10.64861/WCUO4665" TargetMode="External" /><Relationship Type="http://schemas.openxmlformats.org/officeDocument/2006/relationships/hyperlink" Id="rId68"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2026-06-28T19:50:26Z</dcterms:created>
  <dcterms:modified xsi:type="dcterms:W3CDTF">2026-06-28T19:50:26Z</dcterms:modified>
</cp:coreProperties>
</file>

<file path=docProps/custom.xml><?xml version="1.0" encoding="utf-8"?>
<Properties xmlns="http://schemas.openxmlformats.org/officeDocument/2006/custom-properties" xmlns:vt="http://schemas.openxmlformats.org/officeDocument/2006/docPropsVTypes"/>
</file>