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LOGISTICS FRAGILITY ON THE EARTH-MOON SUPPLY LINE: NETWORK RESILIENCE UNDER SING</w:t>
      </w:r>
    </w:p>
    <w:p>
      <w:pPr>
        <w:jc w:val="center"/>
      </w:pPr>
    </w:p>
    <w:p>
      <w:pPr>
        <w:jc w:val="center"/>
      </w:pPr>
      <w:r>
        <w:rPr>
          <w:rFonts w:ascii="Times New Roman" w:hAnsi="Times New Roman"/>
          <w:sz w:val="24"/>
        </w:rPr>
        <w:t>by</w:t>
      </w:r>
    </w:p>
    <w:p>
      <w:pPr>
        <w:jc w:val="center"/>
      </w:pPr>
      <w:r>
        <w:rPr>
          <w:rFonts w:ascii="Times New Roman" w:hAnsi="Times New Roman"/>
          <w:b/>
          <w:sz w:val="28"/>
        </w:rPr>
        <w:t>Cora Stern</w:t>
      </w:r>
    </w:p>
    <w:p>
      <w:pPr>
        <w:jc w:val="center"/>
      </w:pPr>
      <w:r>
        <w:rPr>
          <w:rFonts w:ascii="Times New Roman" w:hAnsi="Times New Roman"/>
          <w:sz w:val="24"/>
        </w:rPr>
        <w:t>1B-LUN-175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Something has shifted in how we move cargo between Earth and the Moon. Through most of the space age, the one question that mattered was reachability: could a vehicle actually get to the lunar vicinity, and that came down to thrust, guidance, and the willingness to try. We have answered it. Planning now turns on a tougher puzzle, namely whether a repeating chain of vehicles, propellant depots, communications relays, navigation services, tracking sensors, surface habitats, and the agreements that govern them can go on delivering value once a single component starts to falter. I attach a label to the property in question, logistics fragility, by which I mean how far a cislunar supply line slips in operational usefulness once traffic, sensing, market, or institutional conditions wander off the plan. My subject is that fragility itself, and not the act of transport, and the entire design of this study grows from that choice of subject.</w:t>
      </w:r>
    </w:p>
    <w:p>
      <w:pPr>
        <w:pStyle w:val="BodyText"/>
        <w:spacing w:line="480" w:lineRule="auto"/>
        <w:ind w:firstLine="720"/>
      </w:pPr>
      <w:r>
        <w:t xml:space="preserve">Completing one flawless trip does not make a supply line resilient. Resilience is a different property. It shows up in whether the line holds onto service, information, and the ability to recover after something breaks, and in the cislunar regime the breaks come from angles a thrust-first mindset never sees coming.</w:t>
      </w:r>
    </w:p>
    <w:p>
      <w:pPr>
        <w:pStyle w:val="BodyText"/>
        <w:spacing w:line="480" w:lineRule="auto"/>
        <w:ind w:firstLine="720"/>
      </w:pPr>
      <w:r>
        <w:t xml:space="preserve">The literature on constellation fragmentation explains the reason. One fragmentation event, whether it happens by accident or by design, can ripple outward through a population of orbiting objects and pull down a whole service architecture instead of a lone spacecraft</w:t>
      </w:r>
      <w:r>
        <w:t xml:space="preserve"> </w:t>
      </w:r>
      <w:hyperlink w:anchor="ref-1">
        <w:r>
          <w:rPr>
            <w:rStyle w:val="Hyperlink"/>
          </w:rPr>
          <w:t xml:space="preserve">[1]</w:t>
        </w:r>
      </w:hyperlink>
      <w:r>
        <w:t xml:space="preserve">. Come at the same problem from governance and you land in the same place: work on decentralized information sharing finds that keeping space activity alive rests on data-exchange arrangements durable enough to outlast rival national and commercial motives</w:t>
      </w:r>
      <w:r>
        <w:t xml:space="preserve"> </w:t>
      </w:r>
      <w:hyperlink w:anchor="ref-2">
        <w:r>
          <w:rPr>
            <w:rStyle w:val="Hyperlink"/>
          </w:rPr>
          <w:t xml:space="preserve">[2]</w:t>
        </w:r>
      </w:hyperlink>
      <w:r>
        <w:t xml:space="preserve">. From the operational angle, sensor-network research tells a matching story, since an architecture built for resilience goes on delivering usable awareness exactly when a given sensor, a tasking assumption, or a communications path gives way</w:t>
      </w:r>
      <w:r>
        <w:t xml:space="preserve"> </w:t>
      </w:r>
      <w:hyperlink w:anchor="ref-3">
        <w:r>
          <w:rPr>
            <w:rStyle w:val="Hyperlink"/>
          </w:rPr>
          <w:t xml:space="preserve">[3]</w:t>
        </w:r>
      </w:hyperlink>
      <w:r>
        <w:t xml:space="preserve">. Not one of these three is a lunar-logistics paper in the strict sense. All three still converge on one structural truth. You cannot grade cislunar infrastructure by how well its separate pieces perform, because the value of any piece is set by the pieces around it, and a chain that looks healthy component by component can fail the moment one link forces the others to carry a load they were never sized for.</w:t>
      </w:r>
    </w:p>
    <w:bookmarkStart w:id="61" w:name="the-problem-this-dissertation-takes-on"/>
    <w:p>
      <w:pPr>
        <w:pStyle w:val="Heading2"/>
        <w:spacing w:line="480" w:lineRule="auto"/>
      </w:pPr>
      <w:r>
        <w:t xml:space="preserve">The problem this dissertation takes on</w:t>
      </w:r>
    </w:p>
    <w:p>
      <w:pPr>
        <w:pStyle w:val="FirstParagraph"/>
        <w:spacing w:line="480" w:lineRule="auto"/>
      </w:pPr>
      <w:r>
        <w:t xml:space="preserve">Two mature bodies of scholarship sit next to each other and almost never touch, and the space between them is where I work. To one side lies engineering scholarship that pins down cislunar motion, orbit determination, and traffic behavior to a fine grain</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2">
        <w:r>
          <w:rPr>
            <w:rStyle w:val="Hyperlink"/>
          </w:rPr>
          <w:t xml:space="preserve">[12]</w:t>
        </w:r>
      </w:hyperlink>
      <w:r>
        <w:t xml:space="preserve">. To the other lies writing on policy and economics that quarrels over markets, governance, and viability, frequently pitched so high it never brushes against the engineering record</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4">
        <w:r>
          <w:rPr>
            <w:rStyle w:val="Hyperlink"/>
          </w:rPr>
          <w:t xml:space="preserve">[14]</w:t>
        </w:r>
      </w:hyperlink>
      <w:r>
        <w:t xml:space="preserve">. A planner tasked with judging where fragility genuinely sits along the Earth Moon line finds neither body of work, taken by itself, much use.</w:t>
      </w:r>
    </w:p>
    <w:p>
      <w:pPr>
        <w:pStyle w:val="BodyText"/>
        <w:spacing w:line="480" w:lineRule="auto"/>
        <w:ind w:firstLine="720"/>
      </w:pPr>
      <w:r>
        <w:t xml:space="preserve">Engineering scholarship shows how a maneuver performs while saying nothing about whether the market and institutional attention around it is coherent enough to hold that maneuver up as a service. Policy writing declares that lunar development counts and seldom pinpoints where, inside the paper trail, that counting is heavy or thin.</w:t>
      </w:r>
    </w:p>
    <w:p>
      <w:pPr>
        <w:pStyle w:val="BodyText"/>
        <w:spacing w:line="480" w:lineRule="auto"/>
        <w:ind w:firstLine="720"/>
      </w:pPr>
      <w:r>
        <w:t xml:space="preserve">My move is to make the retrieved corpus stand as evidence in its own right, and I do this as a considered bet on method. In place of proclaiming that logistics fragility matters and then propping the proclamation up with cherry-picked cases, I put a question to a body of technical, policy, and market documents: does fragility show up as measurable structure inside them, and what does its showing up say about network resilience. The bet can be lost, which is precisely what recommends it. Suppose the topic signal inside the corpus proves detached from when things were published, from how much they were cited, and from what kind of venue carried them; then the assertion that fragility has hardened into a coherent object of professional concern collapses at the first hurdle, and every policy argument stacked on top inherits the collapse.</w:t>
      </w:r>
    </w:p>
    <w:bookmarkEnd w:id="61"/>
    <w:bookmarkStart w:id="62" w:name="why-this-is-the-right-moment-to-ask"/>
    <w:p>
      <w:pPr>
        <w:pStyle w:val="Heading2"/>
        <w:spacing w:line="480" w:lineRule="auto"/>
      </w:pPr>
      <w:r>
        <w:t xml:space="preserve">Why this is the right moment to ask</w:t>
      </w:r>
    </w:p>
    <w:p>
      <w:pPr>
        <w:pStyle w:val="FirstParagraph"/>
        <w:spacing w:line="480" w:lineRule="auto"/>
      </w:pPr>
      <w:r>
        <w:t xml:space="preserve">Part of what drives the study is the calendar. The cislunar regime is turning from somewhere a handful of national programs dropped in on into somewhere a widening roster of public and private actors mean to inhabit around the clock. Gateway has already converted station-keeping in a near-rectilinear halo orbit into a running operational chore that carries a standing propellant bill</w:t>
      </w:r>
      <w:r>
        <w:t xml:space="preserve"> </w:t>
      </w:r>
      <w:hyperlink w:anchor="ref-12">
        <w:r>
          <w:rPr>
            <w:rStyle w:val="Hyperlink"/>
          </w:rPr>
          <w:t xml:space="preserve">[12]</w:t>
        </w:r>
      </w:hyperlink>
      <w:r>
        <w:t xml:space="preserve">. What was once a curiosity for academics, the awareness problem, has hardened into a domain-awareness requirement, since the region’s resonant, many-body geometry fights off the tracking recipes that suit near-Earth orbits</w:t>
      </w:r>
      <w:r>
        <w:t xml:space="preserve"> </w:t>
      </w:r>
      <w:hyperlink w:anchor="ref-8">
        <w:r>
          <w:rPr>
            <w:rStyle w:val="Hyperlink"/>
          </w:rPr>
          <w:t xml:space="preserve">[8]</w:t>
        </w:r>
      </w:hyperlink>
      <w:r>
        <w:t xml:space="preserve">, and getting an initial orbit there now calls for adaptive rather than textbook methods</w:t>
      </w:r>
      <w:r>
        <w:t xml:space="preserve"> </w:t>
      </w:r>
      <w:hyperlink w:anchor="ref-7">
        <w:r>
          <w:rPr>
            <w:rStyle w:val="Hyperlink"/>
          </w:rPr>
          <w:t xml:space="preserve">[7]</w:t>
        </w:r>
      </w:hyperlink>
      <w:r>
        <w:t xml:space="preserve">. Meanwhile the market talk has grown up, sliding from guesswork toward the sober language of feasibility, on loan from terrestrial mining</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These strands ripened at roughly the same time.</w:t>
      </w:r>
    </w:p>
    <w:p>
      <w:pPr>
        <w:pStyle w:val="BodyText"/>
        <w:spacing w:line="480" w:lineRule="auto"/>
        <w:ind w:firstLine="720"/>
      </w:pPr>
      <w:r>
        <w:t xml:space="preserve">There is now enough on the record to screen, and it remains young enough that its shape has yet to set hard, so a study of how attention gets arranged pays off most at this precise stage, ahead of the field hardening into routines that only later seem to have been unavoidable.</w:t>
      </w:r>
    </w:p>
    <w:p>
      <w:pPr>
        <w:pStyle w:val="BodyText"/>
        <w:spacing w:line="480" w:lineRule="auto"/>
        <w:ind w:firstLine="720"/>
      </w:pPr>
      <w:r>
        <w:t xml:space="preserve">A further reason the timing counts has to do with choices whose consequences run long and are being locked in right now. Rules for traffic, deals for sharing information, and designs for sensing across the cislunar regime are all being written while the underlying evidence is still coming together, and whichever venue happens to hold the useful knowledge decides which officials ever lay eyes on it. Should the fragility knowledge pool in one channel while the people writing the rules read a different one, the rules end up resting on the weaker evidence. Charting where the knowledge pools is accordingly no scholarly ornament. It feeds directly into choices already in motion</w:t>
      </w:r>
      <w:r>
        <w:t xml:space="preserve"> </w:t>
      </w:r>
      <w:hyperlink w:anchor="ref-2">
        <w:r>
          <w:rPr>
            <w:rStyle w:val="Hyperlink"/>
          </w:rPr>
          <w:t xml:space="preserve">[2]</w:t>
        </w:r>
      </w:hyperlink>
      <w:r>
        <w:t xml:space="preserve">.</w:t>
      </w:r>
    </w:p>
    <w:bookmarkEnd w:id="62"/>
    <w:bookmarkStart w:id="63" w:name="the-one-falsifiable-contribution"/>
    <w:p>
      <w:pPr>
        <w:pStyle w:val="Heading2"/>
        <w:spacing w:line="480" w:lineRule="auto"/>
      </w:pPr>
      <w:r>
        <w:t xml:space="preserve">The one falsifiable contribution</w:t>
      </w:r>
    </w:p>
    <w:p>
      <w:pPr>
        <w:pStyle w:val="FirstParagraph"/>
        <w:spacing w:line="480" w:lineRule="auto"/>
      </w:pPr>
      <w:r>
        <w:t xml:space="preserve">Here is the wager the dissertation makes, along with the route by which it can be knocked down. Documents that touch on logistics fragility along the Earth Moon line do not fall out as a random spray. They hold measurable structure, and the leading axis of that structure is what family of venue carried the work, ahead of the sheer pile-up of citations. Put as rival hypotheses:</w:t>
      </w:r>
    </w:p>
    <w:p>
      <w:pPr>
        <w:pStyle w:val="BodyText"/>
        <w:spacing w:line="480" w:lineRule="auto"/>
        <w:ind w:firstLine="720"/>
      </w:pPr>
      <w:r>
        <w:t xml:space="preserve">H0: topic-signal intensity in the retrieved corpus is unrelated to publication recency, citation attention, and venue family.</w:t>
      </w:r>
    </w:p>
    <w:p>
      <w:pPr>
        <w:pStyle w:val="BodyText"/>
        <w:spacing w:line="480" w:lineRule="auto"/>
        <w:ind w:firstLine="720"/>
      </w:pPr>
      <w:r>
        <w:t xml:space="preserve">H1: topic-signal intensity is systematically related to those metadata dimensions, with venue family carrying the load.</w:t>
      </w:r>
    </w:p>
    <w:p>
      <w:pPr>
        <w:pStyle w:val="BodyText"/>
        <w:spacing w:line="480" w:lineRule="auto"/>
        <w:ind w:firstLine="720"/>
      </w:pPr>
      <w:r>
        <w:t xml:space="preserve">Any reader can put that hypothesis to death. Fit an ordinary least squares screen; should it turn up no joint significance, or should venue family blur into noise once recency and citation attention are pinned in place, then H1 is out and the dissertation admits as much without softening it. What I offer is not a sweeping model of lunar logistics. The ambition is smaller and firmer. It is a controlled, checkable demonstration of where the professional record on cislunar fragility gathers and where it is only wishful.</w:t>
      </w:r>
    </w:p>
    <w:bookmarkEnd w:id="63"/>
    <w:bookmarkStart w:id="64" w:name="what-the-evidence-shows-in-brief"/>
    <w:p>
      <w:pPr>
        <w:pStyle w:val="Heading2"/>
        <w:spacing w:line="480" w:lineRule="auto"/>
      </w:pPr>
      <w:r>
        <w:t xml:space="preserve">What the evidence shows, in brief</w:t>
      </w:r>
    </w:p>
    <w:p>
      <w:pPr>
        <w:pStyle w:val="FirstParagraph"/>
        <w:spacing w:line="480" w:lineRule="auto"/>
      </w:pPr>
      <w:r>
        <w:t xml:space="preserve">Holding the argument up are two screens run over one shared set of 30 retrieved source records. Chapter 6 lays both out in full; the headline figures belong here so the reader sees at once that the case rests on numbers and not on eagerness.</w:t>
      </w:r>
    </w:p>
    <w:p>
      <w:pPr>
        <w:pStyle w:val="BodyText"/>
        <w:spacing w:line="480" w:lineRule="auto"/>
        <w:ind w:firstLine="720"/>
      </w:pPr>
      <w:r>
        <w:t xml:space="preserve">Screen one is an ordinary least squares model that puts topic-signal intensity against recency, citation count, and an ordinal venue-family score, fitted with heteroskedasticity-robust HC1 standard errors. It hands back R squared of 0.28849550288817327, adjusted R squared of 0.2063988301445009, and a model F of 4.938620886357662 at p equal to 0.007595674231915054. That joint test passes conventional significance. Venue family arrives negative and tightly pinned, at minus 2.594767629886551 with p equal to 0.00033059045345315476. Recency and citation count each land positive in point terms while staying loose one at a time. So there is structure in the corpus, and the structure travels through venue rather than through how much a work was cited.</w:t>
      </w:r>
    </w:p>
    <w:p>
      <w:pPr>
        <w:pStyle w:val="BodyText"/>
        <w:spacing w:line="480" w:lineRule="auto"/>
        <w:ind w:firstLine="720"/>
      </w:pPr>
      <w:r>
        <w:t xml:space="preserve">Screen two is a log-log learning-curve model, putting citation build-up against how old an article is. It hands back R squared of 0.02379527105299184 and an age elasticity of minus 0.18301668782137426, the age term loose at p equal to 0.3180038602261801. Age tells us next to nothing about how citations pile up in this corpus. The cislunar-fragility writing is no orderly growth tale in which older papers merely rack up more citations.</w:t>
      </w:r>
    </w:p>
    <w:p>
      <w:pPr>
        <w:pStyle w:val="BodyText"/>
        <w:spacing w:line="480" w:lineRule="auto"/>
        <w:ind w:firstLine="720"/>
      </w:pPr>
      <w:r>
        <w:t xml:space="preserve">Held side by side, the two screens spell out a coherent and faintly awkward account. What draws attention to logistics fragility is where the work appears in print, not how long it has had to gather citations. That is just the picture an emerging field paints while its venues are still finding their footing, and it warns off anyone inclined to read raw citation counts as a chart of what matters.</w:t>
      </w:r>
    </w:p>
    <w:bookmarkEnd w:id="64"/>
    <w:bookmarkStart w:id="65" w:name="Xc9a61f4ab949596b742926820998587ae5c7079"/>
    <w:p>
      <w:pPr>
        <w:pStyle w:val="Heading2"/>
        <w:spacing w:line="480" w:lineRule="auto"/>
      </w:pPr>
      <w:r>
        <w:t xml:space="preserve">What a reader should take from the method choice</w:t>
      </w:r>
    </w:p>
    <w:p>
      <w:pPr>
        <w:pStyle w:val="FirstParagraph"/>
        <w:spacing w:line="480" w:lineRule="auto"/>
      </w:pPr>
      <w:r>
        <w:t xml:space="preserve">A word is due on why I read metadata rather than poll experts or run a simulation. Each of those routes carries a specific failure mode that reading metadata sidesteps. Polling experts would report where a few well-placed people believe fragility sits, which is worth having and is also exactly the sort of received wisdom the study aims to weigh against the record. A simulation would report how a modeled line behaves under modeled shocks, which is potent and leans wholly on assumptions I would have picked. Reading the corpus has failure modes of its own, set down candidly in Chapter 7, and it holds one advantage the others do not, that it can be reproduced from objects anyone can obtain. Each record names a source, each variable follows a stated rule, and any reader can rebuild the numbers.</w:t>
      </w:r>
    </w:p>
    <w:p>
      <w:pPr>
        <w:pStyle w:val="BodyText"/>
        <w:spacing w:line="480" w:lineRule="auto"/>
        <w:ind w:firstLine="720"/>
      </w:pPr>
      <w:r>
        <w:t xml:space="preserve">That rebuildability is why a plain descriptive result can still add something real. It is a claim open to checking, not a verdict that must simply be believed.</w:t>
      </w:r>
    </w:p>
    <w:p>
      <w:pPr>
        <w:pStyle w:val="BodyText"/>
        <w:spacing w:line="480" w:lineRule="auto"/>
        <w:ind w:firstLine="720"/>
      </w:pPr>
      <w:r>
        <w:t xml:space="preserve">The design also turns down a temptation that hangs over this whole territory. Writing a rousing dissertation about the lunar economy to come, dressing it with citations, and never once putting a claim in harm’s way would be easy. The two screens are there to stop that. They pin the argument’s survival to the structure the corpus actually holds, and they are set up so the corpus is free to turn the hypothesis down. A finding that could never have come out otherwise is not worth writing up; these could have, and one of the two nulls does in fact live.</w:t>
      </w:r>
    </w:p>
    <w:bookmarkEnd w:id="65"/>
    <w:bookmarkStart w:id="66" w:name="the-stakes-if-the-map-is-wrong"/>
    <w:p>
      <w:pPr>
        <w:pStyle w:val="Heading2"/>
        <w:spacing w:line="480" w:lineRule="auto"/>
      </w:pPr>
      <w:r>
        <w:t xml:space="preserve">The stakes if the map is wrong</w:t>
      </w:r>
    </w:p>
    <w:p>
      <w:pPr>
        <w:pStyle w:val="FirstParagraph"/>
        <w:spacing w:line="480" w:lineRule="auto"/>
      </w:pPr>
      <w:r>
        <w:t xml:space="preserve">Picture a cislunar program that reads the location of fragility wrong. Say a planning shop, leaning on the hopeful policy writing, decides the pinch point for a lunar line is getting a market going and that the technical resilience worries are handled or close to it. It bankrolls market studies, writes commercial-incentive frameworks, and files the awareness and station-keeping layers under procurement detail. Then a fragmentation event chews up a relay, or a lapse in station-keeping ripples through a loitering depot, and the shop learns that the fragility it set aside was the one that counted. That lesson gets billed in stranded hardware and missed launch windows, not in citations.</w:t>
      </w:r>
    </w:p>
    <w:p>
      <w:pPr>
        <w:pStyle w:val="BodyText"/>
        <w:spacing w:line="480" w:lineRule="auto"/>
        <w:ind w:firstLine="720"/>
      </w:pPr>
      <w:r>
        <w:t xml:space="preserve">The exposure cuts the other way as well. A shop that leans too hard on the technical resilience writing and waves off the institutional layer can stand up a gorgeously engineered line whose information-sharing deals buckle under clashing national motives, so the network goes blind to its own condition right when sight is essential</w:t>
      </w:r>
      <w:r>
        <w:t xml:space="preserve"> </w:t>
      </w:r>
      <w:hyperlink w:anchor="ref-2">
        <w:r>
          <w:rPr>
            <w:rStyle w:val="Hyperlink"/>
          </w:rPr>
          <w:t xml:space="preserve">[2]</w:t>
        </w:r>
      </w:hyperlink>
      <w:r>
        <w:t xml:space="preserve">. Fragility does not live in a single layer. It spreads across how the technical, institutional, and economic pieces are coupled, and a chart telling officials which venue family really studies each piece feeds directly into getting the split right. This dissertation puts no price on any of these breakdowns. It shows where the professional attention that could price them collects, which is the move that has to come first.</w:t>
      </w:r>
    </w:p>
    <w:p>
      <w:pPr>
        <w:pStyle w:val="BodyText"/>
        <w:spacing w:line="480" w:lineRule="auto"/>
        <w:ind w:firstLine="720"/>
      </w:pPr>
      <w:r>
        <w:t xml:space="preserve">The exposure also accounts for why I made the contribution refutable rather than merely for show. A cozy dissertation could tour the fragility problem, wave at how much it matters, and never chance a result. I take the chance deliberately. Were the corpus shapeless, or venue empty of signal, the central claim would die and the chart would be junk, and the design was built so that ending was live. That it did not arrive is what earns the chart a look.</w:t>
      </w:r>
    </w:p>
    <w:bookmarkEnd w:id="66"/>
    <w:bookmarkStart w:id="67" w:name="roadmap"/>
    <w:p>
      <w:pPr>
        <w:pStyle w:val="Heading2"/>
        <w:spacing w:line="480" w:lineRule="auto"/>
      </w:pPr>
      <w:r>
        <w:t xml:space="preserve">Roadmap</w:t>
      </w:r>
    </w:p>
    <w:p>
      <w:pPr>
        <w:pStyle w:val="FirstParagraph"/>
        <w:spacing w:line="480" w:lineRule="auto"/>
      </w:pPr>
      <w:r>
        <w:t xml:space="preserve">The chapters ahead assemble the argument in the sequence a doubting committee would insist on. Chapter 2 sets the work beside the earlier technical, governance, and economic writing, pulling the particular threads that make fragility the correct object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8">
        <w:r>
          <w:rPr>
            <w:rStyle w:val="Hyperlink"/>
          </w:rPr>
          <w:t xml:space="preserve">[8]</w:t>
        </w:r>
      </w:hyperlink>
      <w:r>
        <w:t xml:space="preserve"> </w:t>
      </w:r>
      <w:hyperlink w:anchor="ref-15">
        <w:r>
          <w:rPr>
            <w:rStyle w:val="Hyperlink"/>
          </w:rPr>
          <w:t xml:space="preserve">[15]</w:t>
        </w:r>
      </w:hyperlink>
      <w:r>
        <w:t xml:space="preserve">. Chapter 3 works out the mechanism and lays down the testable predictions, tying corpus structure back to the resilience problem underneath. Chapter 4 sets out the two estimators and makes the case for why each identifies what it says it does, limits of identification included, in a design reading metadata rather than mission telemetry. Chapter 5 records the dataset: the 30 records, the sources standing behind each, and the fixed rule that builds every variable. Chapter 6 hands back both estimators to the decimal, coefficient by coefficient, and reads the signs and sizes. Chapter 7 meets the threats to validity head on, spelling out what the corpus screen cannot reveal. Chapter 8 gathers the contribution, ties it to governance and program relevance, and lays out the document-coding design that would carry the work forward.</w:t>
      </w:r>
    </w:p>
    <w:p>
      <w:pPr>
        <w:pStyle w:val="BodyText"/>
        <w:spacing w:line="480" w:lineRule="auto"/>
        <w:ind w:firstLine="720"/>
      </w:pPr>
      <w:r>
        <w:t xml:space="preserve">One boundary is worth setting down at the start, once, so it tints all that comes after. This design examines corpus structure, not ultimate causal policy impact. It reveals where the record on cislunar logistics fragility is arranged and where it wears thin. It does not, and on its own evidence cannot, establish that a given supply-line architecture will or will not weather a given shock. That heavier claim wants mission data and hands-on document coding, and Chapter 8 spells out just how to reach it. What sits on offer here is the first disciplined chart, drawn honestly.</w:t>
      </w:r>
    </w:p>
    <w:bookmarkEnd w:id="67"/>
    <w:bookmarkStart w:id="68" w:name="Xd04e66249784970943b660a939ba21cb29bf244"/>
    <w:p>
      <w:pPr>
        <w:pStyle w:val="Heading2"/>
        <w:spacing w:line="480" w:lineRule="auto"/>
      </w:pPr>
      <w:r>
        <w:t xml:space="preserve">How the argument avoids the traps of its genre</w:t>
      </w:r>
    </w:p>
    <w:p>
      <w:pPr>
        <w:pStyle w:val="FirstParagraph"/>
        <w:spacing w:line="480" w:lineRule="auto"/>
      </w:pPr>
      <w:r>
        <w:t xml:space="preserve">Dissertations about frontier infrastructure drop into familiar traps, and spelling out how this one walks around them belongs to the contribution itself. The first is the enthusiasm trap, where the writer’s belief that lunar development matters stands in for proof that any single claim holds. The two screens are the cure, because they force the argument to answer to the corpus and not to belief, and they let the corpus turn the hypothesis down. The second is the false-precision trap, where a model decked in decimals gets sold as settling a question the data never reaches. The design pushes back by saying, again and early, that it screens corpus structure and takes no measure of operational resilience, so no reader mistakes a descriptive coefficient for a causal one.</w:t>
      </w:r>
    </w:p>
    <w:p>
      <w:pPr>
        <w:pStyle w:val="BodyText"/>
        <w:spacing w:line="480" w:lineRule="auto"/>
        <w:ind w:firstLine="720"/>
      </w:pPr>
      <w:r>
        <w:t xml:space="preserve">The third is the comprehensiveness trap, where the writer sets out to model the whole lunar-logistics system and ends up with something too big to test and too mushy to refute. This dissertation turns down scope it cannot back. It takes on one measurable question about how attention gets arranged and argues that question hard instead of gesturing at the lot. The fourth is the analogy trap, where an earthly comparison gets pulled until it dictates conclusions the physics will not bear</w:t>
      </w:r>
      <w:r>
        <w:t xml:space="preserve"> </w:t>
      </w:r>
      <w:hyperlink w:anchor="ref-10">
        <w:r>
          <w:rPr>
            <w:rStyle w:val="Hyperlink"/>
          </w:rPr>
          <w:t xml:space="preserve">[10]</w:t>
        </w:r>
      </w:hyperlink>
      <w:r>
        <w:t xml:space="preserve">. The design draws on the earlier writing to build its mechanism and then tests that mechanism against the record, rather than letting any one analogy shut the argument. Walking around these four traps is not a matter of taste. It is what lets a plain result stand up as a real one.</w:t>
      </w:r>
    </w:p>
    <w:p>
      <w:pPr>
        <w:pStyle w:val="BodyText"/>
        <w:spacing w:line="480" w:lineRule="auto"/>
        <w:ind w:firstLine="720"/>
      </w:pPr>
      <w:r>
        <w:t xml:space="preserve">A fifth trap belongs specifically to bibliometric work, the reflex of treating citation counts as an oracle of what matters. Screen two exists in part to catch that trap on this ground. By showing that citation build-up does not sort by age here, the design proves on its own evidence why citation counts should not double as a chart of importance in a young field, in place of merely warning against it. A dissertation that leaned on citation counts uncritically would have tumbled into the very trap its own second screen was made to expose.</w:t>
      </w:r>
    </w:p>
    <w:bookmarkEnd w:id="68"/>
    <w:bookmarkStart w:id="69" w:name="a-note-on-scope-and-vocabulary"/>
    <w:p>
      <w:pPr>
        <w:pStyle w:val="Heading2"/>
        <w:spacing w:line="480" w:lineRule="auto"/>
      </w:pPr>
      <w:r>
        <w:t xml:space="preserve">A note on scope and vocabulary</w:t>
      </w:r>
    </w:p>
    <w:p>
      <w:pPr>
        <w:pStyle w:val="FirstParagraph"/>
        <w:spacing w:line="480" w:lineRule="auto"/>
      </w:pPr>
      <w:r>
        <w:t xml:space="preserve">Two words from the title want an early gloss so no reader hauls a mistaken expectation into the chapters. Logistics fragility, as I use it, is how prone a supply line is to shed operational value once something interrupts it. It belongs to the whole chain and to no single piece, and it comes out in three forms the corpus lets me trace through its neighboring writings: failure spreading across linked components</w:t>
      </w:r>
      <w:r>
        <w:t xml:space="preserve"> </w:t>
      </w:r>
      <w:hyperlink w:anchor="ref-1">
        <w:r>
          <w:rPr>
            <w:rStyle w:val="Hyperlink"/>
          </w:rPr>
          <w:t xml:space="preserve">[1]</w:t>
        </w:r>
      </w:hyperlink>
      <w:r>
        <w:t xml:space="preserve">, the running cost of keeping position and awareness</w:t>
      </w:r>
      <w:r>
        <w:t xml:space="preserve"> </w:t>
      </w:r>
      <w:hyperlink w:anchor="ref-8">
        <w:r>
          <w:rPr>
            <w:rStyle w:val="Hyperlink"/>
          </w:rPr>
          <w:t xml:space="preserve">[8]</w:t>
        </w:r>
      </w:hyperlink>
      <w:r>
        <w:t xml:space="preserve"> </w:t>
      </w:r>
      <w:hyperlink w:anchor="ref-12">
        <w:r>
          <w:rPr>
            <w:rStyle w:val="Hyperlink"/>
          </w:rPr>
          <w:t xml:space="preserve">[12]</w:t>
        </w:r>
      </w:hyperlink>
      <w:r>
        <w:t xml:space="preserve">, and the institutional brittleness of information deals hung on one willing supplier</w:t>
      </w:r>
      <w:r>
        <w:t xml:space="preserve"> </w:t>
      </w:r>
      <w:hyperlink w:anchor="ref-2">
        <w:r>
          <w:rPr>
            <w:rStyle w:val="Hyperlink"/>
          </w:rPr>
          <w:t xml:space="preserve">[2]</w:t>
        </w:r>
      </w:hyperlink>
      <w:r>
        <w:t xml:space="preserve">. Network resilience is the mirror image, the power to keep service running and to recover through those same interruptions. I study fragility because the record talks about it in harder terms than it talks about resilience, and because fragility is the shortfall that officials are actually forced to price.</w:t>
      </w:r>
    </w:p>
    <w:p>
      <w:pPr>
        <w:pStyle w:val="BodyText"/>
        <w:spacing w:line="480" w:lineRule="auto"/>
        <w:ind w:firstLine="720"/>
      </w:pPr>
      <w:r>
        <w:t xml:space="preserve">I keep the scope tight on purpose, and the tightness is a strength, not a dodge. The dissertation does not claim to model the lunar economy, guess at launch cadence, or rank architectures. It makes one measurable claim about how the professional record is arranged and defends that claim against its own edges. A doctoral contribution need not be big to be real; it has to be true, checkable, and aimed at a question that counts. The chapters ahead keep to that bar, and they end on the specific next design that would move the work from charting where attention lands to testing whether attention follows substance.</w:t>
      </w:r>
    </w:p>
    <w:bookmarkEnd w:id="69"/>
    <w:bookmarkEnd w:id="70"/>
    <w:bookmarkStart w:id="79" w:name="chapter-2.-literature-and-prior-work"/>
    <w:p>
      <w:pPr>
        <w:pStyle w:val="Heading1"/>
        <w:spacing w:line="480" w:lineRule="auto"/>
      </w:pPr>
      <w:r>
        <w:t xml:space="preserve">Chapter 2. Literature and Prior Work</w:t>
      </w:r>
    </w:p>
    <w:p>
      <w:pPr>
        <w:pStyle w:val="FirstParagraph"/>
        <w:spacing w:line="480" w:lineRule="auto"/>
      </w:pPr>
      <w:r>
        <w:t xml:space="preserve">Scholarship bearing on logistics fragility in the cislunar regime never presents itself as one tidy field. It arrives in pieces. Three currents run through it, each raised for its own ends, each in the habit of ignoring the other two, and each so absorbed in the problems its own venue was built to solve that the fragility question falling between them goes unclaimed. The first is technical and operational, taken up with how objects travel, how they get tracked, and how sensing falls off. The second is institutional, taken up with trust, the sharing of information, and the governance that lets a common domain work at all. The third is economic, taken up with whether lunar and cislunar activity can be made to turn a profit. This chapter reads each current for what it lends to a fragility view and, no less, for the join where it runs out.</w:t>
      </w:r>
    </w:p>
    <w:p>
      <w:pPr>
        <w:pStyle w:val="BodyText"/>
        <w:spacing w:line="480" w:lineRule="auto"/>
        <w:ind w:firstLine="720"/>
      </w:pPr>
      <w:r>
        <w:t xml:space="preserve">A word on method is due before the currents get read. This chapter makes no bid for a complete survey of cislunar research, which would be beyond reach and beside the point. It reads the particular works retrieval brought up as bearing on logistics fragility, and it reads them toward one end, fixing the mechanism the dissertation will test and locating the join the dissertation will measure. Anyone after a full bibliography of lunar logistics should look elsewhere. Anyone wanting to grasp why fragility is the right object and why venue structure is the right thing to measure will find that case assembled here, one work at a time.</w:t>
      </w:r>
    </w:p>
    <w:bookmarkStart w:id="71" w:name="X945c05ebb032caacbdfbbffa1c5b23f17abdfe2"/>
    <w:p>
      <w:pPr>
        <w:pStyle w:val="Heading2"/>
        <w:spacing w:line="480" w:lineRule="auto"/>
      </w:pPr>
      <w:r>
        <w:t xml:space="preserve">Fragility as a first-order property of space systems</w:t>
      </w:r>
    </w:p>
    <w:p>
      <w:pPr>
        <w:pStyle w:val="FirstParagraph"/>
        <w:spacing w:line="480" w:lineRule="auto"/>
      </w:pPr>
      <w:r>
        <w:t xml:space="preserve">The plainest declaration that resilience belongs at the heart of space operations comes out of the constellation-fragmentation writing. Viasat’s study of low Earth orbit constellations breaking up by accident and by intent treats a rupture in one part of the population as an event for the whole system, since debris and lost service travel outward</w:t>
      </w:r>
      <w:r>
        <w:t xml:space="preserve"> </w:t>
      </w:r>
      <w:hyperlink w:anchor="ref-1">
        <w:r>
          <w:rPr>
            <w:rStyle w:val="Hyperlink"/>
          </w:rPr>
          <w:t xml:space="preserve">[1]</w:t>
        </w:r>
      </w:hyperlink>
      <w:r>
        <w:t xml:space="preserve">. That framing carries straight over to the Earth Moon line. No depot, relay, or tracking node stands alone; each is a link whose loss rewrites the worth of every other link that hung on it. So the fragility question stops being</w:t>
      </w:r>
      <w:r>
        <w:t xml:space="preserve"> </w:t>
      </w:r>
      <w:r>
        <w:t xml:space="preserve">“will this piece work”</w:t>
      </w:r>
      <w:r>
        <w:t xml:space="preserve"> </w:t>
      </w:r>
      <w:r>
        <w:t xml:space="preserve">and turns into</w:t>
      </w:r>
      <w:r>
        <w:t xml:space="preserve"> </w:t>
      </w:r>
      <w:r>
        <w:t xml:space="preserve">“what does the chain forfeit when it does not.”</w:t>
      </w:r>
    </w:p>
    <w:p>
      <w:pPr>
        <w:pStyle w:val="BodyText"/>
        <w:spacing w:line="480" w:lineRule="auto"/>
        <w:ind w:firstLine="720"/>
      </w:pPr>
      <w:r>
        <w:t xml:space="preserve">Sensing brings the point into focus. SNARE’s work on decentralized, self-directing sensor tasking holds that an architecture built for resilience gains tactical relevance exactly because it keeps turning out usable awareness when a given sensor, a tasking premise, or a comms path shifts</w:t>
      </w:r>
      <w:r>
        <w:t xml:space="preserve"> </w:t>
      </w:r>
      <w:hyperlink w:anchor="ref-3">
        <w:r>
          <w:rPr>
            <w:rStyle w:val="Hyperlink"/>
          </w:rPr>
          <w:t xml:space="preserve">[3]</w:t>
        </w:r>
      </w:hyperlink>
      <w:r>
        <w:t xml:space="preserve">. A brittle sensing layer inverts that. It pours out fine awareness under calm conditions and none under strain, which is the worst possible trait for a line that wants awareness only after trouble has already struck. MONET’s evaluation framework for multi-phenomenology observation networks supplies the matching methodological point, showing that a network’s performance has to be scored as a network and not as a heap of instruments</w:t>
      </w:r>
      <w:r>
        <w:t xml:space="preserve"> </w:t>
      </w:r>
      <w:hyperlink w:anchor="ref-4">
        <w:r>
          <w:rPr>
            <w:rStyle w:val="Hyperlink"/>
          </w:rPr>
          <w:t xml:space="preserve">[4]</w:t>
        </w:r>
      </w:hyperlink>
      <w:r>
        <w:t xml:space="preserve">. The Proliferated Sensor Network study pushes this into an outright architecture-optimization problem, handling sensor count, placement, and tasking as things designed together rather than bought apart</w:t>
      </w:r>
      <w:r>
        <w:t xml:space="preserve"> </w:t>
      </w:r>
      <w:hyperlink w:anchor="ref-5">
        <w:r>
          <w:rPr>
            <w:rStyle w:val="Hyperlink"/>
          </w:rPr>
          <w:t xml:space="preserve">[5]</w:t>
        </w:r>
      </w:hyperlink>
      <w:r>
        <w:t xml:space="preserve">. Taken as a group, these four settle that fragility can be measured, that it lives at the network level, and that it is engineered rather than stumbled upon.</w:t>
      </w:r>
    </w:p>
    <w:p>
      <w:pPr>
        <w:pStyle w:val="BodyText"/>
        <w:spacing w:line="480" w:lineRule="auto"/>
        <w:ind w:firstLine="720"/>
      </w:pPr>
      <w:r>
        <w:t xml:space="preserve">Tucked inside this cluster is a methodological lesson the dissertation carries onward. Neither the fragmentation nor the sensing writing treats resilience as a banner; each turns it into quantities open to evaluation. Viasat tallies how fragments spread and how service falls off</w:t>
      </w:r>
      <w:r>
        <w:t xml:space="preserve"> </w:t>
      </w:r>
      <w:hyperlink w:anchor="ref-1">
        <w:r>
          <w:rPr>
            <w:rStyle w:val="Hyperlink"/>
          </w:rPr>
          <w:t xml:space="preserve">[1]</w:t>
        </w:r>
      </w:hyperlink>
      <w:r>
        <w:t xml:space="preserve">. MONET grades a network’s performance as a network</w:t>
      </w:r>
      <w:r>
        <w:t xml:space="preserve"> </w:t>
      </w:r>
      <w:hyperlink w:anchor="ref-4">
        <w:r>
          <w:rPr>
            <w:rStyle w:val="Hyperlink"/>
          </w:rPr>
          <w:t xml:space="preserve">[4]</w:t>
        </w:r>
      </w:hyperlink>
      <w:r>
        <w:t xml:space="preserve">. The proliferated-sensor study tunes an architecture against measurable aims</w:t>
      </w:r>
      <w:r>
        <w:t xml:space="preserve"> </w:t>
      </w:r>
      <w:hyperlink w:anchor="ref-5">
        <w:r>
          <w:rPr>
            <w:rStyle w:val="Hyperlink"/>
          </w:rPr>
          <w:t xml:space="preserve">[5]</w:t>
        </w:r>
      </w:hyperlink>
      <w:r>
        <w:t xml:space="preserve">. Every one of them turns a soft word into a hard measure, and this dissertation repeats the move. It turns fragility attention into a fixed topic-signal score, and the precedent in this current is part of what warrants doing so.</w:t>
      </w:r>
    </w:p>
    <w:bookmarkEnd w:id="71"/>
    <w:bookmarkStart w:id="72" w:name="Xc2e1679261baaee3079c2e1454fc3b2c7e27a38"/>
    <w:p>
      <w:pPr>
        <w:pStyle w:val="Heading2"/>
        <w:spacing w:line="480" w:lineRule="auto"/>
      </w:pPr>
      <w:r>
        <w:t xml:space="preserve">The cislunar regime is not a scaled-up GEO problem</w:t>
      </w:r>
    </w:p>
    <w:p>
      <w:pPr>
        <w:pStyle w:val="FirstParagraph"/>
        <w:spacing w:line="480" w:lineRule="auto"/>
      </w:pPr>
      <w:r>
        <w:t xml:space="preserve">An error that kept recurring in early cislunar planning was to picture the region as geostationary orbit with a longer commute. The dynamics writing knocks that down flatly. It shows a region that shares almost nothing with the near-Earth catalog beyond the name orbit. A study of the resonant structure of xGEO and what it means for cislunar domain awareness shows the region ruled by resonances and many-body geometry with no clean cousin in the near-Earth catalog</w:t>
      </w:r>
      <w:r>
        <w:t xml:space="preserve"> </w:t>
      </w:r>
      <w:hyperlink w:anchor="ref-8">
        <w:r>
          <w:rPr>
            <w:rStyle w:val="Hyperlink"/>
          </w:rPr>
          <w:t xml:space="preserve">[8]</w:t>
        </w:r>
      </w:hyperlink>
      <w:r>
        <w:t xml:space="preserve">. Objects refuse to hold still, and the geometry that keeps tracking manageable near Earth simply fails. APL’s work on adaptive initial orbit determination in the cislunar regime, leaning on machine learning to handle sparse and irregular observations, exists for the very reason that the classical near-Earth methods decay out there</w:t>
      </w:r>
      <w:r>
        <w:t xml:space="preserve"> </w:t>
      </w:r>
      <w:hyperlink w:anchor="ref-7">
        <w:r>
          <w:rPr>
            <w:rStyle w:val="Hyperlink"/>
          </w:rPr>
          <w:t xml:space="preserve">[7]</w:t>
        </w:r>
      </w:hyperlink>
      <w:r>
        <w:t xml:space="preserve">. A Bayesian-game reading of L1 and L2 cislunar situational awareness lays a strategic layer on top, because once two actors both want eyes on the same libration-point volume, sensing turns into a game and stops being a plain estimation task</w:t>
      </w:r>
      <w:r>
        <w:t xml:space="preserve"> </w:t>
      </w:r>
      <w:hyperlink w:anchor="ref-6">
        <w:r>
          <w:rPr>
            <w:rStyle w:val="Hyperlink"/>
          </w:rPr>
          <w:t xml:space="preserve">[6]</w:t>
        </w:r>
      </w:hyperlink>
      <w:r>
        <w:t xml:space="preserve">.</w:t>
      </w:r>
    </w:p>
    <w:p>
      <w:pPr>
        <w:pStyle w:val="BodyText"/>
        <w:spacing w:line="480" w:lineRule="auto"/>
        <w:ind w:firstLine="720"/>
      </w:pPr>
      <w:r>
        <w:t xml:space="preserve">These three feed a fragility argument for a definite reason. They settle that the awareness layer of a cislunar line is inherently harder to keep resilient than its near-Earth twin, since the dynamics forgive less and the strategic setting is contested. Fragility in cislunar logistics reaches past vehicles and depots. It rides on whether you can even make out the condition of your own network once things leave nominal, and the dynamics writing says making it out is hard.</w:t>
      </w:r>
    </w:p>
    <w:bookmarkEnd w:id="72"/>
    <w:bookmarkStart w:id="73" w:name="Xeb500acffe5474171caf8b2d62d32036a23e2e4"/>
    <w:p>
      <w:pPr>
        <w:pStyle w:val="Heading2"/>
        <w:spacing w:line="480" w:lineRule="auto"/>
      </w:pPr>
      <w:r>
        <w:t xml:space="preserve">Traffic, maintenance, and the cost of staying in place</w:t>
      </w:r>
    </w:p>
    <w:p>
      <w:pPr>
        <w:pStyle w:val="FirstParagraph"/>
        <w:spacing w:line="480" w:lineRule="auto"/>
      </w:pPr>
      <w:r>
        <w:t xml:space="preserve">Gateway has shoved a concrete version of the problem into daylight. Work on cislunar traffic management, orbit maintenance, and loitering in the near-rectilinear halo orbit shows that even keeping a planned position is a live, propellant-burning, endlessly managed task</w:t>
      </w:r>
      <w:r>
        <w:t xml:space="preserve"> </w:t>
      </w:r>
      <w:hyperlink w:anchor="ref-12">
        <w:r>
          <w:rPr>
            <w:rStyle w:val="Hyperlink"/>
          </w:rPr>
          <w:t xml:space="preserve">[12]</w:t>
        </w:r>
      </w:hyperlink>
      <w:r>
        <w:t xml:space="preserve">. Nothing stays put on its own. Parking is never free out there. A line that supposes assets can just idle at a node between jobs has misjudged the fragility, since the idling itself eats margin and any lapse in station-keeping cascades. This is the operational mirror of the fragmentation argument. Where the constellation writing flags abrupt loss, the traffic-management writing flags the slow, unbroken cost of staying resilient in a region that grants no rest.</w:t>
      </w:r>
    </w:p>
    <w:p>
      <w:pPr>
        <w:pStyle w:val="BodyText"/>
        <w:spacing w:line="480" w:lineRule="auto"/>
        <w:ind w:firstLine="720"/>
      </w:pPr>
      <w:r>
        <w:t xml:space="preserve">The strategic angle the Bayesian-game analysis raises earns a moment of its own, because it alters the very character of the fragility problem</w:t>
      </w:r>
      <w:r>
        <w:t xml:space="preserve"> </w:t>
      </w:r>
      <w:hyperlink w:anchor="ref-6">
        <w:r>
          <w:rPr>
            <w:rStyle w:val="Hyperlink"/>
          </w:rPr>
          <w:t xml:space="preserve">[6]</w:t>
        </w:r>
      </w:hyperlink>
      <w:r>
        <w:t xml:space="preserve">. When awareness of a shared cislunar volume becomes a game among actors who each covet it and each can withhold it from the rest, resilience stops being only about riding out accidents; it grows into riding out deliberate degradation by a rival. A line’s awareness layer can be jammed, spoofed, or cut off from the observations it needs, and the game-theoretic frame makes plain that a purely engineering read of resilience will overlook the adversarial half of the problem. Here is one more reason the fragility knowledge gathers in the operational-technical current, which has started to model the adversarial dynamics while the policy current still mostly takes awareness for granted.</w:t>
      </w:r>
    </w:p>
    <w:p>
      <w:pPr>
        <w:pStyle w:val="BodyText"/>
        <w:spacing w:line="480" w:lineRule="auto"/>
        <w:ind w:firstLine="720"/>
      </w:pPr>
      <w:r>
        <w:t xml:space="preserve">The dynamics current also recasts what a sensor is worth inside a fragility reckoning. Near Earth, losing a sensor is a degradation, and the surviving network can usually reacquire a well-behaved object. In the cislunar regime, where a trajectory can slide through a resonance and switch character, a lost observation window is not just a gap but a possible loss of track that adaptive methods have to labor to win back</w:t>
      </w:r>
      <w:r>
        <w:t xml:space="preserve"> </w:t>
      </w:r>
      <w:hyperlink w:anchor="ref-7">
        <w:r>
          <w:rPr>
            <w:rStyle w:val="Hyperlink"/>
          </w:rPr>
          <w:t xml:space="preserve">[7]</w:t>
        </w:r>
      </w:hyperlink>
      <w:r>
        <w:t xml:space="preserve">. A sensor’s value is therefore contingent on state and pressed for time in a way near-Earth intuition undersells. A fragility model that hauls near-Earth sensor economics into cislunar planning will routinely underprice the awareness layer, and the Bayesian-game reading shows a strategic rival able to exploit exactly that underpricing</w:t>
      </w:r>
      <w:r>
        <w:t xml:space="preserve"> </w:t>
      </w:r>
      <w:hyperlink w:anchor="ref-6">
        <w:r>
          <w:rPr>
            <w:rStyle w:val="Hyperlink"/>
          </w:rPr>
          <w:t xml:space="preserve">[6]</w:t>
        </w:r>
      </w:hyperlink>
      <w:r>
        <w:t xml:space="preserve">. This is a concrete case of why the region shrugs off analogy, and it is the kind of mechanism the corpus screen later pins to the operational-technical venue family rather than to the policy current.</w:t>
      </w:r>
    </w:p>
    <w:bookmarkEnd w:id="73"/>
    <w:bookmarkStart w:id="74" w:name="X9d0172efb1a36dfa6965676034867be1682ab26"/>
    <w:p>
      <w:pPr>
        <w:pStyle w:val="Heading2"/>
        <w:spacing w:line="480" w:lineRule="auto"/>
      </w:pPr>
      <w:r>
        <w:t xml:space="preserve">Trust, information, and the institutional seam</w:t>
      </w:r>
    </w:p>
    <w:p>
      <w:pPr>
        <w:pStyle w:val="FirstParagraph"/>
        <w:spacing w:line="480" w:lineRule="auto"/>
      </w:pPr>
      <w:r>
        <w:t xml:space="preserve">This current runs thin. It also runs sharp. The MITRE-led reading of decentralized space information sharing holds that trust and the survival of space activity ride on data-exchange arrangements able to outlast rival incentives, rather than on one authoritative supplier</w:t>
      </w:r>
      <w:r>
        <w:t xml:space="preserve"> </w:t>
      </w:r>
      <w:hyperlink w:anchor="ref-2">
        <w:r>
          <w:rPr>
            <w:rStyle w:val="Hyperlink"/>
          </w:rPr>
          <w:t xml:space="preserve">[2]</w:t>
        </w:r>
      </w:hyperlink>
      <w:r>
        <w:t xml:space="preserve">. A line whose information layer hangs on a single actor’s willingness to share is fragile in the institutional sense even where every vehicle runs flawlessly. The sensing work sits next door, since it marks the step where raw awareness either becomes something an operator can act on or does not</w:t>
      </w:r>
      <w:r>
        <w:t xml:space="preserve"> </w:t>
      </w:r>
      <w:hyperlink w:anchor="ref-3">
        <w:r>
          <w:rPr>
            <w:rStyle w:val="Hyperlink"/>
          </w:rPr>
          <w:t xml:space="preserve">[3]</w:t>
        </w:r>
      </w:hyperlink>
      <w:r>
        <w:t xml:space="preserve">. The institutional current and the sensing current meet on one claim: awareness that cannot be shared and acted on under strain is not resilience, it is ornament.</w:t>
      </w:r>
    </w:p>
    <w:bookmarkEnd w:id="74"/>
    <w:bookmarkStart w:id="75" w:name="Xbe2fd2f0c265d9f28f375a20881631a2771bb71"/>
    <w:p>
      <w:pPr>
        <w:pStyle w:val="Heading2"/>
        <w:spacing w:line="480" w:lineRule="auto"/>
      </w:pPr>
      <w:r>
        <w:t xml:space="preserve">The economic stream and its distance from the technical record</w:t>
      </w:r>
    </w:p>
    <w:p>
      <w:pPr>
        <w:pStyle w:val="FirstParagraph"/>
        <w:spacing w:line="480" w:lineRule="auto"/>
      </w:pPr>
      <w:r>
        <w:t xml:space="preserve">Economics is where the join gapes widest. Recent work asks how would-be space-resource markets ought even to be valued, granting that the standard machinery for valuing a market presumes conditions space has yet to furnish</w:t>
      </w:r>
      <w:r>
        <w:t xml:space="preserve"> </w:t>
      </w:r>
      <w:hyperlink w:anchor="ref-9">
        <w:r>
          <w:rPr>
            <w:rStyle w:val="Hyperlink"/>
          </w:rPr>
          <w:t xml:space="preserve">[9]</w:t>
        </w:r>
      </w:hyperlink>
      <w:r>
        <w:t xml:space="preserve">. Its companion argument files lunar-resource research under the discipline of terrestrial mining feasibility studies, borrowing a seasoned evaluative frame in place of coining a fresh one</w:t>
      </w:r>
      <w:r>
        <w:t xml:space="preserve"> </w:t>
      </w:r>
      <w:hyperlink w:anchor="ref-11">
        <w:r>
          <w:rPr>
            <w:rStyle w:val="Hyperlink"/>
          </w:rPr>
          <w:t xml:space="preserve">[11]</w:t>
        </w:r>
      </w:hyperlink>
      <w:r>
        <w:t xml:space="preserve">. Parametric economic modeling of asteroid-mining architectures shows what disciplined cost-and-return modeling looks like done well, treating the architecture choice as what drives the economic result</w:t>
      </w:r>
      <w:r>
        <w:t xml:space="preserve"> </w:t>
      </w:r>
      <w:hyperlink w:anchor="ref-14">
        <w:r>
          <w:rPr>
            <w:rStyle w:val="Hyperlink"/>
          </w:rPr>
          <w:t xml:space="preserve">[14]</w:t>
        </w:r>
      </w:hyperlink>
      <w:r>
        <w:t xml:space="preserve">. A systems model of the cis-lunar ecosystem reaches for the boldest synthesis, charting the resource industry and its scenarios as one coupled system</w:t>
      </w:r>
      <w:r>
        <w:t xml:space="preserve"> </w:t>
      </w:r>
      <w:hyperlink w:anchor="ref-15">
        <w:r>
          <w:rPr>
            <w:rStyle w:val="Hyperlink"/>
          </w:rPr>
          <w:t xml:space="preserve">[15]</w:t>
        </w:r>
      </w:hyperlink>
      <w:r>
        <w:t xml:space="preserve">. Pattern-language work on complex-mode mission concept generation supplies a way to spin up and weigh the mission concepts such an ecosystem would demand</w:t>
      </w:r>
      <w:r>
        <w:t xml:space="preserve"> </w:t>
      </w:r>
      <w:hyperlink w:anchor="ref-16">
        <w:r>
          <w:rPr>
            <w:rStyle w:val="Hyperlink"/>
          </w:rPr>
          <w:t xml:space="preserve">[16]</w:t>
        </w:r>
      </w:hyperlink>
      <w:r>
        <w:t xml:space="preserve">. A review of in-space manufacturing technologies fills in the supply side, cataloguing what could in fact be built off-Earth</w:t>
      </w:r>
      <w:r>
        <w:t xml:space="preserve"> </w:t>
      </w:r>
      <w:hyperlink w:anchor="ref-13">
        <w:r>
          <w:rPr>
            <w:rStyle w:val="Hyperlink"/>
          </w:rPr>
          <w:t xml:space="preserve">[13]</w:t>
        </w:r>
      </w:hyperlink>
      <w:r>
        <w:t xml:space="preserve">.</w:t>
      </w:r>
    </w:p>
    <w:p>
      <w:pPr>
        <w:pStyle w:val="BodyText"/>
        <w:spacing w:line="480" w:lineRule="auto"/>
        <w:ind w:firstLine="720"/>
      </w:pPr>
      <w:r>
        <w:t xml:space="preserve">Each of these is careful inside its own frame. Each is also sealed off. The shortfall is that none ties its economic claims back to the technical fragility record. A market-feasibility case that never grazes the traffic-management cost of station-keeping</w:t>
      </w:r>
      <w:r>
        <w:t xml:space="preserve"> </w:t>
      </w:r>
      <w:hyperlink w:anchor="ref-12">
        <w:r>
          <w:rPr>
            <w:rStyle w:val="Hyperlink"/>
          </w:rPr>
          <w:t xml:space="preserve">[12]</w:t>
        </w:r>
      </w:hyperlink>
      <w:r>
        <w:t xml:space="preserve">, or the awareness cost the cislunar dynamics impose</w:t>
      </w:r>
      <w:r>
        <w:t xml:space="preserve"> </w:t>
      </w:r>
      <w:hyperlink w:anchor="ref-8">
        <w:r>
          <w:rPr>
            <w:rStyle w:val="Hyperlink"/>
          </w:rPr>
          <w:t xml:space="preserve">[8]</w:t>
        </w:r>
      </w:hyperlink>
      <w:r>
        <w:t xml:space="preserve">, is raising a structure on an assumed footing. Economics tells you a lunar supply economy could count; it does not tell you where, across the coupled technical-institutional record, the fragility that would settle that economy’s fate actually gathers.</w:t>
      </w:r>
    </w:p>
    <w:p>
      <w:pPr>
        <w:pStyle w:val="BodyText"/>
        <w:spacing w:line="480" w:lineRule="auto"/>
        <w:ind w:firstLine="720"/>
      </w:pPr>
      <w:r>
        <w:t xml:space="preserve">A nearer look at the economic current shows how the gap from the technical record breeds avoidable slips. The market-valuation work is admirably frank that the standard valuation apparatus presumes liquidity, comparables, and property regimes space has yet to supply</w:t>
      </w:r>
      <w:r>
        <w:t xml:space="preserve"> </w:t>
      </w:r>
      <w:hyperlink w:anchor="ref-9">
        <w:r>
          <w:rPr>
            <w:rStyle w:val="Hyperlink"/>
          </w:rPr>
          <w:t xml:space="preserve">[9]</w:t>
        </w:r>
      </w:hyperlink>
      <w:r>
        <w:t xml:space="preserve">. The feasibility framing borrows the terrestrial mining habit of staged studies precisely because that habit makes a project survive scrutiny before capital arrives</w:t>
      </w:r>
      <w:r>
        <w:t xml:space="preserve"> </w:t>
      </w:r>
      <w:hyperlink w:anchor="ref-11">
        <w:r>
          <w:rPr>
            <w:rStyle w:val="Hyperlink"/>
          </w:rPr>
          <w:t xml:space="preserve">[11]</w:t>
        </w:r>
      </w:hyperlink>
      <w:r>
        <w:t xml:space="preserve">. The parametric asteroid-mining model treats architecture as what drives return, which points the causal arrow the right way</w:t>
      </w:r>
      <w:r>
        <w:t xml:space="preserve"> </w:t>
      </w:r>
      <w:hyperlink w:anchor="ref-14">
        <w:r>
          <w:rPr>
            <w:rStyle w:val="Hyperlink"/>
          </w:rPr>
          <w:t xml:space="preserve">[14]</w:t>
        </w:r>
      </w:hyperlink>
      <w:r>
        <w:t xml:space="preserve">. And the cis-lunar ecosystem model tries to close the loop by rendering the whole resource industry as a coupled system with scenario branches</w:t>
      </w:r>
      <w:r>
        <w:t xml:space="preserve"> </w:t>
      </w:r>
      <w:hyperlink w:anchor="ref-15">
        <w:r>
          <w:rPr>
            <w:rStyle w:val="Hyperlink"/>
          </w:rPr>
          <w:t xml:space="preserve">[15]</w:t>
        </w:r>
      </w:hyperlink>
      <w:r>
        <w:t xml:space="preserve">. Yet the coupling in that system model is mostly economic and technological; the fragility mechanisms out of the operational-technical current, unbroken station-keeping cost</w:t>
      </w:r>
      <w:r>
        <w:t xml:space="preserve"> </w:t>
      </w:r>
      <w:hyperlink w:anchor="ref-12">
        <w:r>
          <w:rPr>
            <w:rStyle w:val="Hyperlink"/>
          </w:rPr>
          <w:t xml:space="preserve">[12]</w:t>
        </w:r>
      </w:hyperlink>
      <w:r>
        <w:t xml:space="preserve"> </w:t>
      </w:r>
      <w:r>
        <w:t xml:space="preserve">and contested awareness</w:t>
      </w:r>
      <w:r>
        <w:t xml:space="preserve"> </w:t>
      </w:r>
      <w:hyperlink w:anchor="ref-8">
        <w:r>
          <w:rPr>
            <w:rStyle w:val="Hyperlink"/>
          </w:rPr>
          <w:t xml:space="preserve">[8]</w:t>
        </w:r>
      </w:hyperlink>
      <w:r>
        <w:t xml:space="preserve">, slip in as background premises rather than as modeled state variables. The ambition is genuine and the omission is genuine, and that omission is exactly the join this dissertation measures.</w:t>
      </w:r>
    </w:p>
    <w:p>
      <w:pPr>
        <w:pStyle w:val="BodyText"/>
        <w:spacing w:line="480" w:lineRule="auto"/>
        <w:ind w:firstLine="720"/>
      </w:pPr>
      <w:r>
        <w:t xml:space="preserve">The manufacturing writing merits a note apart, because it perches on the hinge between the technical and economic currents. A review of in-space material and manufacturing technologies catalogues what could be produced off-Earth, the supply-side premise every lunar-economy case rests on</w:t>
      </w:r>
      <w:r>
        <w:t xml:space="preserve"> </w:t>
      </w:r>
      <w:hyperlink w:anchor="ref-13">
        <w:r>
          <w:rPr>
            <w:rStyle w:val="Hyperlink"/>
          </w:rPr>
          <w:t xml:space="preserve">[13]</w:t>
        </w:r>
      </w:hyperlink>
      <w:r>
        <w:t xml:space="preserve">. It is a technical inventory carrying direct economic weight, and it fits neither current cleanly. That halfway standing is telling, since the works that most naturally bridge the technical and economic conversations are scarce, and their scarcity is part of why the two currents stay far apart.</w:t>
      </w:r>
    </w:p>
    <w:bookmarkEnd w:id="75"/>
    <w:bookmarkStart w:id="76" w:name="Xac9c708030fafbadca52dff28f4bc0d18235e49"/>
    <w:p>
      <w:pPr>
        <w:pStyle w:val="Heading2"/>
        <w:spacing w:line="480" w:lineRule="auto"/>
      </w:pPr>
      <w:r>
        <w:t xml:space="preserve">The analog literature and the caution it carries</w:t>
      </w:r>
    </w:p>
    <w:p>
      <w:pPr>
        <w:pStyle w:val="FirstParagraph"/>
        <w:spacing w:line="480" w:lineRule="auto"/>
      </w:pPr>
      <w:r>
        <w:t xml:space="preserve">A slimmer thread reaches for terrestrial analogs to reason about off-Earth operations. The comparative reading of Deception Island bases in Antarctica as analogs for human space missions stands for the type, taking an extreme, logistically pinched terrestrial setting as a proving ground for the supply and habitation problems space will pose</w:t>
      </w:r>
      <w:r>
        <w:t xml:space="preserve"> </w:t>
      </w:r>
      <w:hyperlink w:anchor="ref-10">
        <w:r>
          <w:rPr>
            <w:rStyle w:val="Hyperlink"/>
          </w:rPr>
          <w:t xml:space="preserve">[10]</w:t>
        </w:r>
      </w:hyperlink>
      <w:r>
        <w:t xml:space="preserve">. Analogs are useful and hazardous in the same breath. They rein in speculation by planting it in a real operational record, and they lead you astray once the comparison gets stretched past where the physics and the institutions still line up. A fragility argument ought to spend analogs on generating hypotheses, not on closing them.</w:t>
      </w:r>
    </w:p>
    <w:bookmarkEnd w:id="76"/>
    <w:bookmarkStart w:id="77" w:name="mission-concepts-and-the-generative-gap"/>
    <w:p>
      <w:pPr>
        <w:pStyle w:val="Heading2"/>
        <w:spacing w:line="480" w:lineRule="auto"/>
      </w:pPr>
      <w:r>
        <w:t xml:space="preserve">Mission concepts and the generative gap</w:t>
      </w:r>
    </w:p>
    <w:p>
      <w:pPr>
        <w:pStyle w:val="FirstParagraph"/>
        <w:spacing w:line="480" w:lineRule="auto"/>
      </w:pPr>
      <w:r>
        <w:t xml:space="preserve">One further offering from the technical-economic frontier warrants notice, because it names a capability the fragility conversation will want. The pattern-language work on complex-mode mission concept generation supplies a structured route to producing and weighing mission concepts, taking concept generation itself as a design problem furnished with reusable patterns rather than as a stroke of individual inspiration</w:t>
      </w:r>
      <w:r>
        <w:t xml:space="preserve"> </w:t>
      </w:r>
      <w:hyperlink w:anchor="ref-16">
        <w:r>
          <w:rPr>
            <w:rStyle w:val="Hyperlink"/>
          </w:rPr>
          <w:t xml:space="preserve">[16]</w:t>
        </w:r>
      </w:hyperlink>
      <w:r>
        <w:t xml:space="preserve">. This bears on fragility because resilience gets bought at the concept stage and cannot be bolted on afterward. A line concept that never entertained a decentralized information layer cannot acquire one cheaply once built. A generative method surfacing resilience-relevant patterns early is therefore a fragility tool, even filed under mission design. The cis-lunar ecosystem systems model is the complement, handing the concepts a coupled setting to be judged in</w:t>
      </w:r>
      <w:r>
        <w:t xml:space="preserve"> </w:t>
      </w:r>
      <w:hyperlink w:anchor="ref-15">
        <w:r>
          <w:rPr>
            <w:rStyle w:val="Hyperlink"/>
          </w:rPr>
          <w:t xml:space="preserve">[15]</w:t>
        </w:r>
      </w:hyperlink>
      <w:r>
        <w:t xml:space="preserve">, so a candidate concept can be run against resource, market, and infrastructure scenarios ahead of commitment.</w:t>
      </w:r>
    </w:p>
    <w:p>
      <w:pPr>
        <w:pStyle w:val="BodyText"/>
        <w:spacing w:line="480" w:lineRule="auto"/>
        <w:ind w:firstLine="720"/>
      </w:pPr>
      <w:r>
        <w:t xml:space="preserve">The gap these two lay bare is that the generative and evaluative methods sit in the archival current while the fragility mechanisms they would have to render sit in the operational-technical current. A mission-concept method that spins up concepts without pricing station-keeping cost</w:t>
      </w:r>
      <w:r>
        <w:t xml:space="preserve"> </w:t>
      </w:r>
      <w:hyperlink w:anchor="ref-12">
        <w:r>
          <w:rPr>
            <w:rStyle w:val="Hyperlink"/>
          </w:rPr>
          <w:t xml:space="preserve">[12]</w:t>
        </w:r>
      </w:hyperlink>
      <w:r>
        <w:t xml:space="preserve"> </w:t>
      </w:r>
      <w:r>
        <w:t xml:space="preserve">or awareness difficulty</w:t>
      </w:r>
      <w:r>
        <w:t xml:space="preserve"> </w:t>
      </w:r>
      <w:hyperlink w:anchor="ref-8">
        <w:r>
          <w:rPr>
            <w:rStyle w:val="Hyperlink"/>
          </w:rPr>
          <w:t xml:space="preserve">[8]</w:t>
        </w:r>
      </w:hyperlink>
      <w:r>
        <w:t xml:space="preserve"> </w:t>
      </w:r>
      <w:r>
        <w:t xml:space="preserve">will spin up concepts that look resilient and are not. Bridging that gap is a design job, and the corpus screen in this dissertation is, in part, a gauge of how far apart the two sides now stand.</w:t>
      </w:r>
    </w:p>
    <w:bookmarkEnd w:id="77"/>
    <w:bookmarkStart w:id="78" w:name="where-the-streams-leave-the-problem"/>
    <w:p>
      <w:pPr>
        <w:pStyle w:val="Heading2"/>
        <w:spacing w:line="480" w:lineRule="auto"/>
      </w:pPr>
      <w:r>
        <w:t xml:space="preserve">Where the streams leave the problem</w:t>
      </w:r>
    </w:p>
    <w:p>
      <w:pPr>
        <w:pStyle w:val="FirstParagraph"/>
        <w:spacing w:line="480" w:lineRule="auto"/>
      </w:pPr>
      <w:r>
        <w:t xml:space="preserve">Drawing the three currents together, the earlier work nails down four things and leaves one thing hanging. It nails down that fragility is a network property</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the cislunar awareness layer is inherently hard to keep resilient</w:t>
      </w:r>
      <w:r>
        <w:t xml:space="preserve"> </w:t>
      </w:r>
      <w:hyperlink w:anchor="ref-7">
        <w:r>
          <w:rPr>
            <w:rStyle w:val="Hyperlink"/>
          </w:rPr>
          <w:t xml:space="preserve">[7]</w:t>
        </w:r>
      </w:hyperlink>
      <w:r>
        <w:t xml:space="preserve"> </w:t>
      </w:r>
      <w:hyperlink w:anchor="ref-8">
        <w:r>
          <w:rPr>
            <w:rStyle w:val="Hyperlink"/>
          </w:rPr>
          <w:t xml:space="preserve">[8]</w:t>
        </w:r>
      </w:hyperlink>
      <w:r>
        <w:t xml:space="preserve">, that even holding position spends unbroken margin</w:t>
      </w:r>
      <w:r>
        <w:t xml:space="preserve"> </w:t>
      </w:r>
      <w:hyperlink w:anchor="ref-12">
        <w:r>
          <w:rPr>
            <w:rStyle w:val="Hyperlink"/>
          </w:rPr>
          <w:t xml:space="preserve">[12]</w:t>
        </w:r>
      </w:hyperlink>
      <w:r>
        <w:t xml:space="preserve">, and that resilience carries an institutional dimension no measure of vehicle performance can stand in for</w:t>
      </w:r>
      <w:r>
        <w:t xml:space="preserve"> </w:t>
      </w:r>
      <w:hyperlink w:anchor="ref-2">
        <w:r>
          <w:rPr>
            <w:rStyle w:val="Hyperlink"/>
          </w:rPr>
          <w:t xml:space="preserve">[2]</w:t>
        </w:r>
      </w:hyperlink>
      <w:r>
        <w:t xml:space="preserve"> </w:t>
      </w:r>
      <w:hyperlink w:anchor="ref-3">
        <w:r>
          <w:rPr>
            <w:rStyle w:val="Hyperlink"/>
          </w:rPr>
          <w:t xml:space="preserve">[3]</w:t>
        </w:r>
      </w:hyperlink>
      <w:r>
        <w:t xml:space="preserve">. What it leaves hanging is any measured account of where, across the real paper trail, professional attention to cislunar logistics fragility gets arranged. Economics asserts importance; the technical current shows difficulty; neither charts the attention. That uncharted ground is where this dissertation works.</w:t>
      </w:r>
    </w:p>
    <w:p>
      <w:pPr>
        <w:pStyle w:val="BodyText"/>
        <w:spacing w:line="480" w:lineRule="auto"/>
        <w:ind w:firstLine="720"/>
      </w:pPr>
      <w:r>
        <w:t xml:space="preserve">One more remark binds the currents and motivates the design that follows. Each current is rigorous inside and sealed off outside. The technical current cites technical work, the economic current cites economic work, and the institutional current sits between them citing thinly in both directions. This is the structural signature of a field yet to knit together, and it is just the kind of structure a corpus screen can catch, because integration or its lack surfaces in where the fragility vocabulary gathers. Were the field knit, the vocabulary would spread evenly across the venue families; where it is siloed, the vocabulary will gather in the current that owns the mechanism. So the earlier work does more than motivate the fragility object; it forecasts what the screen ought to find, and the next chapter turns that forecast into hypotheses the corpus can answer.</w:t>
      </w:r>
    </w:p>
    <w:p>
      <w:pPr>
        <w:pStyle w:val="BodyText"/>
        <w:spacing w:line="480" w:lineRule="auto"/>
        <w:ind w:firstLine="720"/>
      </w:pPr>
      <w:r>
        <w:t xml:space="preserve">A closing synthesis makes the stakes of the join concrete. If the fragility knowledge lodges in the operational-technical current while the choices shaping the line get informed by the policy current, then the field’s sharpest fragility thinking is failing to reach the choices it ought to inform. The writing, read whole, holds everything wanted for reasoning about cislunar logistics fragility, and it holds it in sealed compartments that do not trade. Gauging the separation is the necessary first step toward closing it, and that gauging is the labor the chapters ahead carry out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2">
        <w:r>
          <w:rPr>
            <w:rStyle w:val="Hyperlink"/>
          </w:rPr>
          <w:t xml:space="preserve">[12]</w:t>
        </w:r>
      </w:hyperlink>
      <w:r>
        <w:t xml:space="preserve">.</w:t>
      </w:r>
    </w:p>
    <w:bookmarkEnd w:id="78"/>
    <w:bookmarkEnd w:id="79"/>
    <w:bookmarkStart w:id="92" w:name="chapter-3.-theory-and-hypotheses"/>
    <w:p>
      <w:pPr>
        <w:pStyle w:val="Heading1"/>
        <w:spacing w:line="480" w:lineRule="auto"/>
      </w:pPr>
      <w:r>
        <w:t xml:space="preserve">Chapter 3. Theory and Hypotheses</w:t>
      </w:r>
    </w:p>
    <w:p>
      <w:pPr>
        <w:pStyle w:val="FirstParagraph"/>
        <w:spacing w:line="480" w:lineRule="auto"/>
      </w:pPr>
      <w:r>
        <w:t xml:space="preserve">A theory pays for its place by naming a mechanism and pledging a prediction that can go wrong. This chapter does both. It sets out why a body of documents should hold a legible trace of logistics fragility on the Earth Moon line, why that trace should sort by venue family more than by piled-up citations, and how each of those claims turns into a number a screen can throw out.</w:t>
      </w:r>
    </w:p>
    <w:bookmarkStart w:id="80" w:name="Xa2c463b9b9f6115a5cfbdf9fd0e02d4f7b2d515"/>
    <w:p>
      <w:pPr>
        <w:pStyle w:val="Heading2"/>
        <w:spacing w:line="480" w:lineRule="auto"/>
      </w:pPr>
      <w:r>
        <w:t xml:space="preserve">The mechanism: attention leaves a metadata trace</w:t>
      </w:r>
    </w:p>
    <w:p>
      <w:pPr>
        <w:pStyle w:val="FirstParagraph"/>
        <w:spacing w:line="480" w:lineRule="auto"/>
      </w:pPr>
      <w:r>
        <w:t xml:space="preserve">Begin plainly. Professional attention to a problem does not drift untethered. It settles into documents, and documents carry metadata: a year of publication, a venue, a citation count, a spread of terms across title and body. Once a community starts to own a problem, that ownership registers in the metadata ahead of any settled rule. The problem gets named more often, across more places, and the naming pools in the venues that community reads. Here is the mechanism the dissertation stands on, and it is worth saying without a hedge. Professional attention, being scarce and fought over, settles into documents whose metadata logs where a community chose to spend it, so the ledger of what got written, and where, exposes a ranking that would otherwise stay dark. Fragility on the cislunar line, if it has grown into a genuine object of professional attention, ought to register as structure in the metadata of the documents addressing it.</w:t>
      </w:r>
    </w:p>
    <w:p>
      <w:pPr>
        <w:pStyle w:val="BodyText"/>
        <w:spacing w:line="480" w:lineRule="auto"/>
        <w:ind w:firstLine="720"/>
      </w:pPr>
      <w:r>
        <w:t xml:space="preserve">The premise is nothing exotic. It is the same reasoning that lets bibliometric work read a field’s shape off its citation and venue patterns. Only the object is unusual. The claim runs that logistics fragility, a property no single paper in the corpus was written to measure, still leaves a composite trace across many papers written for neighboring ends: fragmentation resilience</w:t>
      </w:r>
      <w:r>
        <w:t xml:space="preserve"> </w:t>
      </w:r>
      <w:hyperlink w:anchor="ref-1">
        <w:r>
          <w:rPr>
            <w:rStyle w:val="Hyperlink"/>
          </w:rPr>
          <w:t xml:space="preserve">[1]</w:t>
        </w:r>
      </w:hyperlink>
      <w:r>
        <w:t xml:space="preserve">, sensor-network robustness</w:t>
      </w:r>
      <w:r>
        <w:t xml:space="preserve"> </w:t>
      </w:r>
      <w:hyperlink w:anchor="ref-3">
        <w:r>
          <w:rPr>
            <w:rStyle w:val="Hyperlink"/>
          </w:rPr>
          <w:t xml:space="preserve">[3]</w:t>
        </w:r>
      </w:hyperlink>
      <w:r>
        <w:t xml:space="preserve"> </w:t>
      </w:r>
      <w:hyperlink w:anchor="ref-4">
        <w:r>
          <w:rPr>
            <w:rStyle w:val="Hyperlink"/>
          </w:rPr>
          <w:t xml:space="preserve">[4]</w:t>
        </w:r>
      </w:hyperlink>
      <w:r>
        <w:t xml:space="preserve">, cislunar awareness under punishing dynamics</w:t>
      </w:r>
      <w:r>
        <w:t xml:space="preserve"> </w:t>
      </w:r>
      <w:hyperlink w:anchor="ref-8">
        <w:r>
          <w:rPr>
            <w:rStyle w:val="Hyperlink"/>
          </w:rPr>
          <w:t xml:space="preserve">[8]</w:t>
        </w:r>
      </w:hyperlink>
      <w:r>
        <w:t xml:space="preserve">, and traffic management under unbroken cost</w:t>
      </w:r>
      <w:r>
        <w:t xml:space="preserve"> </w:t>
      </w:r>
      <w:hyperlink w:anchor="ref-12">
        <w:r>
          <w:rPr>
            <w:rStyle w:val="Hyperlink"/>
          </w:rPr>
          <w:t xml:space="preserve">[12]</w:t>
        </w:r>
      </w:hyperlink>
      <w:r>
        <w:t xml:space="preserve">. That composite trace is the topic signal.</w:t>
      </w:r>
    </w:p>
    <w:bookmarkEnd w:id="80"/>
    <w:bookmarkStart w:id="81" w:name="the-theory-of-attention-this-rests-on"/>
    <w:p>
      <w:pPr>
        <w:pStyle w:val="Heading2"/>
        <w:spacing w:line="480" w:lineRule="auto"/>
      </w:pPr>
      <w:r>
        <w:t xml:space="preserve">The theory of attention this rests on</w:t>
      </w:r>
    </w:p>
    <w:p>
      <w:pPr>
        <w:pStyle w:val="FirstParagraph"/>
        <w:spacing w:line="480" w:lineRule="auto"/>
      </w:pPr>
      <w:r>
        <w:t xml:space="preserve">Spelling out the model of attention beneath the mechanism earns its space, because the whole design supposes professional attention works a certain way. The supposition is that attention to a problem is scarce, fought over, and settled into observable outputs. Communities cannot mind everything, so what they elect to write about, and where, exposes a ranking that would otherwise stay hidden. When a community starts to own cislunar logistics fragility as its problem, that election contends with every other problem the community might take up, and the winner of that contest leaves a trace in the paper trail. The topic signal reads off who won that contest, venue by venue.</w:t>
      </w:r>
    </w:p>
    <w:p>
      <w:pPr>
        <w:pStyle w:val="BodyText"/>
        <w:spacing w:line="480" w:lineRule="auto"/>
        <w:ind w:firstLine="720"/>
      </w:pPr>
      <w:r>
        <w:t xml:space="preserve">This model carries a corollary the design puts to work. Because attention settles into venues with fixed missions, the venue a document lands in is a low-noise signal of the community’s framing, on hand before a single citation accrues. A community that frames fragility operationally publishes operationally; a community that frames it as a market question publishes in economic outlets. So the venue is not merely where a document sits but a compressed statement of how its community grasped the problem, which is exactly why the mechanism forecasts venue as the load-bearing dimension. The theory of attention and the pick of venue as the key regressor are one idea seen from two sides.</w:t>
      </w:r>
    </w:p>
    <w:bookmarkEnd w:id="81"/>
    <w:bookmarkStart w:id="82" w:name="Xf040db0afca9110cf8a3de0a0d6a5f33ca48889"/>
    <w:p>
      <w:pPr>
        <w:pStyle w:val="Heading2"/>
        <w:spacing w:line="480" w:lineRule="auto"/>
      </w:pPr>
      <w:r>
        <w:t xml:space="preserve">Why the topic signal is a coherent construct and not an artifact</w:t>
      </w:r>
    </w:p>
    <w:p>
      <w:pPr>
        <w:pStyle w:val="FirstParagraph"/>
        <w:spacing w:line="480" w:lineRule="auto"/>
      </w:pPr>
      <w:r>
        <w:t xml:space="preserve">A skeptic will protest that a topic signal assembled from term hits is a keyword count in a variable’s costume. The protest carries weight. The design meets it with a fixed rule. Each record’s signal score is a tally built from candidate-theme term hits across the source’s title, snippet, keyword field, and author metadata. It rebuilds from the source row, which every record keeps. It is not a subjective coding. Building it this way is precisely what pulls the analyst’s thumb off the scale, so whatever structure turns up belongs to the corpus and not to the reader.</w:t>
      </w:r>
    </w:p>
    <w:p>
      <w:pPr>
        <w:pStyle w:val="BodyText"/>
        <w:spacing w:line="480" w:lineRule="auto"/>
        <w:ind w:firstLine="720"/>
      </w:pPr>
      <w:r>
        <w:t xml:space="preserve">The construct holds together because the theme terms are picked to trail the fragility mechanism across the currents the prior chapter marked out. A paper on decentralized information sharing scores because trust and the survival of activity under rival incentives is a fragility concern</w:t>
      </w:r>
      <w:r>
        <w:t xml:space="preserve"> </w:t>
      </w:r>
      <w:hyperlink w:anchor="ref-2">
        <w:r>
          <w:rPr>
            <w:rStyle w:val="Hyperlink"/>
          </w:rPr>
          <w:t xml:space="preserve">[2]</w:t>
        </w:r>
      </w:hyperlink>
      <w:r>
        <w:t xml:space="preserve">. A paper on proliferated sensing scores because network robustness under partial loss is a fragility concern</w:t>
      </w:r>
      <w:r>
        <w:t xml:space="preserve"> </w:t>
      </w:r>
      <w:hyperlink w:anchor="ref-5">
        <w:r>
          <w:rPr>
            <w:rStyle w:val="Hyperlink"/>
          </w:rPr>
          <w:t xml:space="preserve">[5]</w:t>
        </w:r>
      </w:hyperlink>
      <w:r>
        <w:t xml:space="preserve">. The signal is cross-current by design, which is the whole reason it can catch an object no single current owns.</w:t>
      </w:r>
    </w:p>
    <w:bookmarkEnd w:id="82"/>
    <w:bookmarkStart w:id="83" w:name="Xd96ca71ec6473aed8f20d337538b6d45d3825ca"/>
    <w:p>
      <w:pPr>
        <w:pStyle w:val="Heading2"/>
        <w:spacing w:line="480" w:lineRule="auto"/>
      </w:pPr>
      <w:r>
        <w:t xml:space="preserve">Why venue precedes citation in an emerging field</w:t>
      </w:r>
    </w:p>
    <w:p>
      <w:pPr>
        <w:pStyle w:val="FirstParagraph"/>
        <w:spacing w:line="480" w:lineRule="auto"/>
      </w:pPr>
      <w:r>
        <w:t xml:space="preserve">The theory’s keenest pledge, that venue structure runs ahead of citation consensus, rests on a claim about how young fields grow up, and the claim earns spelling out because the whole combined reading hangs on it. When a problem is fresh, nobody yet knows which papers will turn out foundational, so citations cannot yet carry importance; they carry only the flukes of who read what early. Venues carry something steadier even at this stage. A conference series with an operational mission draws work framed operationally, a peer-reviewed archival journal draws work framed for the record, and a policy outlet draws work framed to persuade. Those framings are set by the venue’s mission, which predates any single paper and does not wait on citations to gather.</w:t>
      </w:r>
    </w:p>
    <w:p>
      <w:pPr>
        <w:pStyle w:val="BodyText"/>
        <w:spacing w:line="480" w:lineRule="auto"/>
        <w:ind w:firstLine="720"/>
      </w:pPr>
      <w:r>
        <w:t xml:space="preserve">So in a young field, venue is the earlier and steadier organizer of how a problem gets handled, and citation trails behind. That is why the design forecasts a tight venue coefficient and a loose citation coefficient, and why turning up that pattern would be evidence of youth and not of noise.</w:t>
      </w:r>
    </w:p>
    <w:p>
      <w:pPr>
        <w:pStyle w:val="BodyText"/>
        <w:spacing w:line="480" w:lineRule="auto"/>
        <w:ind w:firstLine="720"/>
      </w:pPr>
      <w:r>
        <w:t xml:space="preserve">The prediction can be falsified, and the falsification carries weight. Should citation attention turn out to carry the topic signal tightly while venue does not, the field would read as mature, its community already agreed on which works count, and the dissertation’s framing of cislunar fragility as an emerging, still-contested object would be wrong. The design does not presume the answer. It arranges the corpus so either pattern can surface, and it pledges in advance to read each pattern the way the theory says.</w:t>
      </w:r>
    </w:p>
    <w:bookmarkEnd w:id="83"/>
    <w:bookmarkStart w:id="84" w:name="X5318c2d293c9534f0f0c942a9d6311366d7696e"/>
    <w:p>
      <w:pPr>
        <w:pStyle w:val="Heading2"/>
        <w:spacing w:line="480" w:lineRule="auto"/>
      </w:pPr>
      <w:r>
        <w:t xml:space="preserve">The three metadata dimensions and what each is theorized to do</w:t>
      </w:r>
    </w:p>
    <w:p>
      <w:pPr>
        <w:pStyle w:val="FirstParagraph"/>
        <w:spacing w:line="480" w:lineRule="auto"/>
      </w:pPr>
      <w:r>
        <w:t xml:space="preserve">Screen one ties the topic signal to three metadata dimensions, and theory hands each a distinct expected part.</w:t>
      </w:r>
    </w:p>
    <w:p>
      <w:pPr>
        <w:pStyle w:val="BodyText"/>
        <w:spacing w:line="480" w:lineRule="auto"/>
        <w:ind w:firstLine="720"/>
      </w:pPr>
      <w:r>
        <w:t xml:space="preserve">Recency leads. If fragility is an emerging concern, fresher documents ought to carry a stronger signal, since the community’s vocabulary for the problem hones over time. The forecast is a positive recency slope. It is a soft one. A topic can arrive mature or can level off, and the corpus spans venues that took up the vocabulary at different moments.</w:t>
      </w:r>
    </w:p>
    <w:p>
      <w:pPr>
        <w:pStyle w:val="BodyText"/>
        <w:spacing w:line="480" w:lineRule="auto"/>
        <w:ind w:firstLine="720"/>
      </w:pPr>
      <w:r>
        <w:t xml:space="preserve">Citation attention comes second. The gut expectation is that better-cited work carries more signal, since importance and attention keep company. Theory here is honestly of two minds. In a young field the best-cited papers are often the foundational technical pieces written before the fragility vocabulary set, which would dampen or even flip the relationship. The forecast is a positive but weak citation slope, held with low confidence.</w:t>
      </w:r>
    </w:p>
    <w:p>
      <w:pPr>
        <w:pStyle w:val="BodyText"/>
        <w:spacing w:line="480" w:lineRule="auto"/>
        <w:ind w:firstLine="720"/>
      </w:pPr>
      <w:r>
        <w:t xml:space="preserve">Venue family comes third, and here the theory makes its boldest pledge. The corpus spans three venue families with distinct missions: an operational-technical family, a peer-reviewed archival family, and a policy-and-economy family. These families do not merely print different papers; they frame the same underlying problem in different ways, and they fix the fragility vocabulary at different densities. The theory forecasts venue family as the load-bearing dimension, carrying a tightly estimated coefficient even after recency and citation attention are pinned. The sign of that coefficient is an empirical matter the ordinal coding leaves open, and the dissertation reports it as estimated and not as wished.</w:t>
      </w:r>
    </w:p>
    <w:bookmarkEnd w:id="84"/>
    <w:bookmarkStart w:id="85" w:name="X289ba504a912213fe73dbcc44576e02ec614565"/>
    <w:p>
      <w:pPr>
        <w:pStyle w:val="Heading2"/>
        <w:spacing w:line="480" w:lineRule="auto"/>
      </w:pPr>
      <w:r>
        <w:t xml:space="preserve">The theory of measurement error the design accepts</w:t>
      </w:r>
    </w:p>
    <w:p>
      <w:pPr>
        <w:pStyle w:val="FirstParagraph"/>
        <w:spacing w:line="480" w:lineRule="auto"/>
      </w:pPr>
      <w:r>
        <w:t xml:space="preserve">Any construct assembled from metadata carries measurement error, and a serious theory declares in advance what kind of error it expects and why that error does not sink the forecast. The topic-signal score is expected to carry classical measurement error, meaning noise unlinked to the venue, recency, and citation regressors. Classical error in an outcome swells residual variance and stretches standard errors, and it does not tilt the coefficients toward finding structure that is absent. So should the venue coefficient come out tight despite this error, the tightness was won against a headwind rather than fabricated by it. This is a deliberate feature of the design: by picking an outcome whose error fights the hypothesis, the study makes any positive finding conservative.</w:t>
      </w:r>
    </w:p>
    <w:p>
      <w:pPr>
        <w:pStyle w:val="BodyText"/>
        <w:spacing w:line="480" w:lineRule="auto"/>
        <w:ind w:firstLine="720"/>
      </w:pPr>
      <w:r>
        <w:t xml:space="preserve">The single kind of error that would menace the forecast is error tied to venue family, say if one venue family were routinely carried by shorter source text. The design meets this head on rather than wishing it away, and Chapter 7 weighs the evidence on both sides. The theoretical point here is that the forecast is stated with the measurement model in view: venue is expected to carry tight signal because its variation is real and because the outcome’s noise, being classical, cannot counterfeit that signal. A forecast made without a theory of its own measurement error would be a weaker forecast, and the design steers clear of that slip.</w:t>
      </w:r>
    </w:p>
    <w:bookmarkEnd w:id="85"/>
    <w:bookmarkStart w:id="86" w:name="Xc399bc33f55e46ea92e28f7521dfbd207308327"/>
    <w:p>
      <w:pPr>
        <w:pStyle w:val="Heading2"/>
        <w:spacing w:line="480" w:lineRule="auto"/>
      </w:pPr>
      <w:r>
        <w:t xml:space="preserve">The learning-curve mechanism and its separate prediction</w:t>
      </w:r>
    </w:p>
    <w:p>
      <w:pPr>
        <w:pStyle w:val="FirstParagraph"/>
        <w:spacing w:line="480" w:lineRule="auto"/>
      </w:pPr>
      <w:r>
        <w:t xml:space="preserve">Screen two tests a different and tighter proposition. If the fragility writing behaves like an ordinary maturing field, then citation build-up should trail an age-based curve: older documents, having had longer, should have gathered more citations, and the gathering should trace a learning-curve shape read in logs. This is a standard attention-accumulation tale.</w:t>
      </w:r>
    </w:p>
    <w:p>
      <w:pPr>
        <w:pStyle w:val="BodyText"/>
        <w:spacing w:line="480" w:lineRule="auto"/>
        <w:ind w:firstLine="720"/>
      </w:pPr>
      <w:r>
        <w:t xml:space="preserve">The theory here doubts its own null. Cislunar fragility is no ordinary maturing field. Its foundational technical work predates the fragility framing</w:t>
      </w:r>
      <w:r>
        <w:t xml:space="preserve"> </w:t>
      </w:r>
      <w:hyperlink w:anchor="ref-4">
        <w:r>
          <w:rPr>
            <w:rStyle w:val="Hyperlink"/>
          </w:rPr>
          <w:t xml:space="preserve">[4]</w:t>
        </w:r>
      </w:hyperlink>
      <w:r>
        <w:t xml:space="preserve">, its freshest work shows up in venues with quick citation cycles, and its citation counts in the local index are sparse. So the forecast is a weak, possibly flat age relationship, with low explained variance. Were the learning-curve screen to hand back a strong, clean age elasticity, that would in fact be a surprise and would hint the corpus is a conventional field after all.</w:t>
      </w:r>
    </w:p>
    <w:bookmarkEnd w:id="86"/>
    <w:bookmarkStart w:id="87" w:name="why-two-screens-rather-than-one"/>
    <w:p>
      <w:pPr>
        <w:pStyle w:val="Heading2"/>
        <w:spacing w:line="480" w:lineRule="auto"/>
      </w:pPr>
      <w:r>
        <w:t xml:space="preserve">Why two screens rather than one</w:t>
      </w:r>
    </w:p>
    <w:p>
      <w:pPr>
        <w:pStyle w:val="FirstParagraph"/>
        <w:spacing w:line="480" w:lineRule="auto"/>
      </w:pPr>
      <w:r>
        <w:t xml:space="preserve">A single richer model could in principle swallow both questions, and the design holds them apart for a reason that is theoretical and not merely handy. The two screens test different propositions about the same corpus, and merging them would smear the reading. The first asks how topic signal is arranged by metadata; the second asks how citation gathers by age. These are logically independent. A field could arrange its topic signal strongly while its citations gathered conventionally, or do neither, or do one and skip the other. Only by testing them apart can the design report which of those four worlds the corpus actually occupies, and it is the particular pairing, arranged signal with unarranged accumulation, that carries the emerging-field diagnosis.</w:t>
      </w:r>
    </w:p>
    <w:p>
      <w:pPr>
        <w:pStyle w:val="BodyText"/>
        <w:spacing w:line="480" w:lineRule="auto"/>
        <w:ind w:firstLine="720"/>
      </w:pPr>
      <w:r>
        <w:t xml:space="preserve">Holding them apart also shields each screen from the other’s weaknesses. The citation variable is sparse and locally indexed, and folding it into one grand model would let its noise foul the venue result the topic-signal screen recovers cleanly. By quarantining citation build-up in its own learning-curve screen, the design pens that noise where it belongs and lets the venue finding stand on the metadata behind it. Two clean screens each answering one question are worth more than one muddy model answering neither, and the theoretical payoff, the combined emerging-field reading, is on hand only because the two were kept apart.</w:t>
      </w:r>
    </w:p>
    <w:bookmarkEnd w:id="87"/>
    <w:bookmarkStart w:id="88" w:name="X78ccfeb95a0d077bc22516c5a9b0e97910fbebd"/>
    <w:p>
      <w:pPr>
        <w:pStyle w:val="Heading2"/>
        <w:spacing w:line="480" w:lineRule="auto"/>
      </w:pPr>
      <w:r>
        <w:t xml:space="preserve">The hypotheses, stated so they can be killed</w:t>
      </w:r>
    </w:p>
    <w:p>
      <w:pPr>
        <w:pStyle w:val="FirstParagraph"/>
        <w:spacing w:line="480" w:lineRule="auto"/>
      </w:pPr>
      <w:r>
        <w:t xml:space="preserve">Screen one tests corpus structure in the topic signal.</w:t>
      </w:r>
    </w:p>
    <w:p>
      <w:pPr>
        <w:pStyle w:val="BodyText"/>
        <w:spacing w:line="480" w:lineRule="auto"/>
        <w:ind w:firstLine="720"/>
      </w:pPr>
      <w:r>
        <w:t xml:space="preserve">H1-0: topic-signal intensity is unrelated to publication recency, citation attention, and venue family jointly.</w:t>
      </w:r>
    </w:p>
    <w:p>
      <w:pPr>
        <w:pStyle w:val="BodyText"/>
        <w:spacing w:line="480" w:lineRule="auto"/>
        <w:ind w:firstLine="720"/>
      </w:pPr>
      <w:r>
        <w:t xml:space="preserve">H1-1: topic-signal intensity is systematically related to those dimensions jointly, with venue family carrying a precisely estimated coefficient.</w:t>
      </w:r>
    </w:p>
    <w:p>
      <w:pPr>
        <w:pStyle w:val="BodyText"/>
        <w:spacing w:line="480" w:lineRule="auto"/>
        <w:ind w:firstLine="720"/>
      </w:pPr>
      <w:r>
        <w:t xml:space="preserve">Rejection rule: if the model’s joint F test fails to clear conventional significance, or if the venue-family coefficient is indistinguishable from zero, H1-1 fails.</w:t>
      </w:r>
    </w:p>
    <w:p>
      <w:pPr>
        <w:pStyle w:val="BodyText"/>
        <w:spacing w:line="480" w:lineRule="auto"/>
        <w:ind w:firstLine="720"/>
      </w:pPr>
      <w:r>
        <w:t xml:space="preserve">Screen two tests attention accumulation by age.</w:t>
      </w:r>
    </w:p>
    <w:p>
      <w:pPr>
        <w:pStyle w:val="BodyText"/>
        <w:spacing w:line="480" w:lineRule="auto"/>
        <w:ind w:firstLine="720"/>
      </w:pPr>
      <w:r>
        <w:t xml:space="preserve">H2-0: citation accumulation is unrelated to article age in the retrieved corpus.</w:t>
      </w:r>
    </w:p>
    <w:p>
      <w:pPr>
        <w:pStyle w:val="BodyText"/>
        <w:spacing w:line="480" w:lineRule="auto"/>
        <w:ind w:firstLine="720"/>
      </w:pPr>
      <w:r>
        <w:t xml:space="preserve">H2-1: citation accumulation follows a measurable age-based curve.</w:t>
      </w:r>
    </w:p>
    <w:p>
      <w:pPr>
        <w:pStyle w:val="BodyText"/>
        <w:spacing w:line="480" w:lineRule="auto"/>
        <w:ind w:firstLine="720"/>
      </w:pPr>
      <w:r>
        <w:t xml:space="preserve">Rejection rule: if the age elasticity is imprecise and the explained variance is near zero, H2-1 fails, and the dissertation reports that the corpus does not behave like a conventional maturing field.</w:t>
      </w:r>
    </w:p>
    <w:bookmarkEnd w:id="88"/>
    <w:bookmarkStart w:id="89" w:name="the-scope-conditions-the-theory-accepts"/>
    <w:p>
      <w:pPr>
        <w:pStyle w:val="Heading2"/>
        <w:spacing w:line="480" w:lineRule="auto"/>
      </w:pPr>
      <w:r>
        <w:t xml:space="preserve">The scope conditions the theory accepts</w:t>
      </w:r>
    </w:p>
    <w:p>
      <w:pPr>
        <w:pStyle w:val="FirstParagraph"/>
        <w:spacing w:line="480" w:lineRule="auto"/>
      </w:pPr>
      <w:r>
        <w:t xml:space="preserve">A theory that forecasts everywhere forecasts nothing, so declaring where this mechanism is expected to hold and where it is not is worth doing. The venue-precedes-citation mechanism is theorized for emerging technical-policy fields with a small, actively forming corpus and a sparse local citation record. Cislunar logistics fragility answers that description: the corpus is young, the venues still fight over ownership, and the citation index is thin</w:t>
      </w:r>
      <w:r>
        <w:t xml:space="preserve"> </w:t>
      </w:r>
      <w:hyperlink w:anchor="ref-8">
        <w:r>
          <w:rPr>
            <w:rStyle w:val="Hyperlink"/>
          </w:rPr>
          <w:t xml:space="preserve">[8]</w:t>
        </w:r>
      </w:hyperlink>
      <w:r>
        <w:t xml:space="preserve"> </w:t>
      </w:r>
      <w:hyperlink w:anchor="ref-12">
        <w:r>
          <w:rPr>
            <w:rStyle w:val="Hyperlink"/>
          </w:rPr>
          <w:t xml:space="preserve">[12]</w:t>
        </w:r>
      </w:hyperlink>
      <w:r>
        <w:t xml:space="preserve">. The mechanism is not claimed for mature disciplines with dense citation graphs and settled venue pecking orders, where citation would be expected to carry importance well. Nor is it claimed for fields with one dominant venue, where venue variation would be too small to arrange anything. The dissertation’s corpus spans three genuinely distinct venue families, which is the condition that gives the venue dimension room to matter.</w:t>
      </w:r>
    </w:p>
    <w:p>
      <w:pPr>
        <w:pStyle w:val="BodyText"/>
        <w:spacing w:line="480" w:lineRule="auto"/>
        <w:ind w:firstLine="720"/>
      </w:pPr>
      <w:r>
        <w:t xml:space="preserve">Declaring the scope conditions does two jobs. It keeps the contribution honest by refusing to overclaim reach, and it tells a future researcher precisely which other emerging space-policy corpora the mechanism should next be tested against. A theory earns durability not by claiming to be universal but by declaring exactly where it should and should not apply, so each application is a real test rather than a settled conclusion.</w:t>
      </w:r>
    </w:p>
    <w:bookmarkEnd w:id="89"/>
    <w:bookmarkStart w:id="90" w:name="X495795230bc5f6ef89680ea87d91f5be084264d"/>
    <w:p>
      <w:pPr>
        <w:pStyle w:val="Heading2"/>
        <w:spacing w:line="480" w:lineRule="auto"/>
      </w:pPr>
      <w:r>
        <w:t xml:space="preserve">How the two screens combine into one claim</w:t>
      </w:r>
    </w:p>
    <w:p>
      <w:pPr>
        <w:pStyle w:val="FirstParagraph"/>
        <w:spacing w:line="480" w:lineRule="auto"/>
      </w:pPr>
      <w:r>
        <w:t xml:space="preserve">The theory’s payoff lives in the pairing. If screen one finds venue-driven structure and screen two finds no age-driven accumulation, the combined reading is exact: attention to cislunar logistics fragility is arranged by where work appears rather than by how long it has had to be noticed. That is the signature of a field whose venues are still working out ownership of the problem, and it is a direct caution against reading raw citation counts as a chart of importance</w:t>
      </w:r>
      <w:r>
        <w:t xml:space="preserve"> </w:t>
      </w:r>
      <w:hyperlink w:anchor="ref-9">
        <w:r>
          <w:rPr>
            <w:rStyle w:val="Hyperlink"/>
          </w:rPr>
          <w:t xml:space="preserve">[9]</w:t>
        </w:r>
      </w:hyperlink>
      <w:r>
        <w:t xml:space="preserve"> </w:t>
      </w:r>
      <w:hyperlink w:anchor="ref-15">
        <w:r>
          <w:rPr>
            <w:rStyle w:val="Hyperlink"/>
          </w:rPr>
          <w:t xml:space="preserve">[15]</w:t>
        </w:r>
      </w:hyperlink>
      <w:r>
        <w:t xml:space="preserve">. The mechanism, in a line, is that venue structure runs ahead of citation consensus in an emerging cislunar-fragility literature, and the two screens are arranged so the data can turn that reading down if it is wrong. Chapter 4 converts these forecasts into estimators and defends why each identifies what it claims.</w:t>
      </w:r>
    </w:p>
    <w:bookmarkEnd w:id="90"/>
    <w:bookmarkStart w:id="91" w:name="summary-of-the-theoretical-commitments"/>
    <w:p>
      <w:pPr>
        <w:pStyle w:val="Heading2"/>
        <w:spacing w:line="480" w:lineRule="auto"/>
      </w:pPr>
      <w:r>
        <w:t xml:space="preserve">Summary of the theoretical commitments</w:t>
      </w:r>
    </w:p>
    <w:p>
      <w:pPr>
        <w:pStyle w:val="FirstParagraph"/>
        <w:spacing w:line="480" w:lineRule="auto"/>
      </w:pPr>
      <w:r>
        <w:t xml:space="preserve">To close, the chapter’s commitments can be collected into a short list a reader can hold against the results. Attention to a problem leaves a metadata trace, and the trace can be read</w:t>
      </w:r>
      <w:r>
        <w:t xml:space="preserve"> </w:t>
      </w:r>
      <w:hyperlink w:anchor="ref-1">
        <w:r>
          <w:rPr>
            <w:rStyle w:val="Hyperlink"/>
          </w:rPr>
          <w:t xml:space="preserve">[1]</w:t>
        </w:r>
      </w:hyperlink>
      <w:r>
        <w:t xml:space="preserve">. In an emerging field, venue framing arranges that trace earlier and more steadily than citation attention, since venue missions predate citation consensus. The topic signal is a fixed, cross-current construct whose classical measurement error fights the hypothesis rather than aiding it, so any tight finding is conservative. The venue dimension is theorized to carry a tight coefficient, recency a weak positive one, and citation a weak positive one held with low confidence. And separately, citation build-up is expected to run flat against age, the signature of a field whose citation record is young and sparse.</w:t>
      </w:r>
    </w:p>
    <w:p>
      <w:pPr>
        <w:pStyle w:val="BodyText"/>
        <w:spacing w:line="480" w:lineRule="auto"/>
        <w:ind w:firstLine="720"/>
      </w:pPr>
      <w:r>
        <w:t xml:space="preserve">Each commitment can be falsified, each is stated before the numbers are seen, and each maps to a specific estimator output in Chapter 6. A theory making vaguer commitments would be harder to refute and so worth less; the precision here is deliberate, because a forecast able to survive any outcome would be no forecast at all. The mechanism, one final time, is that venue structure runs ahead of citation consensus in an emerging cislunar-fragility literature, and the corpus is arranged so it can say no.</w:t>
      </w:r>
    </w:p>
    <w:bookmarkEnd w:id="91"/>
    <w:bookmarkEnd w:id="92"/>
    <w:bookmarkStart w:id="107"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fixes the two estimators, declares exactly what each is asked to identify, and argues why the design backs that claim and where it does not. The posture stays conservative throughout. Both models are screens over a retrieved corpus, nothing grander, and a screen honest about its reach is worth more than a model that pledges causal impact it cannot deliver, so I would rather promise little and keep the promise than promise a causal story the metadata could never support.</w:t>
      </w:r>
    </w:p>
    <w:bookmarkStart w:id="93" w:name="the-estimand-stated-plainly"/>
    <w:p>
      <w:pPr>
        <w:pStyle w:val="Heading2"/>
        <w:spacing w:line="480" w:lineRule="auto"/>
      </w:pPr>
      <w:r>
        <w:t xml:space="preserve">The estimand, stated plainly</w:t>
      </w:r>
    </w:p>
    <w:p>
      <w:pPr>
        <w:pStyle w:val="FirstParagraph"/>
        <w:spacing w:line="480" w:lineRule="auto"/>
      </w:pPr>
      <w:r>
        <w:t xml:space="preserve">What I am after is not a causal effect of any policy or engineering choice on whether a lunar line survives. No design reading document metadata could recover that. What the design does estimate is descriptive and exact: the conditional link between a fixed topic-signal score and three metadata dimensions across the retrieved corpus, and separately, the age elasticity of citation build-up in that same corpus. These are structure parameters, not treatment effects. They tell the reader how professional attention gets arranged, and the dissertation stays disciplined enough to keep a causal reading from smuggling itself into a descriptive result</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93"/>
    <w:bookmarkStart w:id="94" w:name="X6e6c9b49590d17a8053e2ecca3686d5289a7f0d"/>
    <w:p>
      <w:pPr>
        <w:pStyle w:val="Heading2"/>
        <w:spacing w:line="480" w:lineRule="auto"/>
      </w:pPr>
      <w:r>
        <w:t xml:space="preserve">Screen one: ordinary least squares on topic signal</w:t>
      </w:r>
    </w:p>
    <w:p>
      <w:pPr>
        <w:pStyle w:val="FirstParagraph"/>
        <w:spacing w:line="480" w:lineRule="auto"/>
      </w:pPr>
      <w:r>
        <w:t xml:space="preserve">The first estimator is ordinary least squares, with the topic-signal score for each record as its outcome and three regressors: the recency index, the reported citation count, and the ordinal venue-family score.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Three choices in this specification carry the identification, and each earns a defense that ties the modeling decision back to the substantive question, because a specification justified at every turn on statistical grounds alone can still miss the thing the dissertation set out to measure.</w:t>
      </w:r>
    </w:p>
    <w:p>
      <w:pPr>
        <w:pStyle w:val="BodyText"/>
        <w:spacing w:line="480" w:lineRule="auto"/>
        <w:ind w:firstLine="720"/>
      </w:pPr>
      <w:r>
        <w:t xml:space="preserve">Recency, the first, is publication year minus the minimum year in the sample plus one. It is a monotone transform of year that keeps the coefficient legible as signal change per year of recency while dodging a coefficient scaled by a four-digit constant. The transform manufactures nothing. It merely relocates the intercept.</w:t>
      </w:r>
    </w:p>
    <w:p>
      <w:pPr>
        <w:pStyle w:val="BodyText"/>
        <w:spacing w:line="480" w:lineRule="auto"/>
        <w:ind w:firstLine="720"/>
      </w:pPr>
      <w:r>
        <w:t xml:space="preserve">Citation count, the second, enters in levels as parsed from the local brain index, with zero logged where the index reported none. This treatment is deliberately literal. It declines to impute citations the index did not report, since imputation would slip the analyst’s belief about attention into a variable whose entire purpose is to measure attention as the index actually logged it.</w:t>
      </w:r>
    </w:p>
    <w:p>
      <w:pPr>
        <w:pStyle w:val="BodyText"/>
        <w:spacing w:line="480" w:lineRule="auto"/>
        <w:ind w:firstLine="720"/>
      </w:pPr>
      <w:r>
        <w:t xml:space="preserve">The venue-family score is ordinal: the operational-technical family scores one, the archival family scores two, and the policy-and-economy family scores three. An ordinal regressor in a linear model imposes an equal-spacing assumption, and the design takes that assumption on knowingly. The alternative, a set of family dummies, would burn degrees of freedom the 30-record corpus cannot spare. The equal-spacing cost gets named again in Chapter 7 so no reader mistakes the ordinal coefficient for a claim about equal conceptual distance between venues.</w:t>
      </w:r>
    </w:p>
    <w:bookmarkEnd w:id="94"/>
    <w:bookmarkStart w:id="95" w:name="X1f453c0691045d32ce582dd1cae6ab232fb15b7"/>
    <w:p>
      <w:pPr>
        <w:pStyle w:val="Heading2"/>
        <w:spacing w:line="480" w:lineRule="auto"/>
      </w:pPr>
      <w:r>
        <w:t xml:space="preserve">Why ordinary least squares rather than a count model</w:t>
      </w:r>
    </w:p>
    <w:p>
      <w:pPr>
        <w:pStyle w:val="FirstParagraph"/>
        <w:spacing w:line="480" w:lineRule="auto"/>
      </w:pPr>
      <w:r>
        <w:t xml:space="preserve">The topic-signal score is a non-negative count, and a purist might press for a Poisson or negative-binomial specification over ordinary least squares. The design settled on the linear model on purpose. The settlement holds on three grounds. The interpretive target is a conditional mean link, and the linear model estimates precisely that with coefficients that read in the score’s own units, which keeps the venue coefficient directly comparable to the score’s one-to-thirteen range. At thirty observations, a count model’s asymptotic advantages are mostly notional, and its convergence and standard-error behavior can wobble in small samples in ways the linear model escapes. And robust standard errors absorb the uneven variance a count outcome throws off without pledging a parametric mean-variance link the sparse data cannot verify. The linear model is the conservative, transparent pick, and its results are read as a conditional-mean screen and not as a fully specified data-generating model.</w:t>
      </w:r>
    </w:p>
    <w:bookmarkEnd w:id="95"/>
    <w:bookmarkStart w:id="96" w:name="why-hc1-robust-standard-errors"/>
    <w:p>
      <w:pPr>
        <w:pStyle w:val="Heading2"/>
        <w:spacing w:line="480" w:lineRule="auto"/>
      </w:pPr>
      <w:r>
        <w:t xml:space="preserve">Why HC1 robust standard errors</w:t>
      </w:r>
    </w:p>
    <w:p>
      <w:pPr>
        <w:pStyle w:val="FirstParagraph"/>
        <w:spacing w:line="480" w:lineRule="auto"/>
      </w:pPr>
      <w:r>
        <w:t xml:space="preserve">Both screens are fitted with heteroskedasticity-consistent HC1 standard errors in place of classical ones, and the reason is structural. A topic-signal score built from term counts across mixed document types will not hold constant error variance; policy documents with long descriptive source fields behave unlike terse conference abstracts, and the residual spread mirrors that. Classical standard errors would undersell uncertainty where the variance runs largest. HC1 is the fitting small-sample-adjusted pick, and using it means whatever significance a coefficient wins is significance that outlasts uneven error variance. This weighs heaviest on the venue coefficient, since the dissertation’s whole substantive claim rides on that coefficient being tight, and tightness claimed under a false homoskedasticity assumption would be worthless.</w:t>
      </w:r>
    </w:p>
    <w:bookmarkEnd w:id="96"/>
    <w:bookmarkStart w:id="97" w:name="X66782833ccc8772448dcc7b68c4a43800a4b6f1"/>
    <w:p>
      <w:pPr>
        <w:pStyle w:val="Heading2"/>
        <w:spacing w:line="480" w:lineRule="auto"/>
      </w:pPr>
      <w:r>
        <w:t xml:space="preserve">What screen one identifies, and what it does not</w:t>
      </w:r>
    </w:p>
    <w:p>
      <w:pPr>
        <w:pStyle w:val="FirstParagraph"/>
        <w:spacing w:line="480" w:lineRule="auto"/>
      </w:pPr>
      <w:r>
        <w:t xml:space="preserve">Granting the maintained assumption that the topic-signal score is a valid, fixed measure of fragility attention, the ordinary least squares screen identifies the partial link of each metadata dimension with that attention, the others held fixed. That is a real and usable quantity. It answers whether venue family carries signal once recency and citation attention are controlled, which is exactly the forecast Chapter 3 pledged.</w:t>
      </w:r>
    </w:p>
    <w:p>
      <w:pPr>
        <w:pStyle w:val="BodyText"/>
        <w:spacing w:line="480" w:lineRule="auto"/>
        <w:ind w:firstLine="720"/>
      </w:pPr>
      <w:r>
        <w:t xml:space="preserve">The screen does not identify a causal effect of venue on importance, since venue is not randomly assigned; communities self-select where they publish. It does not identify the effect of fragility on any operational outcome, since no operational outcome sits in the data. And it cannot rule out that some omitted document trait drives both venue placement and signal density. The honest identification claim is a conditional descriptive one, and the dissertation makes no bigger claim from this screen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7"/>
    <w:bookmarkStart w:id="98" w:name="X7cc7b4d44b2c19d1a9f948351c904ee9f21e920"/>
    <w:p>
      <w:pPr>
        <w:pStyle w:val="Heading2"/>
        <w:spacing w:line="480" w:lineRule="auto"/>
      </w:pPr>
      <w:r>
        <w:t xml:space="preserve">The role of the intercept and the meaning of the baseline</w:t>
      </w:r>
    </w:p>
    <w:p>
      <w:pPr>
        <w:pStyle w:val="FirstParagraph"/>
        <w:spacing w:line="480" w:lineRule="auto"/>
      </w:pPr>
      <w:r>
        <w:t xml:space="preserve">The constant in screen one is no nuisance parameter to be reported and forgotten; it sets the scale against which every other coefficient reads. It stands for the fitted topic signal of a record at the regressors’ baseline, and because the venue score opens at one rather than zero, the intercept already carries the operational-technical family’s baseline standing. That is why the venue coefficient has to read as a per-step change from that carried baseline rather than as a swing off an empty model. Saying this outright heads off a common misreading in which an analyst files the intercept as meaningless and then cannot state how large the venue effect runs in absolute terms. The design reads the two together on purpose, so the venue coefficient’s size can be weighed against a concrete anchor rather than in a void.</w:t>
      </w:r>
    </w:p>
    <w:bookmarkEnd w:id="98"/>
    <w:bookmarkStart w:id="99" w:name="screen-two-the-log-log-learning-curve"/>
    <w:p>
      <w:pPr>
        <w:pStyle w:val="Heading2"/>
        <w:spacing w:line="480" w:lineRule="auto"/>
      </w:pPr>
      <w:r>
        <w:t xml:space="preserve">Screen two: the log-log learning curve</w:t>
      </w:r>
    </w:p>
    <w:p>
      <w:pPr>
        <w:pStyle w:val="FirstParagraph"/>
        <w:spacing w:line="480" w:lineRule="auto"/>
      </w:pPr>
      <w:r>
        <w:t xml:space="preserve">The second estimator is a log-log regression of citation build-up on article age. To keep the log transform defined for uncited records, the outcome is the citation count plus one, and the regressor is the log of an age index set as 2026 minus publication year plus one.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Its slope beta_1 is an elasticity, the percent change in citations-plus-one for a percent change in age. In learning-curve terms, two raised to the slope is a progress ratio, the factor by which accumulation moves as age doubles. This is the standard functional form for attention-accumulation questions, chosen because it lets one parameter sum up the curve’s shape and because it lines up directly with learning-curve results elsewhere.</w:t>
      </w:r>
    </w:p>
    <w:p>
      <w:pPr>
        <w:pStyle w:val="BodyText"/>
        <w:spacing w:line="480" w:lineRule="auto"/>
        <w:ind w:firstLine="720"/>
      </w:pPr>
      <w:r>
        <w:t xml:space="preserve">That plus-one adjustment is not cosmetic. Roughly two-thirds of the corpus carries a zero citation count in the local index, and a log of zero is undefined, so without the adjustment the estimation would silently discard the least-cited records and bias the age relationship toward whatever the surviving, better-cited minority happened to show. Adding one keeps those records inside the estimation instead of quietly dropping them, which would bias the age relationship by cutting exactly the least-cited records. The cost is that the intercept soaks up the plus-one shift, so the intercept goes uninterpreted substantively; only the slope carries the learning-curve meaning.</w:t>
      </w:r>
    </w:p>
    <w:bookmarkEnd w:id="99"/>
    <w:bookmarkStart w:id="100" w:name="what-screen-two-identifies"/>
    <w:p>
      <w:pPr>
        <w:pStyle w:val="Heading2"/>
        <w:spacing w:line="480" w:lineRule="auto"/>
      </w:pPr>
      <w:r>
        <w:t xml:space="preserve">What screen two identifies</w:t>
      </w:r>
    </w:p>
    <w:p>
      <w:pPr>
        <w:pStyle w:val="FirstParagraph"/>
        <w:spacing w:line="480" w:lineRule="auto"/>
      </w:pPr>
      <w:r>
        <w:t xml:space="preserve">Granting the maintained assumption that the local citation index is a consistent, if noisy, measure of logged attention, the learning-curve screen identifies the age elasticity of logged citation build-up in the corpus. If the elasticity comes out tight and positive, the corpus behaves like a conventional maturing field. If it comes out loose with near-zero explained variance, the corpus does not, and that non-result is itself informative for the combined reading in Chapter 3.</w:t>
      </w:r>
    </w:p>
    <w:p>
      <w:pPr>
        <w:pStyle w:val="BodyText"/>
        <w:spacing w:line="480" w:lineRule="auto"/>
        <w:ind w:firstLine="720"/>
      </w:pPr>
      <w:r>
        <w:t xml:space="preserve">The screen does not identify universal citation dynamics, since the citation counts are local index measures, not global counts off a comprehensive citation database. A record uncited in the local index may be well cited elsewhere. So the elasticity describes attention as this index logged it, which is the only attention the design can honestly claim to see.</w:t>
      </w:r>
    </w:p>
    <w:bookmarkEnd w:id="100"/>
    <w:bookmarkStart w:id="101" w:name="X64bc320baa08fca85a4118565a5c57075a0f434"/>
    <w:p>
      <w:pPr>
        <w:pStyle w:val="Heading2"/>
        <w:spacing w:line="480" w:lineRule="auto"/>
      </w:pPr>
      <w:r>
        <w:t xml:space="preserve">Why the progress-ratio framing is retained</w:t>
      </w:r>
    </w:p>
    <w:p>
      <w:pPr>
        <w:pStyle w:val="FirstParagraph"/>
        <w:spacing w:line="480" w:lineRule="auto"/>
      </w:pPr>
      <w:r>
        <w:t xml:space="preserve">The learning-curve screen reports its slope both as an elasticity and as a progress ratio, the factor by which the outcome moves when age doubles, and keeping both is a deliberate choice about legibility. The elasticity is the natural regression quantity, and it is abstract to a reader who does not think in logs. The progress ratio renders the same information as a statement about doubling, which is the form learning-curve results take across engineering and economics and which a practitioner can reason over directly. Reporting both lets the screen speak to the statistician and the program analyst without asking either to convert the other’s units. The design adds no information by reporting both; it makes the single estimated slope legible to two audiences, which is what a dissertation hoping to be used rather than merely defended ought to do.</w:t>
      </w:r>
    </w:p>
    <w:p>
      <w:pPr>
        <w:pStyle w:val="BodyText"/>
        <w:spacing w:line="480" w:lineRule="auto"/>
        <w:ind w:firstLine="720"/>
      </w:pPr>
      <w:r>
        <w:t xml:space="preserve">The progress-ratio framing also disciplines how a weak result gets read. When the slope runs loose, a progress ratio near one is the honest summary: doubling age comes with little change. Putting that in ratio terms makes the flatness concrete in a way a bare coefficient does not, and it guards against the pull to narrate a loose negative slope as though it were a finding. The framing, in short, is chosen so a null reads as a null in whichever units the reader favors.</w:t>
      </w:r>
    </w:p>
    <w:bookmarkEnd w:id="101"/>
    <w:bookmarkStart w:id="102" w:name="Xaa6c6ff4dd615eedd2cd5d5d9cae73c3d59a71a"/>
    <w:p>
      <w:pPr>
        <w:pStyle w:val="Heading2"/>
        <w:spacing w:line="480" w:lineRule="auto"/>
      </w:pPr>
      <w:r>
        <w:t xml:space="preserve">Sample, common support, and the reason both screens share it</w:t>
      </w:r>
    </w:p>
    <w:p>
      <w:pPr>
        <w:pStyle w:val="FirstParagraph"/>
        <w:spacing w:line="480" w:lineRule="auto"/>
      </w:pPr>
      <w:r>
        <w:t xml:space="preserve">Both screens run on the same 30 retrieved records, and running them on a shared sample is a design choice rather than a convenience. Using one corpus for both means the venue-structure finding and the age-accumulation finding describe the same population of documents, so they combine into one reading without a population mismatch. A field that is venue-structured but not age-accumulating is a claim about one corpus, and holding the corpus fixed is what warrants that claim.</w:t>
      </w:r>
    </w:p>
    <w:bookmarkEnd w:id="102"/>
    <w:bookmarkStart w:id="103" w:name="X349b1757b2b895d59932a340b6c86a895aa7890"/>
    <w:p>
      <w:pPr>
        <w:pStyle w:val="Heading2"/>
        <w:spacing w:line="480" w:lineRule="auto"/>
      </w:pPr>
      <w:r>
        <w:t xml:space="preserve">Multicollinearity and the separation of the three dimensions</w:t>
      </w:r>
    </w:p>
    <w:p>
      <w:pPr>
        <w:pStyle w:val="FirstParagraph"/>
        <w:spacing w:line="480" w:lineRule="auto"/>
      </w:pPr>
      <w:r>
        <w:t xml:space="preserve">A regression with three correlated regressors can throw off loose coefficients not because the dimensions are irrelevant but because they travel together, and the design meets this head on. Recency and venue family are plausibly correlated, since the archival and policy families lean recent while the operational-technical family reaches further back, and were that correlation severe it would swell the standard errors on both. The reason the venue coefficient still comes out tight is that venue family carries variation recency does not: two documents from one year can sit in different venue families with sharply different signal densities. That independent variation is what lets the model peel the venue effect off the recency effect.</w:t>
      </w:r>
    </w:p>
    <w:p>
      <w:pPr>
        <w:pStyle w:val="BodyText"/>
        <w:spacing w:line="480" w:lineRule="auto"/>
        <w:ind w:firstLine="720"/>
      </w:pPr>
      <w:r>
        <w:t xml:space="preserve">The looseness that does appear, on recency and citation, fits a blend of genuine weakness and thin sample power, and Chapter 4’s inference rule is written so that looseness counts against strong claims rather than getting explained away.</w:t>
      </w:r>
    </w:p>
    <w:p>
      <w:pPr>
        <w:pStyle w:val="BodyText"/>
        <w:spacing w:line="480" w:lineRule="auto"/>
        <w:ind w:firstLine="720"/>
      </w:pPr>
      <w:r>
        <w:t xml:space="preserve">This point generalizes into a design principle. A screen with correlated regressors can still identify the coefficient carrying the most independent variation, and the theory in Chapter 3 forecast that coefficient to be venue precisely because venue family varies across documents that share a year and a citation profile. Estimator and theory line up, since the dimension the theory expects to be load-bearing is also the dimension the data can most cleanly peel apart.</w:t>
      </w:r>
    </w:p>
    <w:bookmarkEnd w:id="103"/>
    <w:bookmarkStart w:id="104" w:name="Xf5607c150e7606dd6e8472626be27569b152de6"/>
    <w:p>
      <w:pPr>
        <w:pStyle w:val="Heading2"/>
        <w:spacing w:line="480" w:lineRule="auto"/>
      </w:pPr>
      <w:r>
        <w:t xml:space="preserve">What would falsify each screen, restated as estimator behavior</w:t>
      </w:r>
    </w:p>
    <w:p>
      <w:pPr>
        <w:pStyle w:val="FirstParagraph"/>
        <w:spacing w:line="480" w:lineRule="auto"/>
      </w:pPr>
      <w:r>
        <w:t xml:space="preserve">Translating the hypotheses of Chapter 3 into the specific estimator outputs that would kill them is worthwhile, because a design earns credibility by naming its own failure conditions in advance. Screen one’s hypothesis dies if the model F fails to clear conventional significance, or if the venue coefficient’s confidence interval under HC1 standard errors covers zero. Either outcome would say the corpus is unstructured or that venue does not arrange it, and the dissertation pledged to report either plainly. Screen two’s hypothesis dies if the age elasticity runs loose and the explained variance is negligible, which would say the corpus does not gather citations by age like a conventional field. The second hypothesis is one the study half-expects to watch die, and the design does not soften that expectation, because a screen that reported only the results it hoped for would be no screen at all.</w:t>
      </w:r>
    </w:p>
    <w:p>
      <w:pPr>
        <w:pStyle w:val="BodyText"/>
        <w:spacing w:line="480" w:lineRule="auto"/>
        <w:ind w:firstLine="720"/>
      </w:pPr>
      <w:r>
        <w:t xml:space="preserve">Casting falsification as estimator behavior also disciplines the reading. Once the rejection rules are fixed ahead of the numbers, there is no room to relabel a loose coefficient as a promising trend or a small explained variance as a hint of something real. The estimator hands back what it hands back, the pre-committed rule sorts it, and the prose reports the sorting. That sequence is what keeps a small-sample design from sliding into motivated reading, and it is why Chapter 6 can state the venue result and the learning-curve null with the same flat confidence.</w:t>
      </w:r>
    </w:p>
    <w:bookmarkEnd w:id="104"/>
    <w:bookmarkStart w:id="105" w:name="inference-discipline"/>
    <w:p>
      <w:pPr>
        <w:pStyle w:val="Heading2"/>
        <w:spacing w:line="480" w:lineRule="auto"/>
      </w:pPr>
      <w:r>
        <w:t xml:space="preserve">Inference discipline</w:t>
      </w:r>
    </w:p>
    <w:p>
      <w:pPr>
        <w:pStyle w:val="FirstParagraph"/>
        <w:spacing w:line="480" w:lineRule="auto"/>
      </w:pPr>
      <w:r>
        <w:t xml:space="preserve">Two estimators over 30 records is a small design. The chapter treats significance to match. A coefficient reads as evidence of structure only where it is both signed as theory expected and tight under HC1. A loose coefficient reads as evidence against a strong claim, not as a faint version of it. This asymmetry is deliberate. A noisy corpus should not be made to carry more weight than it can bear, and the cleanest way to enforce that is to let looseness count against the ambitious hypothesis rather than getting narrated around. Chapter 5 records the data these estimators consume, record by record, so the reader can audit the chain from source to coefficient.</w:t>
      </w:r>
    </w:p>
    <w:bookmarkEnd w:id="105"/>
    <w:bookmarkStart w:id="106" w:name="the-identification-claim-summarized"/>
    <w:p>
      <w:pPr>
        <w:pStyle w:val="Heading2"/>
        <w:spacing w:line="480" w:lineRule="auto"/>
      </w:pPr>
      <w:r>
        <w:t xml:space="preserve">The identification claim summarized</w:t>
      </w:r>
    </w:p>
    <w:p>
      <w:pPr>
        <w:pStyle w:val="FirstParagraph"/>
        <w:spacing w:line="480" w:lineRule="auto"/>
      </w:pPr>
      <w:r>
        <w:t xml:space="preserve">To close the chapter, gathering the full identification claim in one place helps, because the defense was built piece by piece and deserves a consolidated form. Screen one identifies the conditional link of each metadata dimension with the fixed topic-signal score, under the maintained assumptions that the score validly measures fragility attention and that the errors, though heteroskedastic, do not correlate with the regressors so as to mimic a venue effect. Screen two identifies the age elasticity of logged citation build-up, under the maintained assumption that the local index consistently, if noisily, logs attention. Both are descriptive structure parameters, both are fitted with robust standard errors, and neither is a causal effect of any intervention.</w:t>
      </w:r>
    </w:p>
    <w:p>
      <w:pPr>
        <w:pStyle w:val="BodyText"/>
        <w:spacing w:line="480" w:lineRule="auto"/>
        <w:ind w:firstLine="720"/>
      </w:pPr>
      <w:r>
        <w:t xml:space="preserve">What the chapter has argued, section by section, is that these assumptions are reasonable, that the estimator choices are conservative, and that the failure conditions are named up front. The design does not claim more than a corpus screen can deliver, and it delivers what a corpus screen honestly can: a checkable account of how attention gets arranged, with the venue dimension identified tightly precisely because it carries variation the other dimensions do not. Everything the results chapter reports rests on this consolidated claim, and the reader who grants the claim can read those results as structure in the record rather than as speculation dressed in decimals. The estimators are simple by design, because a simple estimator whose assumptions can be stated and checked is worth more here than an elaborate one whose behavior in a thirty-record sample nobody can vouch for. Simplicity is the ally of an auditable result, and auditability is the whole point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06"/>
    <w:bookmarkEnd w:id="107"/>
    <w:bookmarkStart w:id="121" w:name="chapter-5.-data-and-measurement"/>
    <w:p>
      <w:pPr>
        <w:pStyle w:val="Heading1"/>
        <w:spacing w:line="480" w:lineRule="auto"/>
      </w:pPr>
      <w:r>
        <w:t xml:space="preserve">Chapter 5. Data and Measurement</w:t>
      </w:r>
    </w:p>
    <w:p>
      <w:pPr>
        <w:pStyle w:val="FirstParagraph"/>
        <w:spacing w:line="480" w:lineRule="auto"/>
      </w:pPr>
      <w:r>
        <w:t xml:space="preserve">Every number in Chapter 6 traces back to the dataset laid out here. The design pledged an auditable chain running from source selection to estimator output, and this chapter is where the pledge gets honored. It records what the corpus holds, where each record originated, and precisely how each variable was assembled, so a reader who doubts a coefficient can walk it back to a source row and a fixed rule.</w:t>
      </w:r>
    </w:p>
    <w:bookmarkStart w:id="108" w:name="the-corpus-and-its-provenance"/>
    <w:p>
      <w:pPr>
        <w:pStyle w:val="Heading2"/>
        <w:spacing w:line="480" w:lineRule="auto"/>
      </w:pPr>
      <w:r>
        <w:t xml:space="preserve">The corpus and its provenance</w:t>
      </w:r>
    </w:p>
    <w:p>
      <w:pPr>
        <w:pStyle w:val="FirstParagraph"/>
        <w:spacing w:line="480" w:lineRule="auto"/>
      </w:pPr>
      <w:r>
        <w:t xml:space="preserve">The estimation file holds thirty retrieved source records. Each record is a document retrieval flagged as bearing on logistics fragility along the Earth Moon line, and each carries a source column that keeps its provenance: a digital object identifier for the archival and operational-technical papers, a stable conference URL for the AMOS-family records, and a descriptive source string for the policy-and-economy documents. Provenance is not ornament. It is why the corpus can be rebuilt, since no variable in it leans on the analyst’s memory in place of a retrievable object.</w:t>
      </w:r>
    </w:p>
    <w:p>
      <w:pPr>
        <w:pStyle w:val="BodyText"/>
        <w:spacing w:line="480" w:lineRule="auto"/>
        <w:ind w:firstLine="720"/>
      </w:pPr>
      <w:r>
        <w:t xml:space="preserve">The corpus runs across publication years from 2008 to 2026. That eighteen-year window is uneven, and the unevenness is itself a fact about the field: the mass of the records bunches in the last five years, with a long thin tail reaching back to a foundational 2008 operational-capability record. The dataset lets the unevenness stand, because leveling it would mean throwing out real documents to fake a tidy distribution, and the point of the design is to depict the corpus as retrieved</w:t>
      </w:r>
      <w:r>
        <w:t xml:space="preserve"> </w:t>
      </w:r>
      <w:hyperlink w:anchor="ref-4">
        <w:r>
          <w:rPr>
            <w:rStyle w:val="Hyperlink"/>
          </w:rPr>
          <w:t xml:space="preserve">[4]</w:t>
        </w:r>
      </w:hyperlink>
      <w:r>
        <w:t xml:space="preserve">.</w:t>
      </w:r>
    </w:p>
    <w:bookmarkEnd w:id="108"/>
    <w:bookmarkStart w:id="109" w:name="venue-families"/>
    <w:p>
      <w:pPr>
        <w:pStyle w:val="Heading2"/>
        <w:spacing w:line="480" w:lineRule="auto"/>
      </w:pPr>
      <w:r>
        <w:t xml:space="preserve">Venue families</w:t>
      </w:r>
    </w:p>
    <w:p>
      <w:pPr>
        <w:pStyle w:val="FirstParagraph"/>
        <w:spacing w:line="480" w:lineRule="auto"/>
      </w:pPr>
      <w:r>
        <w:t xml:space="preserve">Three venue families split the thirty records, and the family assignment sets the ordinal venue score used in screen one.</w:t>
      </w:r>
    </w:p>
    <w:p>
      <w:pPr>
        <w:pStyle w:val="BodyText"/>
        <w:spacing w:line="480" w:lineRule="auto"/>
        <w:ind w:firstLine="720"/>
      </w:pPr>
      <w:r>
        <w:t xml:space="preserve">The operational-technical family is the AMOS conference lineage, alongside the operationally framed technical papers carrying the internal digital object identifiers. This family scores one. It takes in the fragmentation-resilience work</w:t>
      </w:r>
      <w:r>
        <w:t xml:space="preserve"> </w:t>
      </w:r>
      <w:hyperlink w:anchor="ref-1">
        <w:r>
          <w:rPr>
            <w:rStyle w:val="Hyperlink"/>
          </w:rPr>
          <w:t xml:space="preserve">[1]</w:t>
        </w:r>
      </w:hyperlink>
      <w:r>
        <w:t xml:space="preserve">, the decentralized information-sharing reading</w:t>
      </w:r>
      <w:r>
        <w:t xml:space="preserve"> </w:t>
      </w:r>
      <w:hyperlink w:anchor="ref-2">
        <w:r>
          <w:rPr>
            <w:rStyle w:val="Hyperlink"/>
          </w:rPr>
          <w:t xml:space="preserve">[2]</w:t>
        </w:r>
      </w:hyperlink>
      <w:r>
        <w:t xml:space="preserve">, the SNARE sensor-tasking study</w:t>
      </w:r>
      <w:r>
        <w:t xml:space="preserve"> </w:t>
      </w:r>
      <w:hyperlink w:anchor="ref-3">
        <w:r>
          <w:rPr>
            <w:rStyle w:val="Hyperlink"/>
          </w:rPr>
          <w:t xml:space="preserve">[3]</w:t>
        </w:r>
      </w:hyperlink>
      <w:r>
        <w:t xml:space="preserve">, the MONET evaluation framework</w:t>
      </w:r>
      <w:r>
        <w:t xml:space="preserve"> </w:t>
      </w:r>
      <w:hyperlink w:anchor="ref-4">
        <w:r>
          <w:rPr>
            <w:rStyle w:val="Hyperlink"/>
          </w:rPr>
          <w:t xml:space="preserve">[4]</w:t>
        </w:r>
      </w:hyperlink>
      <w:r>
        <w:t xml:space="preserve">, and the proliferated-sensor architecture study</w:t>
      </w:r>
      <w:r>
        <w:t xml:space="preserve"> </w:t>
      </w:r>
      <w:hyperlink w:anchor="ref-5">
        <w:r>
          <w:rPr>
            <w:rStyle w:val="Hyperlink"/>
          </w:rPr>
          <w:t xml:space="preserve">[5]</w:t>
        </w:r>
      </w:hyperlink>
      <w:r>
        <w:t xml:space="preserve">, plus the cislunar-awareness and orbit-determination technical papers</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archival family is the peer-reviewed Acta Astronautica lineage, scoring two. It holds the space-resource market evaluation</w:t>
      </w:r>
      <w:r>
        <w:t xml:space="preserve"> </w:t>
      </w:r>
      <w:hyperlink w:anchor="ref-9">
        <w:r>
          <w:rPr>
            <w:rStyle w:val="Hyperlink"/>
          </w:rPr>
          <w:t xml:space="preserve">[9]</w:t>
        </w:r>
      </w:hyperlink>
      <w:r>
        <w:t xml:space="preserve">, the Antarctic-analog comparison</w:t>
      </w:r>
      <w:r>
        <w:t xml:space="preserve"> </w:t>
      </w:r>
      <w:hyperlink w:anchor="ref-10">
        <w:r>
          <w:rPr>
            <w:rStyle w:val="Hyperlink"/>
          </w:rPr>
          <w:t xml:space="preserve">[10]</w:t>
        </w:r>
      </w:hyperlink>
      <w:r>
        <w:t xml:space="preserve">, the lunar-resource feasibility framing</w:t>
      </w:r>
      <w:r>
        <w:t xml:space="preserve"> </w:t>
      </w:r>
      <w:hyperlink w:anchor="ref-11">
        <w:r>
          <w:rPr>
            <w:rStyle w:val="Hyperlink"/>
          </w:rPr>
          <w:t xml:space="preserve">[11]</w:t>
        </w:r>
      </w:hyperlink>
      <w:r>
        <w:t xml:space="preserve">, the Gateway traffic-management study</w:t>
      </w:r>
      <w:r>
        <w:t xml:space="preserve"> </w:t>
      </w:r>
      <w:hyperlink w:anchor="ref-12">
        <w:r>
          <w:rPr>
            <w:rStyle w:val="Hyperlink"/>
          </w:rPr>
          <w:t xml:space="preserve">[12]</w:t>
        </w:r>
      </w:hyperlink>
      <w:r>
        <w:t xml:space="preserve">, the in-space manufacturing review</w:t>
      </w:r>
      <w:r>
        <w:t xml:space="preserve"> </w:t>
      </w:r>
      <w:hyperlink w:anchor="ref-13">
        <w:r>
          <w:rPr>
            <w:rStyle w:val="Hyperlink"/>
          </w:rPr>
          <w:t xml:space="preserve">[13]</w:t>
        </w:r>
      </w:hyperlink>
      <w:r>
        <w:t xml:space="preserve">, the asteroid-mining economic model</w:t>
      </w:r>
      <w:r>
        <w:t xml:space="preserve"> </w:t>
      </w:r>
      <w:hyperlink w:anchor="ref-14">
        <w:r>
          <w:rPr>
            <w:rStyle w:val="Hyperlink"/>
          </w:rPr>
          <w:t xml:space="preserve">[14]</w:t>
        </w:r>
      </w:hyperlink>
      <w:r>
        <w:t xml:space="preserve">, the cis-lunar ecosystem systems model</w:t>
      </w:r>
      <w:r>
        <w:t xml:space="preserve"> </w:t>
      </w:r>
      <w:hyperlink w:anchor="ref-15">
        <w:r>
          <w:rPr>
            <w:rStyle w:val="Hyperlink"/>
          </w:rPr>
          <w:t xml:space="preserve">[15]</w:t>
        </w:r>
      </w:hyperlink>
      <w:r>
        <w:t xml:space="preserve">, and the mission-concept pattern-language work</w:t>
      </w:r>
      <w:r>
        <w:t xml:space="preserve"> </w:t>
      </w:r>
      <w:hyperlink w:anchor="ref-16">
        <w:r>
          <w:rPr>
            <w:rStyle w:val="Hyperlink"/>
          </w:rPr>
          <w:t xml:space="preserve">[16]</w:t>
        </w:r>
      </w:hyperlink>
      <w:r>
        <w:t xml:space="preserve">.</w:t>
      </w:r>
    </w:p>
    <w:p>
      <w:pPr>
        <w:pStyle w:val="BodyText"/>
        <w:spacing w:line="480" w:lineRule="auto"/>
        <w:ind w:firstLine="720"/>
      </w:pPr>
      <w:r>
        <w:t xml:space="preserve">The policy-and-economy family is the set of six white-paper and roadmap documents, scoring three. These run longer, more descriptive, and less citation-dense by construction, and their perch at the top of the ordinal scale is what lets screen one test whether venue family carries signal.</w:t>
      </w:r>
    </w:p>
    <w:bookmarkEnd w:id="109"/>
    <w:bookmarkStart w:id="110" w:name="the-outcome-variable-topic-signal-score"/>
    <w:p>
      <w:pPr>
        <w:pStyle w:val="Heading2"/>
        <w:spacing w:line="480" w:lineRule="auto"/>
      </w:pPr>
      <w:r>
        <w:t xml:space="preserve">The outcome variable: topic-signal score</w:t>
      </w:r>
    </w:p>
    <w:p>
      <w:pPr>
        <w:pStyle w:val="FirstParagraph"/>
        <w:spacing w:line="480" w:lineRule="auto"/>
      </w:pPr>
      <w:r>
        <w:t xml:space="preserve">The topic-signal score is the outcome in screen one and the construct the whole descriptive claim leans on. It is fixed by rule. For each record, the process tallies candidate-theme term hits across four metadata fields: the words in the source title, the words in the retrieved snippet, the keyword field, and the author metadata. The composite score is the count of those theme hits, so a record whose title, snippet, and keywords keep naming fragility-relevant concepts scores high, and a terse record that grazes the theme once scores low.</w:t>
      </w:r>
    </w:p>
    <w:p>
      <w:pPr>
        <w:pStyle w:val="BodyText"/>
        <w:spacing w:line="480" w:lineRule="auto"/>
        <w:ind w:firstLine="720"/>
      </w:pPr>
      <w:r>
        <w:t xml:space="preserve">Observed scores run from a floor of one to a ceiling of thirteen. Several archival and technical records touch the ceiling: the orbit-determination study</w:t>
      </w:r>
      <w:r>
        <w:t xml:space="preserve"> </w:t>
      </w:r>
      <w:hyperlink w:anchor="ref-7">
        <w:r>
          <w:rPr>
            <w:rStyle w:val="Hyperlink"/>
          </w:rPr>
          <w:t xml:space="preserve">[7]</w:t>
        </w:r>
      </w:hyperlink>
      <w:r>
        <w:t xml:space="preserve">, the resonant-structure awareness paper</w:t>
      </w:r>
      <w:r>
        <w:t xml:space="preserve"> </w:t>
      </w:r>
      <w:hyperlink w:anchor="ref-8">
        <w:r>
          <w:rPr>
            <w:rStyle w:val="Hyperlink"/>
          </w:rPr>
          <w:t xml:space="preserve">[8]</w:t>
        </w:r>
      </w:hyperlink>
      <w:r>
        <w:t xml:space="preserve">, the lunar-resource feasibility framing</w:t>
      </w:r>
      <w:r>
        <w:t xml:space="preserve"> </w:t>
      </w:r>
      <w:hyperlink w:anchor="ref-11">
        <w:r>
          <w:rPr>
            <w:rStyle w:val="Hyperlink"/>
          </w:rPr>
          <w:t xml:space="preserve">[11]</w:t>
        </w:r>
      </w:hyperlink>
      <w:r>
        <w:t xml:space="preserve">, the Gateway traffic-management study</w:t>
      </w:r>
      <w:r>
        <w:t xml:space="preserve"> </w:t>
      </w:r>
      <w:hyperlink w:anchor="ref-12">
        <w:r>
          <w:rPr>
            <w:rStyle w:val="Hyperlink"/>
          </w:rPr>
          <w:t xml:space="preserve">[12]</w:t>
        </w:r>
      </w:hyperlink>
      <w:r>
        <w:t xml:space="preserve">, the cis-lunar ecosystem model</w:t>
      </w:r>
      <w:r>
        <w:t xml:space="preserve"> </w:t>
      </w:r>
      <w:hyperlink w:anchor="ref-15">
        <w:r>
          <w:rPr>
            <w:rStyle w:val="Hyperlink"/>
          </w:rPr>
          <w:t xml:space="preserve">[15]</w:t>
        </w:r>
      </w:hyperlink>
      <w:r>
        <w:t xml:space="preserve">, and one further recent archival record all rest at thirteen theme hits. Several policy-and-economy documents rest near the floor, at one, because their descriptive source strings run short and name the fragility vocabulary sparingly. This spread is the raw stuff screen one reads.</w:t>
      </w:r>
    </w:p>
    <w:p>
      <w:pPr>
        <w:pStyle w:val="BodyText"/>
        <w:spacing w:line="480" w:lineRule="auto"/>
        <w:ind w:firstLine="720"/>
      </w:pPr>
      <w:r>
        <w:t xml:space="preserve">The construction earns one defense against a natural objection. A term-count outcome could be gamed by wordy records that simply hold more words. The design blunts this by tallying theme hits rather than total words, and by pulling those hits from bounded metadata fields rather than full text, so a long document does not automatically outscore a short one. What is left is a genuine measurement limitation, carried onward honestly to Chapter 7.</w:t>
      </w:r>
    </w:p>
    <w:bookmarkEnd w:id="110"/>
    <w:bookmarkStart w:id="111" w:name="Xa1dd21365800b8fa52fbf7cde2559ba45a669ab"/>
    <w:p>
      <w:pPr>
        <w:pStyle w:val="Heading2"/>
        <w:spacing w:line="480" w:lineRule="auto"/>
      </w:pPr>
      <w:r>
        <w:t xml:space="preserve">The distribution of the signal across venue families</w:t>
      </w:r>
    </w:p>
    <w:p>
      <w:pPr>
        <w:pStyle w:val="FirstParagraph"/>
        <w:spacing w:line="480" w:lineRule="auto"/>
      </w:pPr>
      <w:r>
        <w:t xml:space="preserve">Pausing on how the signal score spreads across the three venue families pays off, because that spread previews screen one’s central result and shows it is no artifact of a lone outlier. The operational-technical records carry a spread of scores that reaches the ceiling, with the orbit-determination and awareness papers up top</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r>
        <w:t xml:space="preserve">and the terser fragmentation and evaluation records lower but still weighty</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archival records cover the full range, from the ceiling-scoring feasibility and traffic-management studies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r>
        <w:t xml:space="preserve">down to a mid-range asteroid-mining model</w:t>
      </w:r>
      <w:r>
        <w:t xml:space="preserve"> </w:t>
      </w:r>
      <w:hyperlink w:anchor="ref-14">
        <w:r>
          <w:rPr>
            <w:rStyle w:val="Hyperlink"/>
          </w:rPr>
          <w:t xml:space="preserve">[14]</w:t>
        </w:r>
      </w:hyperlink>
      <w:r>
        <w:t xml:space="preserve">. The policy-and-economy records bunch near the floor, most at one, because their descriptive source strings name the fragility vocabulary sparingly.</w:t>
      </w:r>
    </w:p>
    <w:p>
      <w:pPr>
        <w:pStyle w:val="BodyText"/>
        <w:spacing w:line="480" w:lineRule="auto"/>
        <w:ind w:firstLine="720"/>
      </w:pPr>
      <w:r>
        <w:t xml:space="preserve">Here is the raw shape behind the negative venue coefficient reported later. It rides on no single anomalous document; it is a family-level pattern in which the highest scores bunch in the lower ordinal venue positions and the lowest scores bunch in the highest. A reader who suspects the venue result is a brittle artifact can inspect the family distributions here and see the pattern is broad-based, which is exactly why the coefficient outlasts robust standard errors in Chapter 6.</w:t>
      </w:r>
    </w:p>
    <w:bookmarkEnd w:id="111"/>
    <w:bookmarkStart w:id="112" w:name="the-recency-and-age-indices"/>
    <w:p>
      <w:pPr>
        <w:pStyle w:val="Heading2"/>
        <w:spacing w:line="480" w:lineRule="auto"/>
      </w:pPr>
      <w:r>
        <w:t xml:space="preserve">The recency and age indices</w:t>
      </w:r>
    </w:p>
    <w:p>
      <w:pPr>
        <w:pStyle w:val="FirstParagraph"/>
        <w:spacing w:line="480" w:lineRule="auto"/>
      </w:pPr>
      <w:r>
        <w:t xml:space="preserve">Two time variables show up across the two screens, and they are distinct.</w:t>
      </w:r>
    </w:p>
    <w:p>
      <w:pPr>
        <w:pStyle w:val="BodyText"/>
        <w:spacing w:line="480" w:lineRule="auto"/>
        <w:ind w:firstLine="720"/>
      </w:pPr>
      <w:r>
        <w:t xml:space="preserve">The recency index, used in screen one, is publication year minus the minimum year in the sample plus one. With a minimum year of 2008, the 2008 record scores one and the 2026 records score nineteen. Higher means more recent. The transform is monotone in year and touches nothing about the ordering; it exists to keep the coefficient legible.</w:t>
      </w:r>
    </w:p>
    <w:p>
      <w:pPr>
        <w:pStyle w:val="BodyText"/>
        <w:spacing w:line="480" w:lineRule="auto"/>
        <w:ind w:firstLine="720"/>
      </w:pPr>
      <w:r>
        <w:t xml:space="preserve">The age index, used in screen two, runs the other way. It is 2026 minus publication year plus one, so a 2026 record has age one and the 2008 record has age nineteen. Higher means older. Screen two takes the log of this index, which is why the plus-one matters: it keeps the youngest records, whose raw age gap from the reference year would otherwise collapse, well-defined in logs.</w:t>
      </w:r>
    </w:p>
    <w:bookmarkEnd w:id="112"/>
    <w:bookmarkStart w:id="113" w:name="the-temporal-shape-of-the-corpus"/>
    <w:p>
      <w:pPr>
        <w:pStyle w:val="Heading2"/>
        <w:spacing w:line="480" w:lineRule="auto"/>
      </w:pPr>
      <w:r>
        <w:t xml:space="preserve">The temporal shape of the corpus</w:t>
      </w:r>
    </w:p>
    <w:p>
      <w:pPr>
        <w:pStyle w:val="FirstParagraph"/>
        <w:spacing w:line="480" w:lineRule="auto"/>
      </w:pPr>
      <w:r>
        <w:t xml:space="preserve">Read together across the thirty records, the two time indices sketch a corpus whose mass sits recent and whose tail reaches back nearly two decades. The bulk of the records land in the 2021 to 2026 span, which is where the archival and policy families bunch. A thinner set of operational-technical records reaches back through the 2010s, and one record from 2008 anchors the far end of the age scale. This shape is a fact about the field rather than a sampling artifact: fragility-relevant work in the cislunar regime has skewed recent because the regime itself turned active recently, and the older records are the foundational operational-capability and evaluation pieces that predate the fragility framing</w:t>
      </w:r>
      <w:r>
        <w:t xml:space="preserve"> </w:t>
      </w:r>
      <w:hyperlink w:anchor="ref-4">
        <w:r>
          <w:rPr>
            <w:rStyle w:val="Hyperlink"/>
          </w:rPr>
          <w:t xml:space="preserve">[4]</w:t>
        </w:r>
      </w:hyperlink>
      <w:r>
        <w:t xml:space="preserve">.</w:t>
      </w:r>
    </w:p>
    <w:p>
      <w:pPr>
        <w:pStyle w:val="BodyText"/>
        <w:spacing w:line="480" w:lineRule="auto"/>
        <w:ind w:firstLine="720"/>
      </w:pPr>
      <w:r>
        <w:t xml:space="preserve">The shape carries direct consequences for both screens. In the first, it means recency and venue family are partly tangled, since the recent mass leans toward the archival and policy families, which is the tangle Chapter 4 handles through the independent variation venue carries inside any given year. In the second, it means the age distribution is right-skewed, with many young records and few old ones, so the learning-curve estimate leans on a handful of aged records to define the far end of the curve. Recording the temporal shape here lets the reader anticipate why the recency coefficient runs loose and why the age relationship is brittle before those results land.</w:t>
      </w:r>
    </w:p>
    <w:bookmarkEnd w:id="113"/>
    <w:bookmarkStart w:id="114" w:name="the-citation-variable"/>
    <w:p>
      <w:pPr>
        <w:pStyle w:val="Heading2"/>
        <w:spacing w:line="480" w:lineRule="auto"/>
      </w:pPr>
      <w:r>
        <w:t xml:space="preserve">The citation variable</w:t>
      </w:r>
    </w:p>
    <w:p>
      <w:pPr>
        <w:pStyle w:val="FirstParagraph"/>
        <w:spacing w:line="480" w:lineRule="auto"/>
      </w:pPr>
      <w:r>
        <w:t xml:space="preserve">Citation counts are parsed straight from the local brain index and entered as reported, with zero logged where the index returned none. The variable is sparse. Most records carry a zero. The non-zero counts stay modest: a handful of archival records report counts in the low single digits, one reports seventeen, and one in-space manufacturing review reports twenty, the highest in the corpus. For the learning-curve screen, the citation count is bumped by one to form citations-plus-one, so the sixty-plus percent of records with zero logged citations stay inside the log-scale estimation rather than dropping out.</w:t>
      </w:r>
    </w:p>
    <w:p>
      <w:pPr>
        <w:pStyle w:val="BodyText"/>
        <w:spacing w:line="480" w:lineRule="auto"/>
        <w:ind w:firstLine="720"/>
      </w:pPr>
      <w:r>
        <w:t xml:space="preserve">This sparsity is not a failure to apologize for. It is a substantive trait of an emerging literature indexed by a local rather than a comprehensive citation source, and Chapter 6 shows that it is exactly this sparsity that flattens the learning curve.</w:t>
      </w:r>
    </w:p>
    <w:bookmarkEnd w:id="114"/>
    <w:bookmarkStart w:id="115" w:name="what-each-source-column-preserves"/>
    <w:p>
      <w:pPr>
        <w:pStyle w:val="Heading2"/>
        <w:spacing w:line="480" w:lineRule="auto"/>
      </w:pPr>
      <w:r>
        <w:t xml:space="preserve">What each source column preserves</w:t>
      </w:r>
    </w:p>
    <w:p>
      <w:pPr>
        <w:pStyle w:val="FirstParagraph"/>
        <w:spacing w:line="480" w:lineRule="auto"/>
      </w:pPr>
      <w:r>
        <w:t xml:space="preserve">The source column is the backbone of the audit trail, and its contents shift by venue family in ways worth recording. For the operational-technical and archival records, the source is either a digital object identifier or a stable conference URL that resolves to the underlying document, so a reader can retrieve the exact object the variables were built from. The internal identifiers point to the fragmentation, sensing, awareness, and orbit-determination papers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and the archival identifiers point to the market, feasibility, traffic-management, and ecosystem studies</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5">
        <w:r>
          <w:rPr>
            <w:rStyle w:val="Hyperlink"/>
          </w:rPr>
          <w:t xml:space="preserve">[15]</w:t>
        </w:r>
      </w:hyperlink>
      <w:r>
        <w:t xml:space="preserve">. For the policy-and-economy records, the source is a descriptive string naming the white paper or roadmap, which runs longer and more discursive than a bare identifier because those documents were retrieved as summaries rather than as indexed articles.</w:t>
      </w:r>
    </w:p>
    <w:p>
      <w:pPr>
        <w:pStyle w:val="BodyText"/>
        <w:spacing w:line="480" w:lineRule="auto"/>
        <w:ind w:firstLine="720"/>
      </w:pPr>
      <w:r>
        <w:t xml:space="preserve">This shift is not a flaw in the dataset; it is an honest log of how documents of different kinds get represented in the retrieval. It also bears on interpretation, because it is the fact behind the alternative explanation Chapter 7 examines, that policy documents might score low partly because their descriptive source strings run terse. Recording the source-column structure here, plainly, is what lets that later examination proceed from evidence rather than from suspicion. A reader wanting to check whether the venue result is a representation artifact has, in this section, the exact information needed to start.</w:t>
      </w:r>
    </w:p>
    <w:bookmarkEnd w:id="115"/>
    <w:bookmarkStart w:id="116" w:name="sample-size-and-why-it-is-what-it-is"/>
    <w:p>
      <w:pPr>
        <w:pStyle w:val="Heading2"/>
        <w:spacing w:line="480" w:lineRule="auto"/>
      </w:pPr>
      <w:r>
        <w:t xml:space="preserve">Sample size and why it is what it is</w:t>
      </w:r>
    </w:p>
    <w:p>
      <w:pPr>
        <w:pStyle w:val="FirstParagraph"/>
        <w:spacing w:line="480" w:lineRule="auto"/>
      </w:pPr>
      <w:r>
        <w:t xml:space="preserve">N is thirty for both screens. Thirty is small, and the design does not pretend otherwise, since padding the corpus with marginal records to flatter the sample would corrupt the very construct the first screen depends on and buy a bigger N at the cost of a worse measure. The number is set by the retrieval: thirty documents cleared the relevance threshold for logistics fragility along the Earth Moon line across the available venue families. A smaller, cleaner corpus that backs an honest descriptive screen is the deliberate trade, and the inference discipline of Chapter 4 exists to keep the small N from being overread.</w:t>
      </w:r>
    </w:p>
    <w:bookmarkEnd w:id="116"/>
    <w:bookmarkStart w:id="117" w:name="Xe21abb9ec89184745dc37a409d53a77be465ed2"/>
    <w:p>
      <w:pPr>
        <w:pStyle w:val="Heading2"/>
        <w:spacing w:line="480" w:lineRule="auto"/>
      </w:pPr>
      <w:r>
        <w:t xml:space="preserve">Why the corpus was not artificially balanced</w:t>
      </w:r>
    </w:p>
    <w:p>
      <w:pPr>
        <w:pStyle w:val="FirstParagraph"/>
        <w:spacing w:line="480" w:lineRule="auto"/>
      </w:pPr>
      <w:r>
        <w:t xml:space="preserve">A common instinct when a dataset runs uneven is to rebalance it, dropping over-represented records or up-weighting rare ones until the distribution reads tidy. The design turns that instinct down on purpose, and the refusal is a measurement decision worth defending. The corpus is uneven across years and venue families because the field is uneven across years and venue families. Rebalancing would swap a true depiction of the field for a manufactured one, and since the whole purpose of the screens is to depict how attention is actually arranged, any manufactured balance would defeat the purpose. The uneven corpus is the object of study, not a defect to be corrected before study begins.</w:t>
      </w:r>
    </w:p>
    <w:p>
      <w:pPr>
        <w:pStyle w:val="BodyText"/>
        <w:spacing w:line="480" w:lineRule="auto"/>
        <w:ind w:firstLine="720"/>
      </w:pPr>
      <w:r>
        <w:t xml:space="preserve">The same logic rules the decision to leave missing citation counts unimputed. Where the local index reported none, the dataset logs zero, because zero is what a reader consulting that index would meet. Imputing a plausible count would slip the analyst’s belief about attention into a variable whose job is to measure attention as logged. Both choices, keeping the imbalance and refusing imputation, share one principle: the dataset depicts the retrieved record as it is, and every departure from that record would be a thumb on the scale. The screens that follow are only as trustworthy as this discipline, and the discipline is stated here so the reader can hold the results to it.</w:t>
      </w:r>
    </w:p>
    <w:bookmarkEnd w:id="117"/>
    <w:bookmarkStart w:id="118" w:name="reproducibility-and-the-audit-trail"/>
    <w:p>
      <w:pPr>
        <w:pStyle w:val="Heading2"/>
        <w:spacing w:line="480" w:lineRule="auto"/>
      </w:pPr>
      <w:r>
        <w:t xml:space="preserve">Reproducibility and the audit trail</w:t>
      </w:r>
    </w:p>
    <w:p>
      <w:pPr>
        <w:pStyle w:val="FirstParagraph"/>
        <w:spacing w:line="480" w:lineRule="auto"/>
      </w:pPr>
      <w:r>
        <w:t xml:space="preserve">This dataset is assembled so that any claim can be walked backward to its source. Each record’s source column holds either a digital object identifier, a stable conference URL, or a descriptive source string, and every derived variable comes out of a rule stated in this chapter rather than a judgment made in private. Recency is a stated arithmetic transform of year. Age is a stated arithmetic transform of year. The citation count is parsed as reported, zero where absent. The venue score is a stated ordinal assignment by family. The signal score is a stated term tally over four named metadata fields. No step in the chain exists that a second analyst, handed the same sources, could not reproduce.</w:t>
      </w:r>
    </w:p>
    <w:p>
      <w:pPr>
        <w:pStyle w:val="BodyText"/>
        <w:spacing w:line="480" w:lineRule="auto"/>
        <w:ind w:firstLine="720"/>
      </w:pPr>
      <w:r>
        <w:t xml:space="preserve">This matters past good manners. The dissertation’s entire epistemic claim is that a corpus screen can be trusted because it is checkable, and checkability is a property of the data construction, not of the prose. A reader who distrusts the venue finding need not take my word; the record that produced it lies exposed. That exposure is why a plain descriptive result can stand as a doctoral contribution: it is a finding open to interrogation, and it invites interrogation rather than deflecting it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18"/>
    <w:bookmarkStart w:id="119" w:name="Xd7a758051649f8ef06e894a9b009f9e19e23bbe"/>
    <w:p>
      <w:pPr>
        <w:pStyle w:val="Heading2"/>
        <w:spacing w:line="480" w:lineRule="auto"/>
      </w:pPr>
      <w:r>
        <w:t xml:space="preserve">The four metadata fields behind the signal, in detail</w:t>
      </w:r>
    </w:p>
    <w:p>
      <w:pPr>
        <w:pStyle w:val="FirstParagraph"/>
        <w:spacing w:line="480" w:lineRule="auto"/>
      </w:pPr>
      <w:r>
        <w:t xml:space="preserve">Because the topic-signal score is the outcome carrying the dissertation’s descriptive claim, the four fields it draws from earn individual attention. The title field is the most concentrated: a title that names a fragility-relevant concept signals the concept is central to the document, so title hits are the strongest single indicator. The snippet field captures the retrieved excerpt of the document’s body, and it widens the reading past the title to the framing the document actually uses. The keyword field logs the terms the authors or indexers chose to describe the work, a curated statement of what the document is about. The author-metadata field captures institutional and disciplinary signals that track how a document frames its problem.</w:t>
      </w:r>
    </w:p>
    <w:p>
      <w:pPr>
        <w:pStyle w:val="BodyText"/>
        <w:spacing w:line="480" w:lineRule="auto"/>
        <w:ind w:firstLine="720"/>
      </w:pPr>
      <w:r>
        <w:t xml:space="preserve">Tallying theme hits across all four rather than any one alone is a deliberate robustness choice. A document could carry a generic title but a fragility-dense body, or fragility-relevant keywords fixed to a terse abstract, and reading all four fields catches the signal wherever it hides. The trade is that a document wordy across all four fields holds more surface for hits, which is the length concern Chapter 7 addresses. Drawing from four bounded metadata fields rather than full text pens that concern, since none of the fields runs unlimited in length, and it keeps the measure reproducible because every field is retrievable from the source. The result is a composite that runs coarse but honest: it reads where fragility vocabulary shows up across a document’s public metadata, and it does so by a rule any second analyst could rerun.</w:t>
      </w:r>
    </w:p>
    <w:bookmarkEnd w:id="119"/>
    <w:bookmarkStart w:id="120" w:name="from-data-to-estimator"/>
    <w:p>
      <w:pPr>
        <w:pStyle w:val="Heading2"/>
        <w:spacing w:line="480" w:lineRule="auto"/>
      </w:pPr>
      <w:r>
        <w:t xml:space="preserve">From data to estimator</w:t>
      </w:r>
    </w:p>
    <w:p>
      <w:pPr>
        <w:pStyle w:val="FirstParagraph"/>
        <w:spacing w:line="480" w:lineRule="auto"/>
      </w:pPr>
      <w:r>
        <w:t xml:space="preserve">With the variables assembled, the two screens consume the dataset in the forms Chapter 4 fixed: the first regresses the topic-signal score on the recency index, the citation count, and the ordinal venue score; the second regresses log citations-plus-one on log age. Every input to both models now stands recorded and re-derivable from the source column. The chain from a retrieved document to a coefficient runs unbroken, and Chapter 6 walks that chain to its end. Nothing in that chain asks the reader to trust the analyst’s judgment over the record; every link is a stated rule applied to a retrievable source, which is the property that lets a plain descriptive result carry doctoral weight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20"/>
    <w:bookmarkEnd w:id="121"/>
    <w:bookmarkStart w:id="134" w:name="chapter-6.-results"/>
    <w:p>
      <w:pPr>
        <w:pStyle w:val="Heading1"/>
        <w:spacing w:line="480" w:lineRule="auto"/>
      </w:pPr>
      <w:r>
        <w:t xml:space="preserve">Chapter 6. Results</w:t>
      </w:r>
    </w:p>
    <w:p>
      <w:pPr>
        <w:pStyle w:val="FirstParagraph"/>
        <w:spacing w:line="480" w:lineRule="auto"/>
      </w:pPr>
      <w:r>
        <w:t xml:space="preserve">This chapter hands back both screens exactly as the estimators produced them, then reads the signs and sizes. No number gets rounded away, and no number gets dressed up. A reader should be able to set this page beside the estimator output and find them identical.</w:t>
      </w:r>
    </w:p>
    <w:bookmarkStart w:id="127" w:name="X61a6e3d68a8605155e049fd2d0f7c06610d2681"/>
    <w:p>
      <w:pPr>
        <w:pStyle w:val="Heading2"/>
        <w:spacing w:line="480" w:lineRule="auto"/>
      </w:pPr>
      <w:r>
        <w:t xml:space="preserve">Screen one: ordinary least squares on topic signal</w:t>
      </w:r>
    </w:p>
    <w:p>
      <w:pPr>
        <w:pStyle w:val="FirstParagraph"/>
        <w:spacing w:line="480" w:lineRule="auto"/>
      </w:pPr>
      <w:r>
        <w:t xml:space="preserve">Screen one regresses the topic-signal score on the recency index, the reported citation count, and the ordinal venue-family score, using heteroskedasticity-robust HC1 standard errors, over the thirty-record corpus.</w:t>
      </w:r>
    </w:p>
    <w:p>
      <w:pPr>
        <w:pStyle w:val="BodyText"/>
        <w:spacing w:line="480" w:lineRule="auto"/>
        <w:ind w:firstLine="720"/>
      </w:pPr>
      <w:r>
        <w:t xml:space="preserve">The fit summary runs as follows. The sample size is N = 30. The coefficient of determination is R2 = 0.28849550288817327, and the adjusted coefficient of determination is R2_adj = 0.2063988301445009. The model F statistic is F = 4.938620886357662 with a p-value of F_p = 0.007595674231915054.</w:t>
      </w:r>
    </w:p>
    <w:p>
      <w:pPr>
        <w:pStyle w:val="BodyText"/>
        <w:spacing w:line="480" w:lineRule="auto"/>
        <w:ind w:firstLine="720"/>
      </w:pPr>
      <w:r>
        <w:t xml:space="preserve">The term-by-term summary runs as follows.</w:t>
      </w:r>
    </w:p>
    <w:p>
      <w:pPr>
        <w:pStyle w:val="BodyText"/>
        <w:spacing w:line="480" w:lineRule="auto"/>
        <w:ind w:firstLine="720"/>
      </w:pPr>
      <w:r>
        <w:t xml:space="preserve">The constant has coefficient 7.979480966898073 with p = 0.0002324980652743676.</w:t>
      </w:r>
    </w:p>
    <w:p>
      <w:pPr>
        <w:pStyle w:val="BodyText"/>
        <w:spacing w:line="480" w:lineRule="auto"/>
        <w:ind w:firstLine="720"/>
      </w:pPr>
      <w:r>
        <w:t xml:space="preserve">The recency index has coefficient 0.20847762268867717 with p = 0.11717810462678907.</w:t>
      </w:r>
    </w:p>
    <w:p>
      <w:pPr>
        <w:pStyle w:val="BodyText"/>
        <w:spacing w:line="480" w:lineRule="auto"/>
        <w:ind w:firstLine="720"/>
      </w:pPr>
      <w:r>
        <w:t xml:space="preserve">The citation count has coefficient 0.1767288244054743 with p = 0.4457300074216669.</w:t>
      </w:r>
    </w:p>
    <w:p>
      <w:pPr>
        <w:pStyle w:val="BodyText"/>
        <w:spacing w:line="480" w:lineRule="auto"/>
        <w:ind w:firstLine="720"/>
      </w:pPr>
      <w:r>
        <w:t xml:space="preserve">The venue-family score has coefficient minus 2.594767629886551 with p = 0.00033059045345315476.</w:t>
      </w:r>
    </w:p>
    <w:p>
      <w:pPr>
        <w:pStyle w:val="BodyText"/>
        <w:spacing w:line="480" w:lineRule="auto"/>
        <w:ind w:firstLine="720"/>
      </w:pPr>
      <w:r>
        <w:t xml:space="preserve">These are corpus-screen estimates. They depict how topic-signal intensity spreads across the metadata of the retrieved corpus, and they are not causal effects of any policy or engineering choice.</w:t>
      </w:r>
    </w:p>
    <w:bookmarkStart w:id="122" w:name="what-the-joint-test-says"/>
    <w:p>
      <w:pPr>
        <w:pStyle w:val="Heading3"/>
        <w:spacing w:line="480" w:lineRule="auto"/>
      </w:pPr>
      <w:r>
        <w:t xml:space="preserve">What the joint test says</w:t>
      </w:r>
    </w:p>
    <w:p>
      <w:pPr>
        <w:pStyle w:val="FirstParagraph"/>
        <w:spacing w:line="480" w:lineRule="auto"/>
      </w:pPr>
      <w:r>
        <w:t xml:space="preserve">Take the model whole. The F statistic of 4.938620886357662 carries a p-value of 0.007595674231915054, which passes the conventional one-percent threshold. So the three metadata dimensions, taken together, are jointly tied to the topic-signal score. The null hypothesis H1-0 from Chapter 3, that topic-signal intensity is unrelated to recency, citation attention, and venue family jointly, is rejected. The corpus holds structure, not a random scatter. That is the first thing the screen was built to settle.</w:t>
      </w:r>
    </w:p>
    <w:p>
      <w:pPr>
        <w:pStyle w:val="BodyText"/>
        <w:spacing w:line="480" w:lineRule="auto"/>
        <w:ind w:firstLine="720"/>
      </w:pPr>
      <w:r>
        <w:t xml:space="preserve">The explained variance runs moderate. An R2 of 0.28849550288817327 means the three dimensions account for a shade under a third of the variation in topic signal, and the adjusted figure of 0.2063988301445009, which docks for the three regressors over thirty records, sits near a fifth. This is the profile one expects of a real but partial structure: the metadata explains a meaningful slice of where fragility attention gathers, and it leaves most of the variation to document-specific content the screen does not see. A design that read metadata and claimed to explain almost all the variance would be the suspicious result; a third is believable.</w:t>
      </w:r>
    </w:p>
    <w:bookmarkEnd w:id="122"/>
    <w:bookmarkStart w:id="123" w:name="Xec52ad0fecc5f6458d6ca0baec61b93f43d61d6"/>
    <w:p>
      <w:pPr>
        <w:pStyle w:val="Heading3"/>
        <w:spacing w:line="480" w:lineRule="auto"/>
      </w:pPr>
      <w:r>
        <w:t xml:space="preserve">The venue coefficient carries the finding</w:t>
      </w:r>
    </w:p>
    <w:p>
      <w:pPr>
        <w:pStyle w:val="FirstParagraph"/>
        <w:spacing w:line="480" w:lineRule="auto"/>
      </w:pPr>
      <w:r>
        <w:t xml:space="preserve">The substantive core of the screen is the venue-family coefficient, and it hands back exactly the tight, load-bearing estimate Chapter 3 forecast. The coefficient is minus 2.594767629886551 with p = 0.00033059045345315476, significant well past the one-percent level even under robust standard errors. Its sign is negative. Climbing the ordinal venue scale, from the operational-technical family scored one, through the archival family scored two, to the policy-and-economy family scored three, comes with a drop of about 2.59 points per step. Recency and citation attention are held fixed.</w:t>
      </w:r>
    </w:p>
    <w:p>
      <w:pPr>
        <w:pStyle w:val="BodyText"/>
        <w:spacing w:line="480" w:lineRule="auto"/>
        <w:ind w:firstLine="720"/>
      </w:pPr>
      <w:r>
        <w:t xml:space="preserve">The size runs large against the scale of the outcome. The topic-signal score ranges from one to thirteen, so a 2.59-point drop per venue step covers roughly a fifth of the observed range for each climb up the scale. What that means is direct. The operational-technical family carries the densest fragility vocabulary, and the policy-and-economy family the sparsest, once time and citation attention are controlled. The white-paper and roadmap documents proclaim the importance of lunar development in prose</w:t>
      </w:r>
      <w:r>
        <w:t xml:space="preserve"> </w:t>
      </w:r>
      <w:hyperlink w:anchor="ref-9">
        <w:r>
          <w:rPr>
            <w:rStyle w:val="Hyperlink"/>
          </w:rPr>
          <w:t xml:space="preserve">[9]</w:t>
        </w:r>
      </w:hyperlink>
      <w:r>
        <w:t xml:space="preserve"> </w:t>
      </w:r>
      <w:hyperlink w:anchor="ref-15">
        <w:r>
          <w:rPr>
            <w:rStyle w:val="Hyperlink"/>
          </w:rPr>
          <w:t xml:space="preserve">[15]</w:t>
        </w:r>
      </w:hyperlink>
      <w:r>
        <w:t xml:space="preserve">, and they name the specific, term-level fragility concepts less densely than the operational-technical papers written to solve concrete resilience problems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The corpus lodges the sharpest fragility signal in the operational-technical current, not in the policy current that most loudly lays claim to the topic.</w:t>
      </w:r>
    </w:p>
    <w:bookmarkEnd w:id="123"/>
    <w:bookmarkStart w:id="124" w:name="X1d76ff0dba31e1c76803398644fbe7d59915a88"/>
    <w:p>
      <w:pPr>
        <w:pStyle w:val="Heading3"/>
        <w:spacing w:line="480" w:lineRule="auto"/>
      </w:pPr>
      <w:r>
        <w:t xml:space="preserve">Reading the magnitude against the intercept</w:t>
      </w:r>
    </w:p>
    <w:p>
      <w:pPr>
        <w:pStyle w:val="FirstParagraph"/>
        <w:spacing w:line="480" w:lineRule="auto"/>
      </w:pPr>
      <w:r>
        <w:t xml:space="preserve">The constant of 7.979480966898073, tight at p = 0.0002324980652743676, anchors the scale. It is the fitted signal for a hypothetical record at the model’s baseline, before the venue, recency, and citation adjustments move it. Set against that anchor, the venue effect is no marginal nudge. Climbing from the operational-technical family to the policy-and-economy family, two steps up the ordinal scale, strips roughly 5.19 points off the constant’s near-eight-point baseline, the other dimensions held fixed. That is a swing wide enough to haul a ceiling-scoring operational record down toward the floor scores that mark the policy documents. The venue dimension does not merely tilt the signal; it reorders which documents look fragility-dense, and it does so with a tightness robust standard errors do not dent.</w:t>
      </w:r>
    </w:p>
    <w:p>
      <w:pPr>
        <w:pStyle w:val="BodyText"/>
        <w:spacing w:line="480" w:lineRule="auto"/>
        <w:ind w:firstLine="720"/>
      </w:pPr>
      <w:r>
        <w:t xml:space="preserve">That the effect runs this large against the intercept is why the finding can bear interpretive weight despite the small sample. A coefficient can be statistically significant and substantively trivial; this one is neither. It is significant past the one-percent level and it covers a fifth of the outcome range per step, so both the tightness and the size point the same way. When both agree, even a thirty-record screen can say something a reader should believe rather than merely note.</w:t>
      </w:r>
    </w:p>
    <w:bookmarkEnd w:id="124"/>
    <w:bookmarkStart w:id="125" w:name="Xbdb08815d2ac9cf70b8138e0bf011eac1b7e34e"/>
    <w:p>
      <w:pPr>
        <w:pStyle w:val="Heading3"/>
        <w:spacing w:line="480" w:lineRule="auto"/>
      </w:pPr>
      <w:r>
        <w:t xml:space="preserve">Recency and citation attention are positive but imprecise</w:t>
      </w:r>
    </w:p>
    <w:p>
      <w:pPr>
        <w:pStyle w:val="FirstParagraph"/>
        <w:spacing w:line="480" w:lineRule="auto"/>
      </w:pPr>
      <w:r>
        <w:t xml:space="preserve">The recency coefficient is 0.20847762268867717 with p = 0.11717810462678907. The point estimate reads positive, in keeping with the soft forecast that fresher documents carry more fragility signal, and it does not pass conventional significance. Under the inference discipline set in Chapter 4, a loose coefficient reads as evidence against a strong claim rather than as a faint version of it. So the screen offers a hint, not a demonstration, that fragility attention has swelled with recency, and it declines to build on that hint.</w:t>
      </w:r>
    </w:p>
    <w:p>
      <w:pPr>
        <w:pStyle w:val="BodyText"/>
        <w:spacing w:line="480" w:lineRule="auto"/>
        <w:ind w:firstLine="720"/>
      </w:pPr>
      <w:r>
        <w:t xml:space="preserve">The citation coefficient is 0.1767288244054743 with p = 0.4457300074216669. It too reads positive, and it is the loosest of the three, its p-value near one-half. The theory in Chapter 3 held its citation forecast with low confidence for a definite reason: in a young field the best-cited work often predates the fragility vocabulary. The screen bears that caution out. Citation attention, as logged in the local index, carries no topic signal in any tight way once venue and recency are controlled. This is the first piece of the combined reading, and it points toward screen two.</w:t>
      </w:r>
    </w:p>
    <w:bookmarkEnd w:id="125"/>
    <w:bookmarkStart w:id="126" w:name="X4dacbe988baf353f9e1256c19a4cff6791df54f"/>
    <w:p>
      <w:pPr>
        <w:pStyle w:val="Heading3"/>
        <w:spacing w:line="480" w:lineRule="auto"/>
      </w:pPr>
      <w:r>
        <w:t xml:space="preserve">The three coefficients read as a single picture</w:t>
      </w:r>
    </w:p>
    <w:p>
      <w:pPr>
        <w:pStyle w:val="FirstParagraph"/>
        <w:spacing w:line="480" w:lineRule="auto"/>
      </w:pPr>
      <w:r>
        <w:t xml:space="preserve">Reading the three slope coefficients together sharpens the interpretation beyond what any one hands over alone. The venue coefficient at minus 2.594767629886551 is tight; the recency coefficient at 0.20847762268867717 and the citation coefficient at 0.1767288244054743 read positive and loose, at p = 0.11717810462678907 and p = 0.4457300074216669 respectively. The pattern is not three weak effects washing out; it is one strong effect and two the sample cannot pin down. That particular pattern is what the theory in Chapter 3 forecast for an emerging field: venue framing arranges the signal early, while recency and citation attention have yet to settle into tight structure.</w:t>
      </w:r>
    </w:p>
    <w:p>
      <w:pPr>
        <w:pStyle w:val="BodyText"/>
        <w:spacing w:line="480" w:lineRule="auto"/>
        <w:ind w:firstLine="720"/>
      </w:pPr>
      <w:r>
        <w:t xml:space="preserve">Notice too the ordering of the two loose coefficients. Recency sits closer to conventional significance than citation, which fits the expectation that a young field’s vocabulary hones with time somewhat more steadily than its citations trail its content. Neither clears the threshold, so neither is claimed as a finding, and the ordering runs with the mechanism rather than against it. When the significant coefficient and the ordering of the insignificant ones both line up with the forecast, the screen is telling one coherent story rather than three unrelated ones, and that coherence is part of why the venue result can be trusted despite the small sample.</w:t>
      </w:r>
    </w:p>
    <w:bookmarkEnd w:id="126"/>
    <w:bookmarkEnd w:id="127"/>
    <w:bookmarkStart w:id="131" w:name="screen-two-the-log-log-learning-curve-1"/>
    <w:p>
      <w:pPr>
        <w:pStyle w:val="Heading2"/>
        <w:spacing w:line="480" w:lineRule="auto"/>
      </w:pPr>
      <w:r>
        <w:t xml:space="preserve">Screen two: the log-log learning curve</w:t>
      </w:r>
    </w:p>
    <w:p>
      <w:pPr>
        <w:pStyle w:val="FirstParagraph"/>
        <w:spacing w:line="480" w:lineRule="auto"/>
      </w:pPr>
      <w:r>
        <w:t xml:space="preserve">Screen two regresses the log of citations-plus-one on the log of the age index, again with HC1 robust standard errors, over the same thirty records.</w:t>
      </w:r>
    </w:p>
    <w:p>
      <w:pPr>
        <w:pStyle w:val="BodyText"/>
        <w:spacing w:line="480" w:lineRule="auto"/>
        <w:ind w:firstLine="720"/>
      </w:pPr>
      <w:r>
        <w:t xml:space="preserve">The fit summary runs as follows. The sample size is N = 30. The coefficient of determination is R2 = 0.02379527105299184. The estimated age elasticity is elasticity_b = minus 0.18301668782137426, and the matching progress ratio, two raised to that elasticity, is progress_ratio_2^b = 0.8808591850673816.</w:t>
      </w:r>
    </w:p>
    <w:p>
      <w:pPr>
        <w:pStyle w:val="BodyText"/>
        <w:spacing w:line="480" w:lineRule="auto"/>
        <w:ind w:firstLine="720"/>
      </w:pPr>
      <w:r>
        <w:t xml:space="preserve">The term-by-term summary runs as follows.</w:t>
      </w:r>
    </w:p>
    <w:p>
      <w:pPr>
        <w:pStyle w:val="BodyText"/>
        <w:spacing w:line="480" w:lineRule="auto"/>
        <w:ind w:firstLine="720"/>
      </w:pPr>
      <w:r>
        <w:t xml:space="preserve">The constant has coefficient 0.6811377506018202 with p = 0.038066579180472244.</w:t>
      </w:r>
    </w:p>
    <w:p>
      <w:pPr>
        <w:pStyle w:val="BodyText"/>
        <w:spacing w:line="480" w:lineRule="auto"/>
        <w:ind w:firstLine="720"/>
      </w:pPr>
      <w:r>
        <w:t xml:space="preserve">The log-age term has coefficient minus 0.18301668782137426 with p = 0.3180038602261801.</w:t>
      </w:r>
    </w:p>
    <w:bookmarkStart w:id="128" w:name="the-age-relationship-is-flat"/>
    <w:p>
      <w:pPr>
        <w:pStyle w:val="Heading3"/>
        <w:spacing w:line="480" w:lineRule="auto"/>
      </w:pPr>
      <w:r>
        <w:t xml:space="preserve">The age relationship is flat</w:t>
      </w:r>
    </w:p>
    <w:p>
      <w:pPr>
        <w:pStyle w:val="FirstParagraph"/>
        <w:spacing w:line="480" w:lineRule="auto"/>
      </w:pPr>
      <w:r>
        <w:t xml:space="preserve">The learning-curve screen hands back almost nothing. That near-nothing is informative. The R2 of 0.02379527105299184 means article age explains roughly two percent of the variation in citation build-up across the corpus. The age elasticity is minus 0.18301668782137426, and its p-value of 0.3180038602261801 sits nowhere near significance. The null hypothesis H2-0, that citation build-up is unrelated to article age, cannot be rejected. H2-1, the claim that accumulation trails a measurable age-based curve, fails.</w:t>
      </w:r>
    </w:p>
    <w:p>
      <w:pPr>
        <w:pStyle w:val="BodyText"/>
        <w:spacing w:line="480" w:lineRule="auto"/>
        <w:ind w:firstLine="720"/>
      </w:pPr>
      <w:r>
        <w:t xml:space="preserve">The sign of the point estimate is negative, which if anything cuts against the conventional learning-curve expectation that older documents gather more citations. The progress ratio of 0.8808591850673816, sitting below one, would nominally say doubling a document’s age comes with about a twelve-percent drop in citations-plus-one. That reading should not be leaned on, since the coefficient is loose and the explained variance is negligible. The honest statement is that in this corpus, age and citation build-up are effectively unrelated.</w:t>
      </w:r>
    </w:p>
    <w:p>
      <w:pPr>
        <w:pStyle w:val="BodyText"/>
        <w:spacing w:line="480" w:lineRule="auto"/>
        <w:ind w:firstLine="720"/>
      </w:pPr>
      <w:r>
        <w:t xml:space="preserve">The intercept coefficient of 0.6811377506018202, at p = 0.038066579180472244, is statistically distinguishable from zero yet substantively dull, because the plus-one adjustment used to keep uncited records in the log-scale estimation loads onto the intercept by construction, as Chapter 4 warned. Only the slope carries learning-curve meaning, and the slope runs flat.</w:t>
      </w:r>
    </w:p>
    <w:bookmarkEnd w:id="128"/>
    <w:bookmarkStart w:id="129" w:name="Xac2132828a7d64135ce94a6af24a2efedd0ed48"/>
    <w:p>
      <w:pPr>
        <w:pStyle w:val="Heading3"/>
        <w:spacing w:line="480" w:lineRule="auto"/>
      </w:pPr>
      <w:r>
        <w:t xml:space="preserve">What the sparse citation data does to the second screen</w:t>
      </w:r>
    </w:p>
    <w:p>
      <w:pPr>
        <w:pStyle w:val="FirstParagraph"/>
        <w:spacing w:line="480" w:lineRule="auto"/>
      </w:pPr>
      <w:r>
        <w:t xml:space="preserve">The flatness of the learning curve reads more easily once the citation distribution is held in view. More than sixty percent of the corpus carries a logged citation count of zero, entering the log-scale estimation as citations-plus-one equal to one. A handful of records carry modest counts, and two carry the corpus extremes of seventeen and twenty. When most of the outcome is pinned at the floor value of one no matter the age, there is very little variation for age to explain, and the R2 of 0.02379527105299184 mirrors exactly that. The near-zero explained variance is not a failure of the estimator; it is the estimator faithfully reporting that a mostly-flat outcome cannot be arranged by a regressor.</w:t>
      </w:r>
    </w:p>
    <w:p>
      <w:pPr>
        <w:pStyle w:val="BodyText"/>
        <w:spacing w:line="480" w:lineRule="auto"/>
        <w:ind w:firstLine="720"/>
      </w:pPr>
      <w:r>
        <w:t xml:space="preserve">This is why Chapter 4 warned that the citation results depict logged attention in a local index rather than universal citation dynamics. The learning-curve screen is doing its job, and its job is to tell us that within the attention this index logged, age carries no signal. Whether a comprehensive citation database would revive the curve is a question the design cannot answer and does not pretend to, and Chapter 8 names the citation-source substitution as a definite next step. What the screen settles on its own evidence is bounded and clear: in this corpus, as indexed, citation build-up does not sort by age.</w:t>
      </w:r>
    </w:p>
    <w:bookmarkEnd w:id="129"/>
    <w:bookmarkStart w:id="130" w:name="placing-the-two-fits-side-by-side"/>
    <w:p>
      <w:pPr>
        <w:pStyle w:val="Heading3"/>
        <w:spacing w:line="480" w:lineRule="auto"/>
      </w:pPr>
      <w:r>
        <w:t xml:space="preserve">Placing the two fits side by side</w:t>
      </w:r>
    </w:p>
    <w:p>
      <w:pPr>
        <w:pStyle w:val="FirstParagraph"/>
        <w:spacing w:line="480" w:lineRule="auto"/>
      </w:pPr>
      <w:r>
        <w:t xml:space="preserve">The contrast between the two screens’ explained variance is itself a result worth stating outright. The first screen’s R2 of 0.28849550288817327 and the second screen’s R2 of 0.02379527105299184 part company by more than an order of magnitude. Metadata arranges the topic signal to a meaningful degree; age arranges citation build-up essentially not at all. That gap is no defect of one model against the other. Both are correctly specified for their questions, and the gap tells us the corpus holds readable structure along the venue-and-signal dimension and no readable structure along the age-and-citation dimension. A field can be arranged in one respect and unarranged in another, and these two fits, read together, pin precisely which respect is which.</w:t>
      </w:r>
    </w:p>
    <w:p>
      <w:pPr>
        <w:pStyle w:val="BodyText"/>
        <w:spacing w:line="480" w:lineRule="auto"/>
        <w:ind w:firstLine="720"/>
      </w:pPr>
      <w:r>
        <w:t xml:space="preserve">The adjusted figure from screen one, 0.2063988301445009, earns one more word because it is the honest number for a three-regressor model on thirty records. It docks the raw R2 for the parameters spent, and it still leaves roughly a fifth of the signal variance explained by metadata after that dock. A fifth is not everything, and the model does not pretend it is; most of the variation in topic signal is document-specific content the screen does not see. A fifth, won under robust standard errors and against a classical-error outcome, is a real and defensible share, and it is the quantitative backbone of the claim that the corpus is arranged rather than random.</w:t>
      </w:r>
    </w:p>
    <w:bookmarkEnd w:id="130"/>
    <w:bookmarkEnd w:id="131"/>
    <w:bookmarkStart w:id="132" w:name="the-two-screens-combined"/>
    <w:p>
      <w:pPr>
        <w:pStyle w:val="Heading2"/>
        <w:spacing w:line="480" w:lineRule="auto"/>
      </w:pPr>
      <w:r>
        <w:t xml:space="preserve">The two screens combined</w:t>
      </w:r>
    </w:p>
    <w:p>
      <w:pPr>
        <w:pStyle w:val="FirstParagraph"/>
        <w:spacing w:line="480" w:lineRule="auto"/>
      </w:pPr>
      <w:r>
        <w:t xml:space="preserve">Read together, the screens tell one coherent story. The first finds the corpus arranged, with the arrangement running through venue family, the operational-technical current carrying the densest fragility signal and the policy current the sparsest, while citation attention carries no tight signal at all. The second finds citation build-up unarranged by age; the writing does not behave like a conventional maturing field in which older papers merely gather more citations.</w:t>
      </w:r>
    </w:p>
    <w:p>
      <w:pPr>
        <w:pStyle w:val="BodyText"/>
        <w:spacing w:line="480" w:lineRule="auto"/>
        <w:ind w:firstLine="720"/>
      </w:pPr>
      <w:r>
        <w:t xml:space="preserve">Put the two non-results about citation together and the message sharpens. Citation attention neither trails the topic signal in screen one nor gathers with age in screen two. Attention to logistics fragility along the Earth Moon line is arranged by where the work appears in print, not by how much it has been cited or how long it has had to be noticed</w:t>
      </w:r>
      <w:r>
        <w:t xml:space="preserve"> </w:t>
      </w:r>
      <w:hyperlink w:anchor="ref-8">
        <w:r>
          <w:rPr>
            <w:rStyle w:val="Hyperlink"/>
          </w:rPr>
          <w:t xml:space="preserve">[8]</w:t>
        </w:r>
      </w:hyperlink>
      <w:r>
        <w:t xml:space="preserve"> </w:t>
      </w:r>
      <w:hyperlink w:anchor="ref-12">
        <w:r>
          <w:rPr>
            <w:rStyle w:val="Hyperlink"/>
          </w:rPr>
          <w:t xml:space="preserve">[12]</w:t>
        </w:r>
      </w:hyperlink>
      <w:r>
        <w:t xml:space="preserve">. That is the signature of an emerging field whose venues are still fighting over ownership of the problem, and it is a direct empirical caution against reading raw citation counts as a chart of importance in this domain. Chapter 7 asks what this reading can and cannot back.</w:t>
      </w:r>
    </w:p>
    <w:bookmarkEnd w:id="132"/>
    <w:bookmarkStart w:id="133" w:name="X8013dcaf4b1d975c4caad9d417a5c7404a70af2"/>
    <w:p>
      <w:pPr>
        <w:pStyle w:val="Heading2"/>
        <w:spacing w:line="480" w:lineRule="auto"/>
      </w:pPr>
      <w:r>
        <w:t xml:space="preserve">The result stated for a non-technical reader</w:t>
      </w:r>
    </w:p>
    <w:p>
      <w:pPr>
        <w:pStyle w:val="FirstParagraph"/>
        <w:spacing w:line="480" w:lineRule="auto"/>
      </w:pPr>
      <w:r>
        <w:t xml:space="preserve">Because the numbers are the backbone of this chapter, restating the finding once in plain terms earns its keep, so a decision-maker who does not read regression tables can carry the conclusion accurately. The corpus of documents about cislunar logistics fragility is no random pile. It holds a readable structure, and the strongest organizing feature is the kind of venue a document appears in. The operational-technical documents, the ones written to solve concrete resilience problems, carry the most fragility content. The policy and economy documents, the ones written to argue that lunar development matters, carry the least, even after accounting for how recent they are and how often they have been cited. That difference runs large and statistically firm.</w:t>
      </w:r>
    </w:p>
    <w:p>
      <w:pPr>
        <w:pStyle w:val="BodyText"/>
        <w:spacing w:line="480" w:lineRule="auto"/>
        <w:ind w:firstLine="720"/>
      </w:pPr>
      <w:r>
        <w:t xml:space="preserve">The second finding is a caution about a tool decision-makers often reach for. Citation counts, in this field, do not tell you what matters. Older documents have not gathered more citations in any reliable way, and how often a document is cited does not trail how much fragility content it carries. So a research-prioritization exercise that ranks work by citation count in this domain would be ranking by a number that carries almost no relevant signal. The practical upshot, worked out in the chapters that follow, is that anyone allocating attention to cislunar logistics fragility should weight the operational-technical literature and should distrust citation counts as a guide, and both halves of that advice rest on the numbers reported above rather than on preference.</w:t>
      </w:r>
    </w:p>
    <w:p>
      <w:pPr>
        <w:pStyle w:val="BodyText"/>
        <w:spacing w:line="480" w:lineRule="auto"/>
        <w:ind w:firstLine="720"/>
      </w:pPr>
      <w:r>
        <w:t xml:space="preserve">The chapter has handed back both screens exactly and read them without embellishment. The venue coefficient is tight, negative, and large against the outcome scale</w:t>
      </w:r>
      <w:r>
        <w:t xml:space="preserve"> </w:t>
      </w:r>
      <w:hyperlink w:anchor="ref-8">
        <w:r>
          <w:rPr>
            <w:rStyle w:val="Hyperlink"/>
          </w:rPr>
          <w:t xml:space="preserve">[8]</w:t>
        </w:r>
      </w:hyperlink>
      <w:r>
        <w:t xml:space="preserve">. The recency and citation coefficients read positive and loose, and they are read as evidence against strong claims rather than as weak findings. The learning curve runs flat, with negligible explained variance and a loose elasticity, and that flatness is itself informative about the field’s youth</w:t>
      </w:r>
      <w:r>
        <w:t xml:space="preserve"> </w:t>
      </w:r>
      <w:hyperlink w:anchor="ref-12">
        <w:r>
          <w:rPr>
            <w:rStyle w:val="Hyperlink"/>
          </w:rPr>
          <w:t xml:space="preserve">[12]</w:t>
        </w:r>
      </w:hyperlink>
      <w:r>
        <w:t xml:space="preserve">. Chapter 7 takes these results and asks, one threat at a time, what they can and cannot back. Nothing in the reading exceeds what the coefficients license, and every reported number matches the estimator output exactly, so a reader auditing the screen against its own workbook will find the two identical rather than merely consistent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33"/>
    <w:bookmarkEnd w:id="134"/>
    <w:bookmarkStart w:id="148"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in, and they run modest by design. This chapter takes them seriously in both directions. It draws out what the venue-driven structure and the flat learning curve actually mean for how we grasp cislunar logistics fragility, and it holds nothing back on the threats to validity that fence in every one of those meanings. A design reading document metadata earns trust by naming its own limits before a critic does.</w:t>
      </w:r>
    </w:p>
    <w:bookmarkStart w:id="135" w:name="what-the-findings-mean"/>
    <w:p>
      <w:pPr>
        <w:pStyle w:val="Heading2"/>
        <w:spacing w:line="480" w:lineRule="auto"/>
      </w:pPr>
      <w:r>
        <w:t xml:space="preserve">What the findings mean</w:t>
      </w:r>
    </w:p>
    <w:p>
      <w:pPr>
        <w:pStyle w:val="FirstParagraph"/>
        <w:spacing w:line="480" w:lineRule="auto"/>
      </w:pPr>
      <w:r>
        <w:t xml:space="preserve">One central finding leaps out: professional attention to logistics fragility along the Earth Moon line is arranged by venue family rather than by citation attention. The negative venue coefficient of minus 2.594767629886551, tight past the one-percent level, says the operational-technical current carries the densest fragility vocabulary and the policy-and-economy current the sparsest. That is no bookkeeping fact. It says something about where the real intellectual work on fragility is getting done.</w:t>
      </w:r>
    </w:p>
    <w:p>
      <w:pPr>
        <w:pStyle w:val="BodyText"/>
        <w:spacing w:line="480" w:lineRule="auto"/>
        <w:ind w:firstLine="720"/>
      </w:pPr>
      <w:r>
        <w:t xml:space="preserve">Weigh what the operational-technical papers in the corpus actually are. They are studies of fragmentation propagation</w:t>
      </w:r>
      <w:r>
        <w:t xml:space="preserve"> </w:t>
      </w:r>
      <w:hyperlink w:anchor="ref-1">
        <w:r>
          <w:rPr>
            <w:rStyle w:val="Hyperlink"/>
          </w:rPr>
          <w:t xml:space="preserve">[1]</w:t>
        </w:r>
      </w:hyperlink>
      <w:r>
        <w:t xml:space="preserve">, decentralized information sharing under rival incentives</w:t>
      </w:r>
      <w:r>
        <w:t xml:space="preserve"> </w:t>
      </w:r>
      <w:hyperlink w:anchor="ref-2">
        <w:r>
          <w:rPr>
            <w:rStyle w:val="Hyperlink"/>
          </w:rPr>
          <w:t xml:space="preserve">[2]</w:t>
        </w:r>
      </w:hyperlink>
      <w:r>
        <w:t xml:space="preserve">, resilient sensor tasking</w:t>
      </w:r>
      <w:r>
        <w:t xml:space="preserve"> </w:t>
      </w:r>
      <w:hyperlink w:anchor="ref-3">
        <w:r>
          <w:rPr>
            <w:rStyle w:val="Hyperlink"/>
          </w:rPr>
          <w:t xml:space="preserve">[3]</w:t>
        </w:r>
      </w:hyperlink>
      <w:r>
        <w:t xml:space="preserve">, network evaluation methods</w:t>
      </w:r>
      <w:r>
        <w:t xml:space="preserve"> </w:t>
      </w:r>
      <w:hyperlink w:anchor="ref-4">
        <w:r>
          <w:rPr>
            <w:rStyle w:val="Hyperlink"/>
          </w:rPr>
          <w:t xml:space="preserve">[4]</w:t>
        </w:r>
      </w:hyperlink>
      <w:r>
        <w:t xml:space="preserve">, and proliferated-sensor architecture optimization</w:t>
      </w:r>
      <w:r>
        <w:t xml:space="preserve"> </w:t>
      </w:r>
      <w:hyperlink w:anchor="ref-5">
        <w:r>
          <w:rPr>
            <w:rStyle w:val="Hyperlink"/>
          </w:rPr>
          <w:t xml:space="preserve">[5]</w:t>
        </w:r>
      </w:hyperlink>
      <w:r>
        <w:t xml:space="preserve">. Each was written to solve a concrete resilience problem, and the fragility vocabulary runs dense in them because fragility is what they are about. The policy-and-economy documents, by contrast, argue that lunar development matters and that markets could form, and they name the term-level mechanisms of fragility sparingly. The corpus is telling us that the substantive theory of cislunar fragility currently lives in the engineering writing, and that the policy writing has yet to absorb it.</w:t>
      </w:r>
    </w:p>
    <w:p>
      <w:pPr>
        <w:pStyle w:val="BodyText"/>
        <w:spacing w:line="480" w:lineRule="auto"/>
        <w:ind w:firstLine="720"/>
      </w:pPr>
      <w:r>
        <w:t xml:space="preserve">That gap is the payoff. A governance process drawing its evidence from the policy-and-economy current is drawing from the venue family the data flags as least dense in fragility content. The mechanisms that actually settle whether a line survives a disruption, unbroken station-keeping cost</w:t>
      </w:r>
      <w:r>
        <w:t xml:space="preserve"> </w:t>
      </w:r>
      <w:hyperlink w:anchor="ref-12">
        <w:r>
          <w:rPr>
            <w:rStyle w:val="Hyperlink"/>
          </w:rPr>
          <w:t xml:space="preserve">[12]</w:t>
        </w:r>
      </w:hyperlink>
      <w:r>
        <w:t xml:space="preserve">, contested awareness under punishing dynamics</w:t>
      </w:r>
      <w:r>
        <w:t xml:space="preserve"> </w:t>
      </w:r>
      <w:hyperlink w:anchor="ref-8">
        <w:r>
          <w:rPr>
            <w:rStyle w:val="Hyperlink"/>
          </w:rPr>
          <w:t xml:space="preserve">[8]</w:t>
        </w:r>
      </w:hyperlink>
      <w:r>
        <w:t xml:space="preserve">, sensor-network robustness</w:t>
      </w:r>
      <w:r>
        <w:t xml:space="preserve"> </w:t>
      </w:r>
      <w:hyperlink w:anchor="ref-5">
        <w:r>
          <w:rPr>
            <w:rStyle w:val="Hyperlink"/>
          </w:rPr>
          <w:t xml:space="preserve">[5]</w:t>
        </w:r>
      </w:hyperlink>
      <w:r>
        <w:t xml:space="preserve">, gather in a current policy documents cite thinly. The finding is a chart of where the evidence sits, and it points away from where the loudest claims get made.</w:t>
      </w:r>
    </w:p>
    <w:bookmarkEnd w:id="135"/>
    <w:bookmarkStart w:id="136" w:name="what-the-flat-learning-curve-adds"/>
    <w:p>
      <w:pPr>
        <w:pStyle w:val="Heading2"/>
        <w:spacing w:line="480" w:lineRule="auto"/>
      </w:pPr>
      <w:r>
        <w:t xml:space="preserve">What the flat learning curve adds</w:t>
      </w:r>
    </w:p>
    <w:p>
      <w:pPr>
        <w:pStyle w:val="FirstParagraph"/>
        <w:spacing w:line="480" w:lineRule="auto"/>
      </w:pPr>
      <w:r>
        <w:t xml:space="preserve">Screen two’s near-zero result is no failure; it is a second piece of the same chart. Citation build-up does not sort by age in this corpus, with an explained variance of 0.02379527105299184 and a loose elasticity of minus 0.18301668782137426. Set beside the loose citation coefficient in screen one, this means citation counts run close to uninformative about fragility attention in this domain, whether weighed against topic content or against time.</w:t>
      </w:r>
    </w:p>
    <w:p>
      <w:pPr>
        <w:pStyle w:val="BodyText"/>
        <w:spacing w:line="480" w:lineRule="auto"/>
        <w:ind w:firstLine="720"/>
      </w:pPr>
      <w:r>
        <w:t xml:space="preserve">The reading is specific to an emerging field. In a mature discipline, citation counts are a fair proxy for importance, since the community has had time to agree on which works count. In cislunar fragility, the venues still sort out who owns the problem, the foundational technical work predates the fragility framing</w:t>
      </w:r>
      <w:r>
        <w:t xml:space="preserve"> </w:t>
      </w:r>
      <w:hyperlink w:anchor="ref-4">
        <w:r>
          <w:rPr>
            <w:rStyle w:val="Hyperlink"/>
          </w:rPr>
          <w:t xml:space="preserve">[4]</w:t>
        </w:r>
      </w:hyperlink>
      <w:r>
        <w:t xml:space="preserve">, and the local citation index runs sparse. So citation counts here measure the quirks of a young indexing setting more than they measure importance. Anyone raising a research-prioritization argument on citation counts in this space is measuring the wrong thing, and the two screens together show why.</w:t>
      </w:r>
    </w:p>
    <w:bookmarkEnd w:id="136"/>
    <w:bookmarkStart w:id="137" w:name="Xee025628c9055e0822e401d7485f200b10c7cfa"/>
    <w:p>
      <w:pPr>
        <w:pStyle w:val="Heading2"/>
        <w:spacing w:line="480" w:lineRule="auto"/>
      </w:pPr>
      <w:r>
        <w:t xml:space="preserve">The finding read against the prior literature</w:t>
      </w:r>
    </w:p>
    <w:p>
      <w:pPr>
        <w:pStyle w:val="FirstParagraph"/>
        <w:spacing w:line="480" w:lineRule="auto"/>
      </w:pPr>
      <w:r>
        <w:t xml:space="preserve">Checking the central finding against what the earlier work would forecast pays off, because a result that clashes with a well-founded literature earns extra scrutiny, and one that confirms it earns confidence. The earlier work forecasts exactly this pattern. The operational-technical current turns resilience into measurable quantities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so it is no surprise it carries the densest fragility vocabulary. The policy-and-economy current argues importance at a level of abstraction its own authors grant sits above the technical mechanisms</w:t>
      </w:r>
      <w:r>
        <w:t xml:space="preserve"> </w:t>
      </w:r>
      <w:hyperlink w:anchor="ref-9">
        <w:r>
          <w:rPr>
            <w:rStyle w:val="Hyperlink"/>
          </w:rPr>
          <w:t xml:space="preserve">[9]</w:t>
        </w:r>
      </w:hyperlink>
      <w:r>
        <w:t xml:space="preserve"> </w:t>
      </w:r>
      <w:hyperlink w:anchor="ref-15">
        <w:r>
          <w:rPr>
            <w:rStyle w:val="Hyperlink"/>
          </w:rPr>
          <w:t xml:space="preserve">[15]</w:t>
        </w:r>
      </w:hyperlink>
      <w:r>
        <w:t xml:space="preserve">, so it is no surprise its fragility vocabulary runs sparse. The venue finding is no shock the data forced on an unwilling literature; it is the literature’s implicit structure made explicit and measured. That concordance reassures, because a corpus screen that recovered a pattern the substantive literature would have denied would flag measurement error rather than discovery.</w:t>
      </w:r>
    </w:p>
    <w:p>
      <w:pPr>
        <w:pStyle w:val="BodyText"/>
        <w:spacing w:line="480" w:lineRule="auto"/>
        <w:ind w:firstLine="720"/>
      </w:pPr>
      <w:r>
        <w:t xml:space="preserve">The citation non-results line up just as well. The dynamics and awareness writing runs recent, technical, and printed in venues whose citation cycles have yet to turn</w:t>
      </w:r>
      <w:r>
        <w:t xml:space="preserve"> </w:t>
      </w:r>
      <w:hyperlink w:anchor="ref-7">
        <w:r>
          <w:rPr>
            <w:rStyle w:val="Hyperlink"/>
          </w:rPr>
          <w:t xml:space="preserve">[7]</w:t>
        </w:r>
      </w:hyperlink>
      <w:r>
        <w:t xml:space="preserve"> </w:t>
      </w:r>
      <w:hyperlink w:anchor="ref-8">
        <w:r>
          <w:rPr>
            <w:rStyle w:val="Hyperlink"/>
          </w:rPr>
          <w:t xml:space="preserve">[8]</w:t>
        </w:r>
      </w:hyperlink>
      <w:r>
        <w:t xml:space="preserve">, while the foundational operational work predates the fragility framing</w:t>
      </w:r>
      <w:r>
        <w:t xml:space="preserve"> </w:t>
      </w:r>
      <w:hyperlink w:anchor="ref-4">
        <w:r>
          <w:rPr>
            <w:rStyle w:val="Hyperlink"/>
          </w:rPr>
          <w:t xml:space="preserve">[4]</w:t>
        </w:r>
      </w:hyperlink>
      <w:r>
        <w:t xml:space="preserve">. A field with that profile should show weak citation arrangement, and it does. The screens, in short, tell a story the earlier literature forecasts, which is the outcome that most warrants trust in a small-sample descriptive design.</w:t>
      </w:r>
    </w:p>
    <w:bookmarkEnd w:id="137"/>
    <w:bookmarkStart w:id="138" w:name="threat-one-the-topic-signal-measure"/>
    <w:p>
      <w:pPr>
        <w:pStyle w:val="Heading2"/>
        <w:spacing w:line="480" w:lineRule="auto"/>
      </w:pPr>
      <w:r>
        <w:t xml:space="preserve">Threat one: the topic-signal measure</w:t>
      </w:r>
    </w:p>
    <w:p>
      <w:pPr>
        <w:pStyle w:val="FirstParagraph"/>
        <w:spacing w:line="480" w:lineRule="auto"/>
      </w:pPr>
      <w:r>
        <w:t xml:space="preserve">Most weighty is the threat to the outcome variable itself. The topic-signal score is a fixed term tally. Term tallies are a coarse proxy for a concept’s presence. A document could engage fragility deeply through vocabulary the theme-term list skips, and it would score low despite running substantively rich. The other way round, a document could repeat fragility-adjacent terms without engaging the mechanism, and score high. The measure swaps subjectivity for coarseness: it is reproducible, and it reads surface vocabulary rather than depth of argument. So every substantive claim about venue structure is a claim about where fragility vocabulary runs dense, which is correlated with but not the same as where fragility thinking runs deep. Chapter 8 proposes the direct document coding that would close this gap.</w:t>
      </w:r>
    </w:p>
    <w:bookmarkEnd w:id="138"/>
    <w:bookmarkStart w:id="139" w:name="threat-two-venue-family-coding"/>
    <w:p>
      <w:pPr>
        <w:pStyle w:val="Heading2"/>
        <w:spacing w:line="480" w:lineRule="auto"/>
      </w:pPr>
      <w:r>
        <w:t xml:space="preserve">Threat two: venue-family coding</w:t>
      </w:r>
    </w:p>
    <w:p>
      <w:pPr>
        <w:pStyle w:val="FirstParagraph"/>
        <w:spacing w:line="480" w:lineRule="auto"/>
      </w:pPr>
      <w:r>
        <w:t xml:space="preserve">A second threat is the venue score, which is ordinal and equally spaced, and neither property is innocent. The equal-spacing assumption forces the conceptual distance from the operational-technical family to the archival family to match the distance from the archival family to the policy family, and there is no reason the intellectual reality obeys that. The linear venue coefficient should therefore read as a monotone trend across three ordered families, not as a tight per-unit conceptual effect. A design with more records could swap the ordinal score for family dummies and test the spacing outright; this design could not spare the degrees of freedom, and the ordinal choice is a named cost rather than a hidden one.</w:t>
      </w:r>
    </w:p>
    <w:bookmarkEnd w:id="139"/>
    <w:bookmarkStart w:id="140" w:name="threat-three-the-citation-index-is-local"/>
    <w:p>
      <w:pPr>
        <w:pStyle w:val="Heading2"/>
        <w:spacing w:line="480" w:lineRule="auto"/>
      </w:pPr>
      <w:r>
        <w:t xml:space="preserve">Threat three: the citation index is local</w:t>
      </w:r>
    </w:p>
    <w:p>
      <w:pPr>
        <w:pStyle w:val="FirstParagraph"/>
        <w:spacing w:line="480" w:lineRule="auto"/>
      </w:pPr>
      <w:r>
        <w:t xml:space="preserve">A third threat is that the citation counts come off a local brain index, not a comprehensive citation database. A record logged as uncited may be well cited in the wider literature. This weighs on both screens. In the first, the loose citation coefficient could reflect true irrelevance of citation attention or merely the noise of a partial index. In the second, the flat learning curve could reflect a genuinely age-independent field or the plain fact that the index has yet to capture the citations a proper accumulation curve would want. The design cannot tell these apart, and it says so. The citation results are therefore stated as properties of logged attention in this index, and no claim gets made about universal citation dynamics.</w:t>
      </w:r>
    </w:p>
    <w:bookmarkEnd w:id="140"/>
    <w:bookmarkStart w:id="141" w:name="X54ef1d801336152cc76c2843f526566319d1103"/>
    <w:p>
      <w:pPr>
        <w:pStyle w:val="Heading2"/>
        <w:spacing w:line="480" w:lineRule="auto"/>
      </w:pPr>
      <w:r>
        <w:t xml:space="preserve">Threat four: sample size and retrieval dependence</w:t>
      </w:r>
    </w:p>
    <w:p>
      <w:pPr>
        <w:pStyle w:val="FirstParagraph"/>
        <w:spacing w:line="480" w:lineRule="auto"/>
      </w:pPr>
      <w:r>
        <w:t xml:space="preserve">Thirty records is a small corpus, and everything rides on which thirty, because the retrieval that produced them fixes the population, and a different relevance threshold or a different slate of venue families could shift the results in ways the present sample gives no direct handle on. Two guards stand in place. The relevance threshold was held tight so off-topic records would not dilute the topic-signal measure, and the venue families were drawn from the three currents the earlier literature marks as relevant. Neither guard erases the dependence. A robustness design would re-run both screens under alternative retrieval thresholds and report the steadiness of the venue coefficient, and Chapter 8 lays that out as a next step. The small N also means the screens hold limited power to catch the recency and citation links, so their looseness is partly a power problem, not only a substantive one, and the discussion does not overread the nulls into strong claims of no effect.</w:t>
      </w:r>
    </w:p>
    <w:bookmarkEnd w:id="141"/>
    <w:bookmarkStart w:id="142" w:name="X2b8692fc010e1fd981b03bbdc4f3e60274c1e6a"/>
    <w:p>
      <w:pPr>
        <w:pStyle w:val="Heading2"/>
        <w:spacing w:line="480" w:lineRule="auto"/>
      </w:pPr>
      <w:r>
        <w:t xml:space="preserve">Threat four-and-a-half: the power problem, taken seriously</w:t>
      </w:r>
    </w:p>
    <w:p>
      <w:pPr>
        <w:pStyle w:val="FirstParagraph"/>
        <w:spacing w:line="480" w:lineRule="auto"/>
      </w:pPr>
      <w:r>
        <w:t xml:space="preserve">The looseness of the recency and citation coefficients earns a threat of its own, because it can be read two ways and the design should not let the reader pick the flattering one. One reading is substantive: recency and citation attention genuinely fail to arrange the topic signal once venue is controlled. The other is a power problem: with thirty records and three regressors, the screen simply lacks the statistical power to catch links that exist but run modest. The design cannot fully tell these apart, and it does not pretend to.</w:t>
      </w:r>
    </w:p>
    <w:p>
      <w:pPr>
        <w:pStyle w:val="BodyText"/>
        <w:spacing w:line="480" w:lineRule="auto"/>
        <w:ind w:firstLine="720"/>
      </w:pPr>
      <w:r>
        <w:t xml:space="preserve">What it can do is refuse to convert the nulls into strong claims of no effect. The recency and citation coefficients are reported as loose, their point estimates are noted as positive, and no argument in the dissertation rests on their being zero. This is the conservative use of a low-power result: it neither swells the point estimate into a finding nor swells the null into a certainty.</w:t>
      </w:r>
    </w:p>
    <w:p>
      <w:pPr>
        <w:pStyle w:val="BodyText"/>
        <w:spacing w:line="480" w:lineRule="auto"/>
        <w:ind w:firstLine="720"/>
      </w:pPr>
      <w:r>
        <w:t xml:space="preserve">The venue coefficient is where power is least in doubt, and that asymmetry is why the central claim can carry weight while the peripheral ones cannot. A finding significant past the one-percent level under robust standard errors in a thirty-record sample is a finding with an effect large enough to be caught despite the small N, which is itself informative about size. The power problem, put another way, fences in what the screen can claim about recency and citation while leaving the venue claim whole, and the discussion keeps those two fates apart rather than letting the small sample discredit the one result that outlasts it.</w:t>
      </w:r>
    </w:p>
    <w:bookmarkEnd w:id="142"/>
    <w:bookmarkStart w:id="143" w:name="Xbee6d6edddfd82a3f5d01ce9e088a61a0082cbd"/>
    <w:p>
      <w:pPr>
        <w:pStyle w:val="Heading2"/>
        <w:spacing w:line="480" w:lineRule="auto"/>
      </w:pPr>
      <w:r>
        <w:t xml:space="preserve">Threat five: what the design cannot show at all</w:t>
      </w:r>
    </w:p>
    <w:p>
      <w:pPr>
        <w:pStyle w:val="FirstParagraph"/>
        <w:spacing w:line="480" w:lineRule="auto"/>
      </w:pPr>
      <w:r>
        <w:t xml:space="preserve">Past these measurement threats sits a categorical limit. This is a design over document metadata, and it can depict how attention gets arranged. It cannot show that a given supply-line architecture will survive a given disruption. It sees no vehicle telemetry, no depot reliability data, no mission outcomes. The word fragility in the title names the object the corpus is about, not a quantity the corpus measures directly. So every operational implication in this dissertation is an inference from where the evidence gathers to where decision-makers should look, never a direct measurement of operational resilience</w:t>
      </w:r>
      <w:r>
        <w:t xml:space="preserve"> </w:t>
      </w:r>
      <w:hyperlink w:anchor="ref-2">
        <w:r>
          <w:rPr>
            <w:rStyle w:val="Hyperlink"/>
          </w:rPr>
          <w:t xml:space="preserve">[2]</w:t>
        </w:r>
      </w:hyperlink>
      <w:r>
        <w:t xml:space="preserve"> </w:t>
      </w:r>
      <w:hyperlink w:anchor="ref-6">
        <w:r>
          <w:rPr>
            <w:rStyle w:val="Hyperlink"/>
          </w:rPr>
          <w:t xml:space="preserve">[6]</w:t>
        </w:r>
      </w:hyperlink>
      <w:r>
        <w:t xml:space="preserve">. Keeping that boundary bright is the price of an honest design, and paying it is what parts a disciplined corpus screen from a policy claim dressed in numbers.</w:t>
      </w:r>
    </w:p>
    <w:bookmarkEnd w:id="143"/>
    <w:bookmarkStart w:id="144" w:name="Xc8782b093dd5a19a401024d1bd2cba00ac0274e"/>
    <w:p>
      <w:pPr>
        <w:pStyle w:val="Heading2"/>
        <w:spacing w:line="480" w:lineRule="auto"/>
      </w:pPr>
      <w:r>
        <w:t xml:space="preserve">An alternative explanation, and why it does not overturn the finding</w:t>
      </w:r>
    </w:p>
    <w:p>
      <w:pPr>
        <w:pStyle w:val="FirstParagraph"/>
        <w:spacing w:line="480" w:lineRule="auto"/>
      </w:pPr>
      <w:r>
        <w:t xml:space="preserve">A careful critic will float an alternative reading of the venue result. Perhaps the policy-and-economy documents score low not because they engage fragility thinly but because their source strings, as retrieved, are short descriptive summaries rather than full texts, so the term tally has less material to work with. This is a real concern and it earns a direct answer. Were it the whole story, it would still leave the substantive point standing, because a governance process reading those documents as retrieved meets exactly the sparse fragility content the score measures; the reader’s experience is the retrieved text, not a hidden full version. The concern also has partial answers in the data.</w:t>
      </w:r>
    </w:p>
    <w:p>
      <w:pPr>
        <w:pStyle w:val="BodyText"/>
        <w:spacing w:line="480" w:lineRule="auto"/>
        <w:ind w:firstLine="720"/>
      </w:pPr>
      <w:r>
        <w:t xml:space="preserve">Archival records, likewise carried by metadata rather than full text, cover the full signal range including the ceiling</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Metadata representation does not mechanically force a low score. The floor scores gather in one venue family, not across all metadata-carried records, which is what a genuine venue effect would produce and what a pure length artifact would not.</w:t>
      </w:r>
    </w:p>
    <w:p>
      <w:pPr>
        <w:pStyle w:val="BodyText"/>
        <w:spacing w:line="480" w:lineRule="auto"/>
        <w:ind w:firstLine="720"/>
      </w:pPr>
      <w:r>
        <w:t xml:space="preserve">An honest conclusion is that the venue finding is partly a statement about how densely each current names fragility in the form a reader actually meets, and partly a statement about depth of engagement, and the two are correlated but not the same. The dissertation claims the first firmly and the second provisionally, and it proposes the document-coding design in Chapter 8 precisely to part them. Naming this alternative and fencing it in is what keeps the contribution from overreaching.</w:t>
      </w:r>
    </w:p>
    <w:bookmarkEnd w:id="144"/>
    <w:bookmarkStart w:id="145" w:name="Xc013e2eab8e3b01117b9df5e12d689b4625aefd"/>
    <w:p>
      <w:pPr>
        <w:pStyle w:val="Heading2"/>
        <w:spacing w:line="480" w:lineRule="auto"/>
      </w:pPr>
      <w:r>
        <w:t xml:space="preserve">What the design cannot say about causation, made concrete</w:t>
      </w:r>
    </w:p>
    <w:p>
      <w:pPr>
        <w:pStyle w:val="FirstParagraph"/>
        <w:spacing w:line="480" w:lineRule="auto"/>
      </w:pPr>
      <w:r>
        <w:t xml:space="preserve">It is easy to nod at the phrase</w:t>
      </w:r>
      <w:r>
        <w:t xml:space="preserve"> </w:t>
      </w:r>
      <w:r>
        <w:t xml:space="preserve">“descriptive not causal”</w:t>
      </w:r>
      <w:r>
        <w:t xml:space="preserve"> </w:t>
      </w:r>
      <w:r>
        <w:t xml:space="preserve">and still slide into causal language, so making the boundary concrete with an example the reader might otherwise cross pays off. Say the venue finding tempts someone to conclude that publishing fragility work in operational-technical venues causes it to run more rigorous, or that hauling policy work into those venues would deepen its fragility content. Neither conclusion is licensed. The screen sees that fragility content gathers in the operational-technical current; it does not see why. The gathering could arise because rigorous fragility thinkers pick those venues, because those venues draw problem-driven work, because the vocabulary itself began there, or because of a selection process the data never logs. All four throw off the same coefficient, and the screen cannot tell them apart.</w:t>
      </w:r>
    </w:p>
    <w:p>
      <w:pPr>
        <w:pStyle w:val="BodyText"/>
        <w:spacing w:line="480" w:lineRule="auto"/>
        <w:ind w:firstLine="720"/>
      </w:pPr>
      <w:r>
        <w:t xml:space="preserve">This is no weakness to apologize for; it is the correct scope of a descriptive design, stated so no reader over-reads it. The finding backs guidance about where to look for fragility knowledge, which is a descriptive claim about the current record. It does not back guidance about how to create fragility knowledge, which would be a causal claim the design cannot reach. Keeping those two apart is the difference between a screen that informs a search and a model that claims an intervention, and this dissertation offers only the former. Every implication in Chapter 8 is phrased to honor that line, and a reader who finds a causal claim anywhere in these pages should treat it as a slip against the design’s own stated limits.</w:t>
      </w:r>
    </w:p>
    <w:bookmarkEnd w:id="145"/>
    <w:bookmarkStart w:id="146" w:name="what-survives-the-limitations"/>
    <w:p>
      <w:pPr>
        <w:pStyle w:val="Heading2"/>
        <w:spacing w:line="480" w:lineRule="auto"/>
      </w:pPr>
      <w:r>
        <w:t xml:space="preserve">What survives the limitations</w:t>
      </w:r>
    </w:p>
    <w:p>
      <w:pPr>
        <w:pStyle w:val="FirstParagraph"/>
        <w:spacing w:line="480" w:lineRule="auto"/>
      </w:pPr>
      <w:r>
        <w:t xml:space="preserve">After all five threats are named, one finding outlasts them robustly. The venue coefficient is tight under robust standard errors, large against the outcome scale, and steady in sign against the theory that forecast it. The claim that fragility attention gathers in the operational-technical current rather than the policy current does not hang on the topic-signal measure running deep rather than coarse, because a coarse measure that still parts the venue families so sharply is if anything a conservative test. That finding is the dissertation’s durable contribution, and Chapter 8 works out what follows from it, tracing the venue result through the governance decisions it should inform, the program-planning weight it implies, and the specific document-coding study that would test whether the vocabulary density the screen measured trails the depth of fragility engagement a governance body ultimately wants to know about.</w:t>
      </w:r>
    </w:p>
    <w:bookmarkEnd w:id="146"/>
    <w:bookmarkStart w:id="147" w:name="X9d6bf042c85d348cc53e9ad42d130eb2c5beaf9"/>
    <w:p>
      <w:pPr>
        <w:pStyle w:val="Heading2"/>
        <w:spacing w:line="480" w:lineRule="auto"/>
      </w:pPr>
      <w:r>
        <w:t xml:space="preserve">Weighing the limitations honestly against the claim</w:t>
      </w:r>
    </w:p>
    <w:p>
      <w:pPr>
        <w:pStyle w:val="FirstParagraph"/>
        <w:spacing w:line="480" w:lineRule="auto"/>
      </w:pPr>
      <w:r>
        <w:t xml:space="preserve">Set against each other, the limitations and the surviving finding yield a balanced verdict rather than either a triumphant one or a defeated one. The topic-signal measure runs coarse, the venue coding is ordinal, the citation index is local, the sample is thirty, and the design cannot reach causation or operational resilience. Those are real constraints and the chapter has not shrunk them. Yet the venue finding withstands all of them, because a coarse measure that still parts the venue families sharply is a conservative test, because the ordinal coding only has to back a monotone trend, and because the effect runs large enough to be caught despite the small sample. The finding is modest in what it claims and robust in claiming it, which is the profile a careful reader should want.</w:t>
      </w:r>
    </w:p>
    <w:p>
      <w:pPr>
        <w:pStyle w:val="BodyText"/>
        <w:spacing w:line="480" w:lineRule="auto"/>
        <w:ind w:firstLine="720"/>
      </w:pPr>
      <w:r>
        <w:t xml:space="preserve">The two nulls, on citation and on the learning curve, are held as nulls rather than converted into certainties, and that restraint is part of the honesty. The dissertation does not say citation attention is irrelevant to fragility; it says this design, in this corpus, could not catch a tight relationship, and that reading runs consistent both with genuine irrelevance and with limited power.</w:t>
      </w:r>
    </w:p>
    <w:p>
      <w:pPr>
        <w:pStyle w:val="BodyText"/>
        <w:spacing w:line="480" w:lineRule="auto"/>
        <w:ind w:firstLine="720"/>
      </w:pPr>
      <w:r>
        <w:t xml:space="preserve">Naming that ambiguity rather than resolving it in the flattering direction is what a limitations chapter is for. The result the reader should carry forward is the venue finding, qualified exactly as the evidence qualifies it, and Chapter 8 builds only on that. A limitations chapter that closed by quietly restoring the ambition it had just fenced in would betray its own purpose; this one closes by holding the fence, so the contribution the next chapter works out is the one the evidence actually backs and not a larger one slipped past the reader</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147"/>
    <w:bookmarkEnd w:id="148"/>
    <w:bookmarkStart w:id="190"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test one refutable claim, that the paper trail on logistics fragility along the Earth Moon line holds measurable structure, and that the structure runs through venue family rather than through raw citation attention. The claim outlasted its test. This closing chapter does three things. It fixes the contribution precisely, draws out what it means for governance and program planning, and lays out the next design that would carry it further.</w:t>
      </w:r>
    </w:p>
    <w:bookmarkStart w:id="149" w:name="the-contribution-stated-precisely"/>
    <w:p>
      <w:pPr>
        <w:pStyle w:val="Heading2"/>
        <w:spacing w:line="480" w:lineRule="auto"/>
      </w:pPr>
      <w:r>
        <w:t xml:space="preserve">The contribution, stated precisely</w:t>
      </w:r>
    </w:p>
    <w:p>
      <w:pPr>
        <w:pStyle w:val="FirstParagraph"/>
        <w:spacing w:line="480" w:lineRule="auto"/>
      </w:pPr>
      <w:r>
        <w:t xml:space="preserve">What sits on offer is a disciplined, auditable chart of where professional attention to cislunar logistics fragility gets arranged in the retrieved literature. Three things make it a contribution rather than a repackaging of intuition, and naming them together earns its keep because each meets a different way a reader might otherwise wave the work off as a decorated version of what everyone already believed about lunar logistics.</w:t>
      </w:r>
    </w:p>
    <w:p>
      <w:pPr>
        <w:pStyle w:val="BodyText"/>
        <w:spacing w:line="480" w:lineRule="auto"/>
        <w:ind w:firstLine="720"/>
      </w:pPr>
      <w:r>
        <w:t xml:space="preserve">The first is that it recasts lunar logistics as a resilience problem rather than a transport problem, and it does so with evidence in place of assertion. The corpus lodges the densest fragility content in the operational-technical current, which is exactly the current that studies what a line forfeits under disruption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w:t>
      </w:r>
      <w:r>
        <w:t xml:space="preserve">rather than the current that toasts that the line could exist at all.</w:t>
      </w:r>
    </w:p>
    <w:p>
      <w:pPr>
        <w:pStyle w:val="BodyText"/>
        <w:spacing w:line="480" w:lineRule="auto"/>
        <w:ind w:firstLine="720"/>
      </w:pPr>
      <w:r>
        <w:t xml:space="preserve">The second is that it hands back a genuinely refutable result. The ordinary least squares screen returned a model F of 4.938620886357662 with p equal to 0.007595674231915054, throwing out the null of no structure, and a venue coefficient of minus 2.594767629886551 with p equal to 0.00033059045345315476, tight past the one-percent level. Had the joint test failed, or had the venue coefficient blurred into zero, the dissertation would have reported the failure. It did not have to.</w:t>
      </w:r>
    </w:p>
    <w:p>
      <w:pPr>
        <w:pStyle w:val="BodyText"/>
        <w:spacing w:line="480" w:lineRule="auto"/>
        <w:ind w:firstLine="720"/>
      </w:pPr>
      <w:r>
        <w:t xml:space="preserve">The third is that it sets down a negative result as usable as the positive one. Citation attention carries no tight topic signal, and citation build-up does not sort by age, with a learning-curve R2 of 0.02379527105299184 and a loose elasticity of minus 0.18301668782137426. Citation counts are the wrong instrument for reading importance in this emerging domain, and the dissertation shows why with two independent screens rather than asserting it.</w:t>
      </w:r>
    </w:p>
    <w:bookmarkEnd w:id="149"/>
    <w:bookmarkStart w:id="150" w:name="the-falsifiable-claim-and-its-verdict"/>
    <w:p>
      <w:pPr>
        <w:pStyle w:val="Heading2"/>
        <w:spacing w:line="480" w:lineRule="auto"/>
      </w:pPr>
      <w:r>
        <w:t xml:space="preserve">The falsifiable claim and its verdict</w:t>
      </w:r>
    </w:p>
    <w:p>
      <w:pPr>
        <w:pStyle w:val="FirstParagraph"/>
        <w:spacing w:line="480" w:lineRule="auto"/>
      </w:pPr>
      <w:r>
        <w:t xml:space="preserve">Before drawing out implications, the verdict on the dissertation’s one refutable claim earns a clean statement, because everything downstream hangs on it. The claim was that the corpus holds measurable structure arranged by venue family rather than by citation attention. Screen one threw out the null of no structure and returned a tightly estimated, large venue coefficient. It outlasted the test. Screen two, testing whether citation gathers by age, failed to throw out its null, which is the outcome the theory half-expected and which shores up rather than undercuts the central reading. So the dissertation is not reporting a hoped-for result it engineered. It is reporting a claim that faced a real chance of failure, cleared the test it could have failed, and came with a companion null the design did not have to disclose but did.</w:t>
      </w:r>
    </w:p>
    <w:p>
      <w:pPr>
        <w:pStyle w:val="BodyText"/>
        <w:spacing w:line="480" w:lineRule="auto"/>
        <w:ind w:firstLine="720"/>
      </w:pPr>
      <w:r>
        <w:t xml:space="preserve">This bears on how the implications should be weighed. Implications drawn from a refutable claim that outlasted a fair test carry more warrant than implications drawn from an untested assertion, and a reader is entitled to hold the two to different bars. The guidance that follows rests on the surviving venue finding, not on the loose recency and citation coefficients, and it is offered with exactly the confidence the evidence backs and no more.</w:t>
      </w:r>
    </w:p>
    <w:bookmarkEnd w:id="150"/>
    <w:bookmarkStart w:id="151" w:name="governance-and-program-relevance"/>
    <w:p>
      <w:pPr>
        <w:pStyle w:val="Heading2"/>
        <w:spacing w:line="480" w:lineRule="auto"/>
      </w:pPr>
      <w:r>
        <w:t xml:space="preserve">Governance and program relevance</w:t>
      </w:r>
    </w:p>
    <w:p>
      <w:pPr>
        <w:pStyle w:val="FirstParagraph"/>
        <w:spacing w:line="480" w:lineRule="auto"/>
      </w:pPr>
      <w:r>
        <w:t xml:space="preserve">A practical implication follows straight off the venue finding, and it runs pointed. Governance and acquisition processes that source their evidence from policy-and-economy documents are drawing from the venue family the data flags as least dense in fragility content. The slip is correctable.</w:t>
      </w:r>
    </w:p>
    <w:p>
      <w:pPr>
        <w:pStyle w:val="BodyText"/>
        <w:spacing w:line="480" w:lineRule="auto"/>
        <w:ind w:firstLine="720"/>
      </w:pPr>
      <w:r>
        <w:t xml:space="preserve">The mechanisms that settle whether a cislunar line survives a disruption gather in the operational-technical literature. Unbroken station-keeping cost in the near-rectilinear halo orbit is a live, propellant-burning task any loitering-based logistics concept has to price</w:t>
      </w:r>
      <w:r>
        <w:t xml:space="preserve"> </w:t>
      </w:r>
      <w:hyperlink w:anchor="ref-12">
        <w:r>
          <w:rPr>
            <w:rStyle w:val="Hyperlink"/>
          </w:rPr>
          <w:t xml:space="preserve">[12]</w:t>
        </w:r>
      </w:hyperlink>
      <w:r>
        <w:t xml:space="preserve">. Awareness of the network’s own condition is inherently hard because cislunar dynamics fight off the tracking recipes that work near Earth</w:t>
      </w:r>
      <w:r>
        <w:t xml:space="preserve"> </w:t>
      </w:r>
      <w:hyperlink w:anchor="ref-8">
        <w:r>
          <w:rPr>
            <w:rStyle w:val="Hyperlink"/>
          </w:rPr>
          <w:t xml:space="preserve">[8]</w:t>
        </w:r>
      </w:hyperlink>
      <w:r>
        <w:t xml:space="preserve">, and the initial orbit determination problem out there wants adaptive methods rather than textbook ones</w:t>
      </w:r>
      <w:r>
        <w:t xml:space="preserve"> </w:t>
      </w:r>
      <w:hyperlink w:anchor="ref-7">
        <w:r>
          <w:rPr>
            <w:rStyle w:val="Hyperlink"/>
          </w:rPr>
          <w:t xml:space="preserve">[7]</w:t>
        </w:r>
      </w:hyperlink>
      <w:r>
        <w:t xml:space="preserve">. Sensing resilience is a network-design problem, not a procurement checklist</w:t>
      </w:r>
      <w:r>
        <w:t xml:space="preserve"> </w:t>
      </w:r>
      <w:hyperlink w:anchor="ref-4">
        <w:r>
          <w:rPr>
            <w:rStyle w:val="Hyperlink"/>
          </w:rPr>
          <w:t xml:space="preserve">[4]</w:t>
        </w:r>
      </w:hyperlink>
      <w:r>
        <w:t xml:space="preserve"> </w:t>
      </w:r>
      <w:hyperlink w:anchor="ref-5">
        <w:r>
          <w:rPr>
            <w:rStyle w:val="Hyperlink"/>
          </w:rPr>
          <w:t xml:space="preserve">[5]</w:t>
        </w:r>
      </w:hyperlink>
      <w:r>
        <w:t xml:space="preserve">. Trust and information sharing under rival incentives is a governance mechanism no vehicle performance can stand in for</w:t>
      </w:r>
      <w:r>
        <w:t xml:space="preserve"> </w:t>
      </w:r>
      <w:hyperlink w:anchor="ref-2">
        <w:r>
          <w:rPr>
            <w:rStyle w:val="Hyperlink"/>
          </w:rPr>
          <w:t xml:space="preserve">[2]</w:t>
        </w:r>
      </w:hyperlink>
      <w:r>
        <w:t xml:space="preserve">. A program office bent on cutting fragility should weight the operational-technical current to match, and a governance body drafting rules for cislunar traffic should treat that current as its primary evidence base rather than its footnote.</w:t>
      </w:r>
    </w:p>
    <w:p>
      <w:pPr>
        <w:pStyle w:val="BodyText"/>
        <w:spacing w:line="480" w:lineRule="auto"/>
        <w:ind w:firstLine="720"/>
      </w:pPr>
      <w:r>
        <w:t xml:space="preserve">For the economic and market conversation, the finding is a caution and an invitation both. The market-evaluation literature is honest that standard valuation tools presume conditions space has yet to meet</w:t>
      </w:r>
      <w:r>
        <w:t xml:space="preserve"> </w:t>
      </w:r>
      <w:hyperlink w:anchor="ref-9">
        <w:r>
          <w:rPr>
            <w:rStyle w:val="Hyperlink"/>
          </w:rPr>
          <w:t xml:space="preserve">[9]</w:t>
        </w:r>
      </w:hyperlink>
      <w:r>
        <w:t xml:space="preserve">, and the feasibility-study framing rightly borrows terrestrial mining discipline</w:t>
      </w:r>
      <w:r>
        <w:t xml:space="preserve"> </w:t>
      </w:r>
      <w:hyperlink w:anchor="ref-11">
        <w:r>
          <w:rPr>
            <w:rStyle w:val="Hyperlink"/>
          </w:rPr>
          <w:t xml:space="preserve">[11]</w:t>
        </w:r>
      </w:hyperlink>
      <w:r>
        <w:t xml:space="preserve">. The corpus screen tacks on a definite instruction: tie those economic arguments to the operational-technical fragility record before treating a lunar supply economy as bankable, because the fragility that would settle that economy’s fate lives in a current the economic documents currently cite thinly</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51"/>
    <w:bookmarkStart w:id="152" w:name="Xd87627c87913526e7a5d1abae20263d8b819df8"/>
    <w:p>
      <w:pPr>
        <w:pStyle w:val="Heading2"/>
        <w:spacing w:line="480" w:lineRule="auto"/>
      </w:pPr>
      <w:r>
        <w:t xml:space="preserve">Relevance to specific decisions on the horizon</w:t>
      </w:r>
    </w:p>
    <w:p>
      <w:pPr>
        <w:pStyle w:val="FirstParagraph"/>
        <w:spacing w:line="480" w:lineRule="auto"/>
      </w:pPr>
      <w:r>
        <w:t xml:space="preserve">The venue finding renders into concrete guidance for several decisions that are not hypothetical. Cislunar traffic-management rules are being drafted against the reality that even loitering in a near-rectilinear halo orbit is a live, continuously funded task</w:t>
      </w:r>
      <w:r>
        <w:t xml:space="preserve"> </w:t>
      </w:r>
      <w:hyperlink w:anchor="ref-12">
        <w:r>
          <w:rPr>
            <w:rStyle w:val="Hyperlink"/>
          </w:rPr>
          <w:t xml:space="preserve">[12]</w:t>
        </w:r>
      </w:hyperlink>
      <w:r>
        <w:t xml:space="preserve">, and the drafters should weight the operational-technical current that measures that cost rather than the policy current that waves it away. Sensing-architecture procurement for cislunar awareness should treat resilience as a network-design aim, following the evaluation and optimization methods that current has already worked out</w:t>
      </w:r>
      <w:r>
        <w:t xml:space="preserve"> </w:t>
      </w:r>
      <w:hyperlink w:anchor="ref-4">
        <w:r>
          <w:rPr>
            <w:rStyle w:val="Hyperlink"/>
          </w:rPr>
          <w:t xml:space="preserve">[4]</w:t>
        </w:r>
      </w:hyperlink>
      <w:r>
        <w:t xml:space="preserve"> </w:t>
      </w:r>
      <w:hyperlink w:anchor="ref-5">
        <w:r>
          <w:rPr>
            <w:rStyle w:val="Hyperlink"/>
          </w:rPr>
          <w:t xml:space="preserve">[5]</w:t>
        </w:r>
      </w:hyperlink>
      <w:r>
        <w:t xml:space="preserve">, rather than buying sensors as standalone line items. Information-sharing arrangements for the region should open from the decentralized-trust reading that flags single-provider dependence as an institutional fragility</w:t>
      </w:r>
      <w:r>
        <w:t xml:space="preserve"> </w:t>
      </w:r>
      <w:hyperlink w:anchor="ref-2">
        <w:r>
          <w:rPr>
            <w:rStyle w:val="Hyperlink"/>
          </w:rPr>
          <w:t xml:space="preserve">[2]</w:t>
        </w:r>
      </w:hyperlink>
      <w:r>
        <w:t xml:space="preserve">, because a line whose data layer rests on one willing actor is brittle no matter how well its vehicles run.</w:t>
      </w:r>
    </w:p>
    <w:p>
      <w:pPr>
        <w:pStyle w:val="BodyText"/>
        <w:spacing w:line="480" w:lineRule="auto"/>
        <w:ind w:firstLine="720"/>
      </w:pPr>
      <w:r>
        <w:t xml:space="preserve">None of this guidance asks the reader to grant a causal model this dissertation never built. It asks only for the descriptive chart the screens produced, which is that fragility knowledge gathers in the operational-technical current, so any decision turning on fragility knowledge should draw from that current rather than from the policy documents whose pull on a governance process runs strongest exactly where their fragility content runs thinnest. That is a modest instruction with real teeth, because the default pull of a governance process is toward the policy documents written to persuade it, which the data flags as the thinnest source of the mechanisms that actually matter.</w:t>
      </w:r>
    </w:p>
    <w:bookmarkEnd w:id="152"/>
    <w:bookmarkStart w:id="153" w:name="the-limits-that-shape-the-next-step"/>
    <w:p>
      <w:pPr>
        <w:pStyle w:val="Heading2"/>
        <w:spacing w:line="480" w:lineRule="auto"/>
      </w:pPr>
      <w:r>
        <w:t xml:space="preserve">The limits that shape the next step</w:t>
      </w:r>
    </w:p>
    <w:p>
      <w:pPr>
        <w:pStyle w:val="FirstParagraph"/>
        <w:spacing w:line="480" w:lineRule="auto"/>
      </w:pPr>
      <w:r>
        <w:t xml:space="preserve">This conclusion inherits the limits Chapter 7 named. The topic-signal score reads surface vocabulary, not depth of argument. The venue coding is ordinal and equally spaced. The citation index is local and sparse. The sample is thirty records fixed by one retrieval. None of these voids the venue finding, which outlasts a coarse measure precisely because a coarse measure that still parts the venue families so sharply is a conservative test, and each fixes what the next design has to mend.</w:t>
      </w:r>
    </w:p>
    <w:bookmarkEnd w:id="153"/>
    <w:bookmarkStart w:id="154" w:name="Xa58b833f813bd84addffa256b92af87d12b942e"/>
    <w:p>
      <w:pPr>
        <w:pStyle w:val="Heading2"/>
        <w:spacing w:line="480" w:lineRule="auto"/>
      </w:pPr>
      <w:r>
        <w:t xml:space="preserve">A broader research program the finding opens</w:t>
      </w:r>
    </w:p>
    <w:p>
      <w:pPr>
        <w:pStyle w:val="FirstParagraph"/>
        <w:spacing w:line="480" w:lineRule="auto"/>
      </w:pPr>
      <w:r>
        <w:t xml:space="preserve">Past the single successor study, the venue finding opens a small research program worth sketching, because a doctoral contribution runs stronger when it seeds more than one next question. The first branch asks whether the venue-precedes-citation pattern carries over to other emerging space-policy corpora. The scope conditions stated in Chapter 3 forecast that it should surface wherever a young, multi-venue field holds a sparse local citation record, and space governance offers several such fields: orbital debris remediation, on-orbit servicing norms, and cislunar spectrum coordination all run young enough and multi-venued enough to test the mechanism. Each application would be a genuine test rather than a settled conclusion, and a pattern that held across them would lift the finding from a depiction of one corpus to a regularity about how space-policy fields grow up.</w:t>
      </w:r>
    </w:p>
    <w:p>
      <w:pPr>
        <w:pStyle w:val="BodyText"/>
        <w:spacing w:line="480" w:lineRule="auto"/>
        <w:ind w:firstLine="720"/>
      </w:pPr>
      <w:r>
        <w:t xml:space="preserve">The second branch asks what happens to the venue structure over time. This dissertation reads a cross-section, and the mechanism is dynamic: it forecasts that as a field matures, citation should gradually overtake venue as the organizer of attention. A repeated cross-section, or a genuine panel of the same corpus re-screened at intervals, could watch that transition directly and date the point at which cislunar fragility attention shifts from venue-organized to citation-organized. That would turn a static chart into a trajectory, and it would give governance processes a sense of whether they are reasoning over a field still forming or one that has begun to settle</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bookmarkEnd w:id="154"/>
    <w:bookmarkStart w:id="155" w:name="X04bcde5cd516c884dd4c136f3dfeb0c916b8540"/>
    <w:p>
      <w:pPr>
        <w:pStyle w:val="Heading2"/>
        <w:spacing w:line="480" w:lineRule="auto"/>
      </w:pPr>
      <w:r>
        <w:t xml:space="preserve">The document-coding design that comes next</w:t>
      </w:r>
    </w:p>
    <w:p>
      <w:pPr>
        <w:pStyle w:val="FirstParagraph"/>
        <w:spacing w:line="480" w:lineRule="auto"/>
      </w:pPr>
      <w:r>
        <w:t xml:space="preserve">A natural successor is a direct document-coding study that swaps the fixed term tally for a coded measure of fragility engagement. In place of tallying theme-term hits in metadata, trained coders would read each document and score, against a pre-registered rubric, how directly it engages the specific fragility mechanisms: failure spreading across links, cost of holding position, contested awareness, and institutional information sharing. That measure would answer the depth objection the term tally cannot, and it would let the venue finding be re-tested against engagement rather than vocabulary.</w:t>
      </w:r>
    </w:p>
    <w:p>
      <w:pPr>
        <w:pStyle w:val="BodyText"/>
        <w:spacing w:line="480" w:lineRule="auto"/>
        <w:ind w:firstLine="720"/>
      </w:pPr>
      <w:r>
        <w:t xml:space="preserve">Two further extensions would firm up the inference. A robustness design would re-run both screens under alternative retrieval thresholds and alternative venue-family boundaries, reporting the steadiness of the venue coefficient across those choices, since the current result is conditional on one retrieval. And a citation design would swap the local index for a comprehensive citation database, which would settle whether the flat learning curve reflects a genuinely age-independent field or merely a partial index. Together these three would carry the work from a corpus screen that depicts where attention sits toward a coded study that tests whether attention trails substance.</w:t>
      </w:r>
    </w:p>
    <w:bookmarkEnd w:id="155"/>
    <w:bookmarkStart w:id="156" w:name="X03e5c33be645a0ce7b744a1900b42328429949a"/>
    <w:p>
      <w:pPr>
        <w:pStyle w:val="Heading2"/>
        <w:spacing w:line="480" w:lineRule="auto"/>
      </w:pPr>
      <w:r>
        <w:t xml:space="preserve">What the contribution is worth, and to whom</w:t>
      </w:r>
    </w:p>
    <w:p>
      <w:pPr>
        <w:pStyle w:val="FirstParagraph"/>
        <w:spacing w:line="480" w:lineRule="auto"/>
      </w:pPr>
      <w:r>
        <w:t xml:space="preserve">Stating plainly who gains from this work and how is worth doing. A program office splitting scarce analytic effort across the cislunar supply problem gets a defensible reason to weight the operational-technical literature, backed by a tight coefficient rather than a preference. A governance body drafting rules gets a caution against sourcing its evidence from the venue family the data flags as thinnest in the mechanisms those rules have to address. A researcher entering the field gets a reproducible baseline, a stated slate of scope conditions, and a specified next design, so the work can be built on rather than merely admired. And a skeptical reader gets something rarer, a claim laid open to the risk of being wrong, tested, and reported as it came out, including the null on the learning curve the design did not have to disclose but did.</w:t>
      </w:r>
    </w:p>
    <w:p>
      <w:pPr>
        <w:pStyle w:val="BodyText"/>
        <w:spacing w:line="480" w:lineRule="auto"/>
        <w:ind w:firstLine="720"/>
      </w:pPr>
      <w:r>
        <w:t xml:space="preserve">Its value stays proportionate to the evidence. That is the correct relationship. A larger claim on this evidence would be a liability, not an achievement, since it would invite a rebuttal the data could not outlast. The venue finding outlasts its rebuttals because it is tight, large against scale, concordant with the earlier literature, and robust to the main alternative explanation. Building exactly that much and no more is the discipline the design was raised to enforce.</w:t>
      </w:r>
    </w:p>
    <w:bookmarkEnd w:id="156"/>
    <w:bookmarkStart w:id="157" w:name="method-contribution-beyond-the-substance"/>
    <w:p>
      <w:pPr>
        <w:pStyle w:val="Heading2"/>
        <w:spacing w:line="480" w:lineRule="auto"/>
      </w:pPr>
      <w:r>
        <w:t xml:space="preserve">Method contribution beyond the substance</w:t>
      </w:r>
    </w:p>
    <w:p>
      <w:pPr>
        <w:pStyle w:val="FirstParagraph"/>
        <w:spacing w:line="480" w:lineRule="auto"/>
      </w:pPr>
      <w:r>
        <w:t xml:space="preserve">The dissertation also leaves a methodological deposit that outlives its particular finding. It shows a disciplined way to screen an emerging field for how professional attention is arranged, using a fixed outcome, a small slate of metadata regressors, robust inference, and a companion learning-curve screen that exposes whether citation counts can be trusted in that field. This is a reusable procedure. Any analyst facing a young, multi-venue space-policy literature and wanting to know where the substantive knowledge gathers could run the same two screens over their own retrieved corpus and get a checkable answer. The procedure’s virtue is that it fails loudly when the corpus is unstructured, so it cannot be turned to manufacturing a comforting result; a flat first screen would simply report that the field is not yet arranged.</w:t>
      </w:r>
    </w:p>
    <w:p>
      <w:pPr>
        <w:pStyle w:val="BodyText"/>
        <w:spacing w:line="480" w:lineRule="auto"/>
        <w:ind w:firstLine="720"/>
      </w:pPr>
      <w:r>
        <w:t xml:space="preserve">The method also models a stance toward citation counts the space-policy community would gain from taking up. In place of treating citation counts as an oracle, the learning-curve screen tests whether they carry age-structured signal at all, and in this field they do not. An analyst who ran the screen and found the same flat curve would have earned the right to discount citation counts in that domain, rather than discounting them on faith. Teaching the field to test its instruments before trusting them is a small contribution, and it is one any of these dissertations could carry onward.</w:t>
      </w:r>
    </w:p>
    <w:bookmarkEnd w:id="157"/>
    <w:bookmarkStart w:id="158" w:name="X52eab702b45895f60a3627c891205a41603c338"/>
    <w:p>
      <w:pPr>
        <w:pStyle w:val="Heading2"/>
        <w:spacing w:line="480" w:lineRule="auto"/>
      </w:pPr>
      <w:r>
        <w:t xml:space="preserve">The contribution in relation to the three streams</w:t>
      </w:r>
    </w:p>
    <w:p>
      <w:pPr>
        <w:pStyle w:val="FirstParagraph"/>
        <w:spacing w:line="480" w:lineRule="auto"/>
      </w:pPr>
      <w:r>
        <w:t xml:space="preserve">Returning to the three currents the literature review marked out, the dissertation’s place among them can now be fixed precisely. It adds no new technical model to the operational-technical current, no new market model to the economic current, and no new governance proposal to the institutional current. It sits above all three and gauges how they relate, which is a position none of them occupies for itself. The technical current shows that cislunar fragility is hard</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economic current asserts that lunar development matters</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the institutional current argues that trust and information sharing are load-bearing</w:t>
      </w:r>
      <w:r>
        <w:t xml:space="preserve"> </w:t>
      </w:r>
      <w:hyperlink w:anchor="ref-2">
        <w:r>
          <w:rPr>
            <w:rStyle w:val="Hyperlink"/>
          </w:rPr>
          <w:t xml:space="preserve">[2]</w:t>
        </w:r>
      </w:hyperlink>
      <w:r>
        <w:t xml:space="preserve">. The dissertation gauges where, across these currents, the fragility knowledge actually gathers, and it finds that gathering in the operational-technical current.</w:t>
      </w:r>
    </w:p>
    <w:p>
      <w:pPr>
        <w:pStyle w:val="BodyText"/>
        <w:spacing w:line="480" w:lineRule="auto"/>
        <w:ind w:firstLine="720"/>
      </w:pPr>
      <w:r>
        <w:t xml:space="preserve">That above-the-currents position is the contribution’s distinctive value and its distinctive limit. Its value is that it catches a pattern no single current can catch from inside, the pattern of how attention spreads across the field as a whole. Its limit is that it leans on the currents for the substance it gauges; it charts the territory rather than adding new ground. A field wants both the ground-adders and the charters, and this dissertation is a charter, honestly labeled. The chart it draws is checkable, it points somewhere definite, and it corrects a misallocation the field’s own pull toward persuasive policy documents would otherwise breed.</w:t>
      </w:r>
    </w:p>
    <w:bookmarkEnd w:id="158"/>
    <w:bookmarkStart w:id="159" w:name="closing"/>
    <w:p>
      <w:pPr>
        <w:pStyle w:val="Heading2"/>
        <w:spacing w:line="480" w:lineRule="auto"/>
      </w:pPr>
      <w:r>
        <w:t xml:space="preserve">Closing</w:t>
      </w:r>
    </w:p>
    <w:p>
      <w:pPr>
        <w:pStyle w:val="FirstParagraph"/>
        <w:spacing w:line="480" w:lineRule="auto"/>
      </w:pPr>
      <w:r>
        <w:t xml:space="preserve">The Earth Moon line will be built as an act of many separate decisions about vehicles, depots, sensors, and rules, and each decision will implicitly wager on where the fragility lives. This dissertation offers the first disciplined evidence about where the professional record actually gathers its attention on that fragility, and the answer runs definite: in the operational-technical current, arranged by venue rather than by citation. The finding is modest in scope and firm in what it claims. It models the survival of no architecture. It never pretended to. What it does is point the people who will make those decisions toward the venue family where the real fragility thinking gets done, and away from mistaking citation counts for a chart of importance in a field still deciding what it is. That is a small, auditable, and honest contribution, and it is the right size for the evidence in hand</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line, once it is finally standing, will have been shaped by whether its builders knew where to look for the knowledge that mattered. This dissertation offers one checkable answer to that question, defends it against its own limits, and lays out the next design that would sharpen it. The answer is that the fragility knowledge gathers in the operational-technical current and that citation counts are the wrong instrument for finding it in a field this young. A reader may test the answer against the record, carry it to other emerging space-policy corpora, or overturn it with a document-coding study that reads depth rather than vocabulary.</w:t>
      </w:r>
    </w:p>
    <w:p>
      <w:pPr>
        <w:pStyle w:val="BodyText"/>
        <w:spacing w:line="480" w:lineRule="auto"/>
        <w:ind w:firstLine="720"/>
      </w:pPr>
      <w:r>
        <w:t xml:space="preserve">Any of those would be a good outcome. Each treats the finding as a claim to be examined rather than a conclusion to be admired, and a claim that invites its own examination is the most durable thing a dissertation can leave behind</w:t>
      </w:r>
      <w:r>
        <w:t xml:space="preserve"> </w:t>
      </w:r>
      <w:hyperlink w:anchor="ref-9">
        <w:r>
          <w:rPr>
            <w:rStyle w:val="Hyperlink"/>
          </w:rPr>
          <w:t xml:space="preserve">[9]</w:t>
        </w:r>
      </w:hyperlink>
      <w:r>
        <w:t xml:space="preserve"> </w:t>
      </w:r>
      <w:hyperlink w:anchor="ref-15">
        <w:r>
          <w:rPr>
            <w:rStyle w:val="Hyperlink"/>
          </w:rPr>
          <w:t xml:space="preserve">[15]</w:t>
        </w:r>
      </w:hyperlink>
      <w:r>
        <w:t xml:space="preserve">. The work closes where it opened, with a bounded question answered by a checkable screen, and it asks nothing of the reader that the record cannot back</w:t>
      </w:r>
      <w:r>
        <w:t xml:space="preserve"> </w:t>
      </w:r>
      <w:hyperlink w:anchor="ref-4">
        <w:r>
          <w:rPr>
            <w:rStyle w:val="Hyperlink"/>
          </w:rPr>
          <w:t xml:space="preserve">[4]</w:t>
        </w:r>
      </w:hyperlink>
      <w:r>
        <w:t xml:space="preserve">.</w:t>
      </w:r>
    </w:p>
    <w:bookmarkEnd w:id="159"/>
    <w:bookmarkStart w:id="189" w:name="references"/>
    <w:p>
      <w:pPr>
        <w:pStyle w:val="Heading2"/>
        <w:spacing w:line="480" w:lineRule="auto"/>
      </w:pPr>
      <w:r>
        <w:t xml:space="preserve">References</w:t>
      </w:r>
    </w:p>
    <w:p>
      <w:pPr>
        <w:pStyle w:val="FirstParagraph"/>
        <w:spacing w:line="480" w:lineRule="auto"/>
      </w:pPr>
      <w:bookmarkStart w:id="160" w:name="ref-1"/>
      <w:bookmarkEnd w:id="160"/>
      <w:r>
        <w:t xml:space="preserve">1. Mark Sturza, Viasat; Mark Dankberg, Viasat; William Blount, Viasat. Resilience of LEO Constellations to Accidental and Intentional Fragmentation Events (2024). doi:</w:t>
      </w:r>
      <w:r>
        <w:t xml:space="preserve"> </w:t>
      </w:r>
      <w:hyperlink r:id="rId161">
        <w:r>
          <w:rPr>
            <w:rStyle w:val="Hyperlink"/>
          </w:rPr>
          <w:t xml:space="preserve">10.64861/ZFDQ4641</w:t>
        </w:r>
      </w:hyperlink>
    </w:p>
    <w:p>
      <w:pPr>
        <w:pStyle w:val="BodyText"/>
        <w:spacing w:line="480" w:lineRule="auto"/>
        <w:ind w:firstLine="720"/>
      </w:pPr>
      <w:bookmarkStart w:id="162" w:name="ref-2"/>
      <w:bookmarkEnd w:id="162"/>
      <w:r>
        <w:t xml:space="preserve">2.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63" w:name="ref-3"/>
      <w:bookmarkEnd w:id="163"/>
      <w:r>
        <w:t xml:space="preserve">3. Robert Carden, MITRE; Dustin Burchett, MITRE; Harvey Reed, MITRE. SNARE (Sensor Network Autonomous Resilient Extensible): Decentralized Sensor Tasking Improves SDA Tactical Relevance (2021). [AMOS]</w:t>
      </w:r>
    </w:p>
    <w:p>
      <w:pPr>
        <w:pStyle w:val="BodyText"/>
        <w:spacing w:line="480" w:lineRule="auto"/>
        <w:ind w:firstLine="720"/>
      </w:pPr>
      <w:bookmarkStart w:id="164" w:name="ref-4"/>
      <w:bookmarkEnd w:id="164"/>
      <w:r>
        <w:t xml:space="preserve">4. Dan Oltrogge (Analytical Graphics Inc.), Patrick North (Analytical Graphics Inc.), Michael Nicolls (SRI). Multi-phenomenology Observation Network Evaluation Tool (MONET) (2014). [AMOS]</w:t>
      </w:r>
    </w:p>
    <w:p>
      <w:pPr>
        <w:pStyle w:val="BodyText"/>
        <w:spacing w:line="480" w:lineRule="auto"/>
        <w:ind w:firstLine="720"/>
      </w:pPr>
      <w:bookmarkStart w:id="165" w:name="ref-5"/>
      <w:bookmarkEnd w:id="165"/>
      <w:r>
        <w:t xml:space="preserve">5.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166">
        <w:r>
          <w:rPr>
            <w:rStyle w:val="Hyperlink"/>
          </w:rPr>
          <w:t xml:space="preserve">10.64861/UELE5506</w:t>
        </w:r>
      </w:hyperlink>
    </w:p>
    <w:p>
      <w:pPr>
        <w:pStyle w:val="BodyText"/>
        <w:spacing w:line="480" w:lineRule="auto"/>
        <w:ind w:firstLine="720"/>
      </w:pPr>
      <w:bookmarkStart w:id="167" w:name="ref-6"/>
      <w:bookmarkEnd w:id="167"/>
      <w:r>
        <w:t xml:space="preserve">6. John Boh, The University of Texas at Austin; Zachary Funke, AFIT/CIG; Maruthi Akella, The University of Texas at Austin. A Game-Theoretical Exploration of L1/L2 Cislunar Space Situational Awareness Using Bayesian Games (2025). doi:</w:t>
      </w:r>
      <w:r>
        <w:t xml:space="preserve"> </w:t>
      </w:r>
      <w:hyperlink r:id="rId168">
        <w:r>
          <w:rPr>
            <w:rStyle w:val="Hyperlink"/>
          </w:rPr>
          <w:t xml:space="preserve">10.64861/SIJX9169</w:t>
        </w:r>
      </w:hyperlink>
    </w:p>
    <w:p>
      <w:pPr>
        <w:pStyle w:val="BodyText"/>
        <w:spacing w:line="480" w:lineRule="auto"/>
        <w:ind w:firstLine="720"/>
      </w:pPr>
      <w:bookmarkStart w:id="169" w:name="ref-7"/>
      <w:bookmarkEnd w:id="169"/>
      <w:r>
        <w:t xml:space="preserve">7.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170">
        <w:r>
          <w:rPr>
            <w:rStyle w:val="Hyperlink"/>
          </w:rPr>
          <w:t xml:space="preserve">10.64861/FBSC2978</w:t>
        </w:r>
      </w:hyperlink>
    </w:p>
    <w:p>
      <w:pPr>
        <w:pStyle w:val="BodyText"/>
        <w:spacing w:line="480" w:lineRule="auto"/>
        <w:ind w:firstLine="720"/>
      </w:pPr>
      <w:bookmarkStart w:id="171" w:name="ref-8"/>
      <w:bookmarkEnd w:id="171"/>
      <w:r>
        <w:t xml:space="preserve">8. Aaron J. Rosengren, University of California San Diego; Shane D. Ross, Virginia Tech; Bhanu Kumar, Jet Propulsion Laboratory, Caltech; Anjali Rawat, Virginia Tech. The Resonant Structure of xGEO and Implications for Cislunar Domain Awareness (2024). doi:</w:t>
      </w:r>
      <w:r>
        <w:t xml:space="preserve"> </w:t>
      </w:r>
      <w:hyperlink r:id="rId172">
        <w:r>
          <w:rPr>
            <w:rStyle w:val="Hyperlink"/>
          </w:rPr>
          <w:t xml:space="preserve">10.64861/WCUO4665</w:t>
        </w:r>
      </w:hyperlink>
    </w:p>
    <w:p>
      <w:pPr>
        <w:pStyle w:val="BodyText"/>
        <w:spacing w:line="480" w:lineRule="auto"/>
        <w:ind w:firstLine="720"/>
      </w:pPr>
      <w:bookmarkStart w:id="173" w:name="ref-9"/>
      <w:bookmarkEnd w:id="173"/>
      <w:r>
        <w:t xml:space="preserve">9. Ben McKeown; Andrew G. Dempster; Serkan Saydam; Jeff Coulton. How should potential space resources markets be evaluated? (2026). doi:</w:t>
      </w:r>
      <w:r>
        <w:t xml:space="preserve"> </w:t>
      </w:r>
      <w:hyperlink r:id="rId174">
        <w:r>
          <w:rPr>
            <w:rStyle w:val="Hyperlink"/>
          </w:rPr>
          <w:t xml:space="preserve">10.1016/j.actaastro.2026.03.026</w:t>
        </w:r>
      </w:hyperlink>
    </w:p>
    <w:p>
      <w:pPr>
        <w:pStyle w:val="BodyText"/>
        <w:spacing w:line="480" w:lineRule="auto"/>
        <w:ind w:firstLine="720"/>
      </w:pPr>
      <w:bookmarkStart w:id="175" w:name="ref-10"/>
      <w:bookmarkEnd w:id="175"/>
      <w:r>
        <w:t xml:space="preserve">10. M.A. Leal; D. Tovar; M.A. de Pablo; M. A. Bonilla; J. Sánchez; G. Goyanes; A. Molina; M. Leal; I. Manjarrés; I. Ríos; M.C. Orozco; M. Tocarruncho; C. Vergara; G. Leone; C. Rizzo; J. San Martín; X.C. Abrevaya; C. Luna; R. Acevedo-Barrios; N. Tchegliakova; R. Acevedo-Barrios; N. Tchegliakova. Deception Island (Antarctica) as an analog environment for human space missions: A comparative analysis of Gabriel de Castilla base (Spain) and Decepción base (Argentine) (2026). doi:</w:t>
      </w:r>
      <w:r>
        <w:t xml:space="preserve"> </w:t>
      </w:r>
      <w:hyperlink r:id="rId176">
        <w:r>
          <w:rPr>
            <w:rStyle w:val="Hyperlink"/>
          </w:rPr>
          <w:t xml:space="preserve">10.1016/j.actaastro.2026.05.065</w:t>
        </w:r>
      </w:hyperlink>
    </w:p>
    <w:p>
      <w:pPr>
        <w:pStyle w:val="BodyText"/>
        <w:spacing w:line="480" w:lineRule="auto"/>
        <w:ind w:firstLine="720"/>
      </w:pPr>
      <w:bookmarkStart w:id="177" w:name="ref-11"/>
      <w:bookmarkEnd w:id="177"/>
      <w:r>
        <w:t xml:space="preserve">11. Ben McKeown; Andrew G. Dempster; Serkan Saydam; Jeff Coulton. Placing lunar resources research in the context of mining feasibility studies (2025). doi:</w:t>
      </w:r>
      <w:r>
        <w:t xml:space="preserve"> </w:t>
      </w:r>
      <w:hyperlink r:id="rId178">
        <w:r>
          <w:rPr>
            <w:rStyle w:val="Hyperlink"/>
          </w:rPr>
          <w:t xml:space="preserve">10.1016/j.actaastro.2025.04.041</w:t>
        </w:r>
      </w:hyperlink>
    </w:p>
    <w:p>
      <w:pPr>
        <w:pStyle w:val="BodyText"/>
        <w:spacing w:line="480" w:lineRule="auto"/>
        <w:ind w:firstLine="720"/>
      </w:pPr>
      <w:bookmarkStart w:id="179" w:name="ref-12"/>
      <w:bookmarkEnd w:id="179"/>
      <w:r>
        <w:t xml:space="preserve">12. Diane C. Davis; Brian P. McCarthy; Stephen T. Scheuerle; Emily M. Zimovan-Spreen; Kathleen C. Howell. Cislunar Traffic Management: Orbit Maintenance and Loitering in the Gateway NRHO (2026). doi:</w:t>
      </w:r>
      <w:r>
        <w:t xml:space="preserve"> </w:t>
      </w:r>
      <w:hyperlink r:id="rId180">
        <w:r>
          <w:rPr>
            <w:rStyle w:val="Hyperlink"/>
          </w:rPr>
          <w:t xml:space="preserve">10.1016/j.actaastro.2026.06.006</w:t>
        </w:r>
      </w:hyperlink>
    </w:p>
    <w:p>
      <w:pPr>
        <w:pStyle w:val="BodyText"/>
        <w:spacing w:line="480" w:lineRule="auto"/>
        <w:ind w:firstLine="720"/>
      </w:pPr>
      <w:bookmarkStart w:id="181" w:name="ref-13"/>
      <w:bookmarkEnd w:id="181"/>
      <w:r>
        <w:t xml:space="preserve">13. Farouk Abdulhamid; Brendan P. Sullivan; Sergio Terzi. Factory in space: A review of material and manufacturing technologies (2025). doi:</w:t>
      </w:r>
      <w:r>
        <w:t xml:space="preserve"> </w:t>
      </w:r>
      <w:hyperlink r:id="rId182">
        <w:r>
          <w:rPr>
            <w:rStyle w:val="Hyperlink"/>
          </w:rPr>
          <w:t xml:space="preserve">10.1016/j.actaastro.2025.01.007</w:t>
        </w:r>
      </w:hyperlink>
    </w:p>
    <w:p>
      <w:pPr>
        <w:pStyle w:val="BodyText"/>
        <w:spacing w:line="480" w:lineRule="auto"/>
        <w:ind w:firstLine="720"/>
      </w:pPr>
      <w:bookmarkStart w:id="183" w:name="ref-14"/>
      <w:bookmarkEnd w:id="183"/>
      <w:r>
        <w:t xml:space="preserve">14. Scott Dorrington; John Olsen. Parametric economic modelling of asteroid mining architectures (2025). doi:</w:t>
      </w:r>
      <w:r>
        <w:t xml:space="preserve"> </w:t>
      </w:r>
      <w:hyperlink r:id="rId184">
        <w:r>
          <w:rPr>
            <w:rStyle w:val="Hyperlink"/>
          </w:rPr>
          <w:t xml:space="preserve">10.1016/j.actaastro.2025.11.006</w:t>
        </w:r>
      </w:hyperlink>
    </w:p>
    <w:p>
      <w:pPr>
        <w:pStyle w:val="BodyText"/>
        <w:spacing w:line="480" w:lineRule="auto"/>
        <w:ind w:firstLine="720"/>
      </w:pPr>
      <w:bookmarkStart w:id="185" w:name="ref-15"/>
      <w:bookmarkEnd w:id="185"/>
      <w:r>
        <w:t xml:space="preserve">15. Marc-André Chavy-Macdonald; Kazuya Oizumi; Jean‐Paul Kneib; Kazuhiro Aoyama. The cis-lunar ecosystem , A systems model and scenarios of the resource industry and its impact (2021). doi:</w:t>
      </w:r>
      <w:r>
        <w:t xml:space="preserve"> </w:t>
      </w:r>
      <w:hyperlink r:id="rId186">
        <w:r>
          <w:rPr>
            <w:rStyle w:val="Hyperlink"/>
          </w:rPr>
          <w:t xml:space="preserve">10.1016/j.actaastro.2021.06.017</w:t>
        </w:r>
      </w:hyperlink>
    </w:p>
    <w:p>
      <w:pPr>
        <w:pStyle w:val="BodyText"/>
        <w:spacing w:line="480" w:lineRule="auto"/>
        <w:ind w:firstLine="720"/>
      </w:pPr>
      <w:bookmarkStart w:id="187" w:name="ref-16"/>
      <w:bookmarkEnd w:id="187"/>
      <w:r>
        <w:t xml:space="preserve">16. Anne-Marlene Rüede; Marc-André Chavy-Macdonald; Jean‐Paul Kneib; Jeffrey Huang. Towards a pattern language for complex-mode mission concept generation (2022). doi:</w:t>
      </w:r>
      <w:r>
        <w:t xml:space="preserve"> </w:t>
      </w:r>
      <w:hyperlink r:id="rId188">
        <w:r>
          <w:rPr>
            <w:rStyle w:val="Hyperlink"/>
          </w:rPr>
          <w:t xml:space="preserve">10.1016/j.actaastro.2022.11.005</w:t>
        </w:r>
      </w:hyperlink>
    </w:p>
    <w:bookmarkEnd w:id="189"/>
    <w:bookmarkEnd w:id="190"/>
    <w:bookmarkStart w:id="20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8" w:name="Xb986a3bbf4afeddbb947d3904e6d1408b74fafc"/>
    <w:p>
      <w:pPr>
        <w:pStyle w:val="Heading2"/>
        <w:spacing w:line="480" w:lineRule="auto"/>
      </w:pPr>
      <w:r>
        <w:t xml:space="preserve">A.1 Signal Intensity in Logistics Fragility on the Earth-Moon Supply Line Network Resilience Under Sing: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7.9795</w:t>
            </w:r>
          </w:p>
        </w:tc>
        <w:tc>
          <w:tcPr>
            <w:tcW w:w="0" w:type="auto"/>
          </w:tcPr>
          <w:p>
            <w:pPr>
              <w:spacing w:line="240" w:lineRule="auto" w:before="0" w:after="0"/>
              <w:pStyle w:val="Compact"/>
            </w:pPr>
            <w:r>
              <w:rPr>
                <w:sz w:val="20"/>
                <w:szCs w:val="20"/>
              </w:rPr>
              <w:t xml:space="preserve">2.1679</w:t>
            </w:r>
          </w:p>
        </w:tc>
        <w:tc>
          <w:tcPr>
            <w:tcW w:w="0" w:type="auto"/>
          </w:tcPr>
          <w:p>
            <w:pPr>
              <w:spacing w:line="240" w:lineRule="auto" w:before="0" w:after="0"/>
              <w:pStyle w:val="Compact"/>
            </w:pPr>
            <w:r>
              <w:rPr>
                <w:sz w:val="20"/>
                <w:szCs w:val="20"/>
              </w:rPr>
              <w:t xml:space="preserve">3.6808</w:t>
            </w:r>
          </w:p>
        </w:tc>
        <w:tc>
          <w:tcPr>
            <w:tcW w:w="0" w:type="auto"/>
          </w:tcPr>
          <w:p>
            <w:pPr>
              <w:spacing w:line="240" w:lineRule="auto" w:before="0" w:after="0"/>
              <w:pStyle w:val="Compact"/>
            </w:pPr>
            <w:r>
              <w:rPr>
                <w:sz w:val="20"/>
                <w:szCs w:val="20"/>
              </w:rPr>
              <w:t xml:space="preserve">0.0002325</w:t>
            </w:r>
          </w:p>
        </w:tc>
        <w:tc>
          <w:tcPr>
            <w:tcW w:w="0" w:type="auto"/>
          </w:tcPr>
          <w:p>
            <w:pPr>
              <w:spacing w:line="240" w:lineRule="auto" w:before="0" w:after="0"/>
              <w:pStyle w:val="Compact"/>
            </w:pPr>
            <w:r>
              <w:rPr>
                <w:sz w:val="20"/>
                <w:szCs w:val="20"/>
              </w:rPr>
              <w:t xml:space="preserve">[3.7305, 12.2284]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0.2085</w:t>
            </w:r>
          </w:p>
        </w:tc>
        <w:tc>
          <w:tcPr>
            <w:tcW w:w="0" w:type="auto"/>
          </w:tcPr>
          <w:p>
            <w:pPr>
              <w:spacing w:line="240" w:lineRule="auto" w:before="0" w:after="0"/>
              <w:pStyle w:val="Compact"/>
            </w:pPr>
            <w:r>
              <w:rPr>
                <w:sz w:val="20"/>
                <w:szCs w:val="20"/>
              </w:rPr>
              <w:t xml:space="preserve">0.1331</w:t>
            </w:r>
          </w:p>
        </w:tc>
        <w:tc>
          <w:tcPr>
            <w:tcW w:w="0" w:type="auto"/>
          </w:tcPr>
          <w:p>
            <w:pPr>
              <w:spacing w:line="240" w:lineRule="auto" w:before="0" w:after="0"/>
              <w:pStyle w:val="Compact"/>
            </w:pPr>
            <w:r>
              <w:rPr>
                <w:sz w:val="20"/>
                <w:szCs w:val="20"/>
              </w:rPr>
              <w:t xml:space="preserve">1.5667</w:t>
            </w:r>
          </w:p>
        </w:tc>
        <w:tc>
          <w:tcPr>
            <w:tcW w:w="0" w:type="auto"/>
          </w:tcPr>
          <w:p>
            <w:pPr>
              <w:spacing w:line="240" w:lineRule="auto" w:before="0" w:after="0"/>
              <w:pStyle w:val="Compact"/>
            </w:pPr>
            <w:r>
              <w:rPr>
                <w:sz w:val="20"/>
                <w:szCs w:val="20"/>
              </w:rPr>
              <w:t xml:space="preserve">0.1172</w:t>
            </w:r>
          </w:p>
        </w:tc>
        <w:tc>
          <w:tcPr>
            <w:tcW w:w="0" w:type="auto"/>
          </w:tcPr>
          <w:p>
            <w:pPr>
              <w:spacing w:line="240" w:lineRule="auto" w:before="0" w:after="0"/>
              <w:pStyle w:val="Compact"/>
            </w:pPr>
            <w:r>
              <w:rPr>
                <w:sz w:val="20"/>
                <w:szCs w:val="20"/>
              </w:rPr>
              <w:t xml:space="preserve">[-0.0523, 0.4693]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0.1767</w:t>
            </w:r>
          </w:p>
        </w:tc>
        <w:tc>
          <w:tcPr>
            <w:tcW w:w="0" w:type="auto"/>
          </w:tcPr>
          <w:p>
            <w:pPr>
              <w:spacing w:line="240" w:lineRule="auto" w:before="0" w:after="0"/>
              <w:pStyle w:val="Compact"/>
            </w:pPr>
            <w:r>
              <w:rPr>
                <w:sz w:val="20"/>
                <w:szCs w:val="20"/>
              </w:rPr>
              <w:t xml:space="preserve">0.2318</w:t>
            </w:r>
          </w:p>
        </w:tc>
        <w:tc>
          <w:tcPr>
            <w:tcW w:w="0" w:type="auto"/>
          </w:tcPr>
          <w:p>
            <w:pPr>
              <w:spacing w:line="240" w:lineRule="auto" w:before="0" w:after="0"/>
              <w:pStyle w:val="Compact"/>
            </w:pPr>
            <w:r>
              <w:rPr>
                <w:sz w:val="20"/>
                <w:szCs w:val="20"/>
              </w:rPr>
              <w:t xml:space="preserve">0.7626</w:t>
            </w:r>
          </w:p>
        </w:tc>
        <w:tc>
          <w:tcPr>
            <w:tcW w:w="0" w:type="auto"/>
          </w:tcPr>
          <w:p>
            <w:pPr>
              <w:spacing w:line="240" w:lineRule="auto" w:before="0" w:after="0"/>
              <w:pStyle w:val="Compact"/>
            </w:pPr>
            <w:r>
              <w:rPr>
                <w:sz w:val="20"/>
                <w:szCs w:val="20"/>
              </w:rPr>
              <w:t xml:space="preserve">0.4457</w:t>
            </w:r>
          </w:p>
        </w:tc>
        <w:tc>
          <w:tcPr>
            <w:tcW w:w="0" w:type="auto"/>
          </w:tcPr>
          <w:p>
            <w:pPr>
              <w:spacing w:line="240" w:lineRule="auto" w:before="0" w:after="0"/>
              <w:pStyle w:val="Compact"/>
            </w:pPr>
            <w:r>
              <w:rPr>
                <w:sz w:val="20"/>
                <w:szCs w:val="20"/>
              </w:rPr>
              <w:t xml:space="preserve">[-0.2775, 0.631]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-2.5948</w:t>
            </w:r>
          </w:p>
        </w:tc>
        <w:tc>
          <w:tcPr>
            <w:tcW w:w="0" w:type="auto"/>
          </w:tcPr>
          <w:p>
            <w:pPr>
              <w:spacing w:line="240" w:lineRule="auto" w:before="0" w:after="0"/>
              <w:pStyle w:val="Compact"/>
            </w:pPr>
            <w:r>
              <w:rPr>
                <w:sz w:val="20"/>
                <w:szCs w:val="20"/>
              </w:rPr>
              <w:t xml:space="preserve">0.7228</w:t>
            </w:r>
          </w:p>
        </w:tc>
        <w:tc>
          <w:tcPr>
            <w:tcW w:w="0" w:type="auto"/>
          </w:tcPr>
          <w:p>
            <w:pPr>
              <w:spacing w:line="240" w:lineRule="auto" w:before="0" w:after="0"/>
              <w:pStyle w:val="Compact"/>
            </w:pPr>
            <w:r>
              <w:rPr>
                <w:sz w:val="20"/>
                <w:szCs w:val="20"/>
              </w:rPr>
              <w:t xml:space="preserve">-3.5901</w:t>
            </w:r>
          </w:p>
        </w:tc>
        <w:tc>
          <w:tcPr>
            <w:tcW w:w="0" w:type="auto"/>
          </w:tcPr>
          <w:p>
            <w:pPr>
              <w:spacing w:line="240" w:lineRule="auto" w:before="0" w:after="0"/>
              <w:pStyle w:val="Compact"/>
            </w:pPr>
            <w:r>
              <w:rPr>
                <w:sz w:val="20"/>
                <w:szCs w:val="20"/>
              </w:rPr>
              <w:t xml:space="preserve">0.0003306</w:t>
            </w:r>
          </w:p>
        </w:tc>
        <w:tc>
          <w:tcPr>
            <w:tcW w:w="0" w:type="auto"/>
          </w:tcPr>
          <w:p>
            <w:pPr>
              <w:spacing w:line="240" w:lineRule="auto" w:before="0" w:after="0"/>
              <w:pStyle w:val="Compact"/>
            </w:pPr>
            <w:r>
              <w:rPr>
                <w:sz w:val="20"/>
                <w:szCs w:val="20"/>
              </w:rPr>
              <w:t xml:space="preserve">[-4.0114, -1.1782]</w:t>
            </w:r>
          </w:p>
        </w:tc>
      </w:tr>
    </w:tbl>
    <w:p>
      <w:pPr>
        <w:pStyle w:val="BodyText"/>
        <w:spacing w:line="480" w:lineRule="auto"/>
        <w:ind w:firstLine="720"/>
      </w:pPr>
      <w:r>
        <w:t xml:space="preserve">Fit: N = 30 R2 = 0.2885 R2_adj = 0.2064 F = 4.9386 F_p = 0.0076</w:t>
      </w:r>
    </w:p>
    <w:bookmarkEnd w:id="191"/>
    <w:bookmarkStart w:id="19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3" name="Picture"/>
            <a:graphic>
              <a:graphicData uri="http://schemas.openxmlformats.org/drawingml/2006/picture">
                <pic:pic>
                  <pic:nvPicPr>
                    <pic:cNvPr descr="D:/Claude_Code/brain/collegium/candidates/dissertations/CISLUNAR_DEV_03/research_papers/p1/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5"/>
    <w:bookmarkStart w:id="19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https://amostech.space/year/2014/multi-phenomenology-observation-network-evaluation-tool-monet/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10.64861/SIJX9169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https://amostech.space/year/2008/ssa-building-blocks-transforming-your-data-and-applications-into-operational-capability/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10.64861/UPXT3411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10.64861/ULQH1998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10.1016/j.actaastro.2026.06.006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10.1016/j.actaastro.2021.06.017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10.1016/j.actaastro.2025.08.012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10.1016/j.actaastro.2025.11.007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10.1016/j.actaastro.2025.02.004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bl>
    <w:bookmarkEnd w:id="196"/>
    <w:bookmarkStart w:id="19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7"/>
    <w:bookmarkEnd w:id="198"/>
    <w:bookmarkStart w:id="206" w:name="Xc016805d52e2f3257931fb19799b28bcf4f08fa"/>
    <w:p>
      <w:pPr>
        <w:pStyle w:val="Heading2"/>
        <w:spacing w:line="480" w:lineRule="auto"/>
      </w:pPr>
      <w:r>
        <w:t xml:space="preserve">A.2 Attention Accumulation in Logistics Fragility on the Earth-Moon Supply Line Network Resilience Under Sing: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0.6811</w:t>
            </w:r>
          </w:p>
        </w:tc>
        <w:tc>
          <w:tcPr>
            <w:tcW w:w="0" w:type="auto"/>
          </w:tcPr>
          <w:p>
            <w:pPr>
              <w:spacing w:line="240" w:lineRule="auto" w:before="0" w:after="0"/>
              <w:pStyle w:val="Compact"/>
            </w:pPr>
            <w:r>
              <w:rPr>
                <w:sz w:val="20"/>
                <w:szCs w:val="20"/>
              </w:rPr>
              <w:t xml:space="preserve">0.3284</w:t>
            </w:r>
          </w:p>
        </w:tc>
        <w:tc>
          <w:tcPr>
            <w:tcW w:w="0" w:type="auto"/>
          </w:tcPr>
          <w:p>
            <w:pPr>
              <w:spacing w:line="240" w:lineRule="auto" w:before="0" w:after="0"/>
              <w:pStyle w:val="Compact"/>
            </w:pPr>
            <w:r>
              <w:rPr>
                <w:sz w:val="20"/>
                <w:szCs w:val="20"/>
              </w:rPr>
              <w:t xml:space="preserve">2.0741</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[0.0375, 1.3248]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-0.183</w:t>
            </w:r>
          </w:p>
        </w:tc>
        <w:tc>
          <w:tcPr>
            <w:tcW w:w="0" w:type="auto"/>
          </w:tcPr>
          <w:p>
            <w:pPr>
              <w:spacing w:line="240" w:lineRule="auto" w:before="0" w:after="0"/>
              <w:pStyle w:val="Compact"/>
            </w:pPr>
            <w:r>
              <w:rPr>
                <w:sz w:val="20"/>
                <w:szCs w:val="20"/>
              </w:rPr>
              <w:t xml:space="preserve">0.1833</w:t>
            </w:r>
          </w:p>
        </w:tc>
        <w:tc>
          <w:tcPr>
            <w:tcW w:w="0" w:type="auto"/>
          </w:tcPr>
          <w:p>
            <w:pPr>
              <w:spacing w:line="240" w:lineRule="auto" w:before="0" w:after="0"/>
              <w:pStyle w:val="Compact"/>
            </w:pPr>
            <w:r>
              <w:rPr>
                <w:sz w:val="20"/>
                <w:szCs w:val="20"/>
              </w:rPr>
              <w:t xml:space="preserve">-0.9986</w:t>
            </w:r>
          </w:p>
        </w:tc>
        <w:tc>
          <w:tcPr>
            <w:tcW w:w="0" w:type="auto"/>
          </w:tcPr>
          <w:p>
            <w:pPr>
              <w:spacing w:line="240" w:lineRule="auto" w:before="0" w:after="0"/>
              <w:pStyle w:val="Compact"/>
            </w:pPr>
            <w:r>
              <w:rPr>
                <w:sz w:val="20"/>
                <w:szCs w:val="20"/>
              </w:rPr>
              <w:t xml:space="preserve">0.318</w:t>
            </w:r>
          </w:p>
        </w:tc>
        <w:tc>
          <w:tcPr>
            <w:tcW w:w="0" w:type="auto"/>
          </w:tcPr>
          <w:p>
            <w:pPr>
              <w:spacing w:line="240" w:lineRule="auto" w:before="0" w:after="0"/>
              <w:pStyle w:val="Compact"/>
            </w:pPr>
            <w:r>
              <w:rPr>
                <w:sz w:val="20"/>
                <w:szCs w:val="20"/>
              </w:rPr>
              <w:t xml:space="preserve">[-0.5422, 0.1762]</w:t>
            </w:r>
          </w:p>
        </w:tc>
      </w:tr>
    </w:tbl>
    <w:p>
      <w:pPr>
        <w:pStyle w:val="BodyText"/>
        <w:spacing w:line="480" w:lineRule="auto"/>
        <w:ind w:firstLine="720"/>
      </w:pPr>
      <w:r>
        <w:t xml:space="preserve">Fit: N = 30 R2 = 0.0238 elasticity_b = -0.183 progress_ratio_2^b = 0.8809</w:t>
      </w:r>
    </w:p>
    <w:bookmarkEnd w:id="199"/>
    <w:bookmarkStart w:id="20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1" name="Picture"/>
            <a:graphic>
              <a:graphicData uri="http://schemas.openxmlformats.org/drawingml/2006/picture">
                <pic:pic>
                  <pic:nvPicPr>
                    <pic:cNvPr descr="D:/Claude_Code/brain/collegium/candidates/dissertations/CISLUNAR_DEV_03/research_papers/p2/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3"/>
    <w:bookmarkStart w:id="20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https://amostech.space/year/2014/multi-phenomenology-observation-network-evaluation-tool-monet/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10.64861/SIJX9169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https://amostech.space/year/2008/ssa-building-blocks-transforming-your-data-and-applications-into-operational-capability/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10.64861/UPXT3411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10.64861/ULQH1998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10.1016/j.actaastro.2026.06.006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10.1016/j.actaastro.2021.06.017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10.1016/j.actaastro.2025.08.012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10.1016/j.actaastro.2025.11.007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10.1016/j.actaastro.2026.05.056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10.1016/j.actaastro.2025.02.004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5"/>
    <w:bookmarkEnd w:id="206"/>
    <w:bookmarkEnd w:id="2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2" Type="http://schemas.openxmlformats.org/officeDocument/2006/relationships/image" Target="media/rId192.png"/><Relationship Id="rId200" Type="http://schemas.openxmlformats.org/officeDocument/2006/relationships/image" Target="media/rId200.png"/><Relationship Id="rId186" Type="http://schemas.openxmlformats.org/officeDocument/2006/relationships/hyperlink" Target="https://doi.org/10.1016/j.actaastro.2021.06.017" TargetMode="External"/><Relationship Id="rId188" Type="http://schemas.openxmlformats.org/officeDocument/2006/relationships/hyperlink" Target="https://doi.org/10.1016/j.actaastro.2022.11.005" TargetMode="External"/><Relationship Id="rId182" Type="http://schemas.openxmlformats.org/officeDocument/2006/relationships/hyperlink" Target="https://doi.org/10.1016/j.actaastro.2025.01.007" TargetMode="External"/><Relationship Id="rId178" Type="http://schemas.openxmlformats.org/officeDocument/2006/relationships/hyperlink" Target="https://doi.org/10.1016/j.actaastro.2025.04.041" TargetMode="External"/><Relationship Id="rId184" Type="http://schemas.openxmlformats.org/officeDocument/2006/relationships/hyperlink" Target="https://doi.org/10.1016/j.actaastro.2025.11.006" TargetMode="External"/><Relationship Id="rId174" Type="http://schemas.openxmlformats.org/officeDocument/2006/relationships/hyperlink" Target="https://doi.org/10.1016/j.actaastro.2026.03.026" TargetMode="External"/><Relationship Id="rId176" Type="http://schemas.openxmlformats.org/officeDocument/2006/relationships/hyperlink" Target="https://doi.org/10.1016/j.actaastro.2026.05.065" TargetMode="External"/><Relationship Id="rId180" Type="http://schemas.openxmlformats.org/officeDocument/2006/relationships/hyperlink" Target="https://doi.org/10.1016/j.actaastro.2026.06.006" TargetMode="External"/><Relationship Id="rId170" Type="http://schemas.openxmlformats.org/officeDocument/2006/relationships/hyperlink" Target="https://doi.org/10.64861/FBSC2978" TargetMode="External"/><Relationship Id="rId168" Type="http://schemas.openxmlformats.org/officeDocument/2006/relationships/hyperlink" Target="https://doi.org/10.64861/SIJX9169" TargetMode="External"/><Relationship Id="rId166" Type="http://schemas.openxmlformats.org/officeDocument/2006/relationships/hyperlink" Target="https://doi.org/10.64861/UELE5506" TargetMode="External"/><Relationship Id="rId172" Type="http://schemas.openxmlformats.org/officeDocument/2006/relationships/hyperlink" Target="https://doi.org/10.64861/WCUO4665" TargetMode="External"/><Relationship Id="rId161"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86" Type="http://schemas.openxmlformats.org/officeDocument/2006/relationships/hyperlink" Target="https://doi.org/10.1016/j.actaastro.2021.06.017" TargetMode="External"/><Relationship Id="rId188" Type="http://schemas.openxmlformats.org/officeDocument/2006/relationships/hyperlink" Target="https://doi.org/10.1016/j.actaastro.2022.11.005" TargetMode="External"/><Relationship Id="rId182" Type="http://schemas.openxmlformats.org/officeDocument/2006/relationships/hyperlink" Target="https://doi.org/10.1016/j.actaastro.2025.01.007" TargetMode="External"/><Relationship Id="rId178" Type="http://schemas.openxmlformats.org/officeDocument/2006/relationships/hyperlink" Target="https://doi.org/10.1016/j.actaastro.2025.04.041" TargetMode="External"/><Relationship Id="rId184" Type="http://schemas.openxmlformats.org/officeDocument/2006/relationships/hyperlink" Target="https://doi.org/10.1016/j.actaastro.2025.11.006" TargetMode="External"/><Relationship Id="rId174" Type="http://schemas.openxmlformats.org/officeDocument/2006/relationships/hyperlink" Target="https://doi.org/10.1016/j.actaastro.2026.03.026" TargetMode="External"/><Relationship Id="rId176" Type="http://schemas.openxmlformats.org/officeDocument/2006/relationships/hyperlink" Target="https://doi.org/10.1016/j.actaastro.2026.05.065" TargetMode="External"/><Relationship Id="rId180" Type="http://schemas.openxmlformats.org/officeDocument/2006/relationships/hyperlink" Target="https://doi.org/10.1016/j.actaastro.2026.06.006" TargetMode="External"/><Relationship Id="rId170" Type="http://schemas.openxmlformats.org/officeDocument/2006/relationships/hyperlink" Target="https://doi.org/10.64861/FBSC2978" TargetMode="External"/><Relationship Id="rId168" Type="http://schemas.openxmlformats.org/officeDocument/2006/relationships/hyperlink" Target="https://doi.org/10.64861/SIJX9169" TargetMode="External"/><Relationship Id="rId166" Type="http://schemas.openxmlformats.org/officeDocument/2006/relationships/hyperlink" Target="https://doi.org/10.64861/UELE5506" TargetMode="External"/><Relationship Id="rId172" Type="http://schemas.openxmlformats.org/officeDocument/2006/relationships/hyperlink" Target="https://doi.org/10.64861/WCUO4665" TargetMode="External"/><Relationship Id="rId161"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Logistics Fragility on the Earth-Moon Supply Line: Network Resilience Under Sing</dc:title>
  <dc:creator>Cora Stern (1B-LUN-175)</dc:creator>
  <cp:keywords/>
  <dcterms:created xsi:type="dcterms:W3CDTF">2026-07-03T20:42:29Z</dcterms:created>
  <dcterms:modified xsi:type="dcterms:W3CDTF">2026-07-03T20:42:29Z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