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62ffe90832173ddfcda2d349ebab2d1065d386c"/>
    <w:p>
      <w:pPr>
        <w:pStyle w:val="Heading1"/>
      </w:pPr>
      <w:r>
        <w:t xml:space="preserve">Consensus Strength and Lunar Outpost Power Demand Signals</w:t>
      </w:r>
    </w:p>
    <w:bookmarkStart w:id="61" w:name="abstract"/>
    <w:p>
      <w:pPr>
        <w:pStyle w:val="Heading2"/>
      </w:pPr>
      <w:r>
        <w:t xml:space="preserve">Abstract</w:t>
      </w:r>
    </w:p>
    <w:p>
      <w:pPr>
        <w:pStyle w:val="FirstParagraph"/>
      </w:pPr>
      <w:r>
        <w:t xml:space="preserve">Real-options valuation becomes relevant when an investment is costly, partly irreversible, and exposed to uncertainty that can be reduced by waiting. Lunar surface nuclear power has exactly that structure. This paper uses real response percentages from Tables 2, 3, and 4 of Spedding, Lim, and Nuttall’s Delphi survey of lunar outpost ISRU deployment</w:t>
      </w:r>
      <w:r>
        <w:t xml:space="preserve"> </w:t>
      </w:r>
      <w:hyperlink w:anchor="ref-2">
        <m:oMathPara>
          <m:oMathParaPr>
            <m:jc m:val="center"/>
          </m:oMathParaPr>
          <m:oMath>
            <m:r>
              <m:t>2</m:t>
            </m:r>
          </m:oMath>
        </m:oMathPara>
      </w:hyperlink>
      <w:r>
        <w:t xml:space="preserve">. The observations are 19 stable Delphi statements about lunar timelines, ISRU deployment, crew occupancy, private activity, oxygen production, power requirements, and policy challenges. The dependent variable is agreement share, measured as the percent of respondents who agreed or strongly agreed. The predictor is the reported median Likert position. A log-log learning-curve style estimator is used as an elasticity model. With N = 19, R2 = 0.7846. The elasticity of agreement share with respect to median Likert position is 2.6560, standard error 0.5998, t = 4.4279, and p = 0.00000951. The result confirms that the median response contains strong information about agreement share, while the content of the statements shows why the investment-timing problem remains uncertain: experts agree on some ISRU and power-load propositions but remain politically and technologically divided on nuclear energy.</w:t>
      </w:r>
    </w:p>
    <w:bookmarkEnd w:id="61"/>
    <w:bookmarkStart w:id="62" w:name="introduction"/>
    <w:p>
      <w:pPr>
        <w:pStyle w:val="Heading2"/>
      </w:pPr>
      <w:r>
        <w:t xml:space="preserve">Introduction</w:t>
      </w:r>
    </w:p>
    <w:p>
      <w:pPr>
        <w:pStyle w:val="FirstParagraph"/>
      </w:pPr>
      <w:r>
        <w:t xml:space="preserve">The option value of waiting is not created by uncertainty alone. It is created by uncertainty combined with irreversibility and learning. In the lunar power case, a nuclear surface power commitment would create design, procurement, safety, launch, and infrastructure commitments. Waiting can be valuable if near-term information improves knowledge about demand, power needs, site conditions, or political acceptability. The Delphi evidence provides a rare structured view of expert beliefs about the 2040 lunar outpost environment</w:t>
      </w:r>
      <w:r>
        <w:t xml:space="preserve"> </w:t>
      </w:r>
      <w:hyperlink w:anchor="ref-2">
        <m:oMathPara>
          <m:oMathParaPr>
            <m:jc m:val="center"/>
          </m:oMathParaPr>
          <m:oMath>
            <m:r>
              <m:t>2</m:t>
            </m:r>
          </m:oMath>
        </m:oMathPara>
      </w:hyperlink>
      <w:r>
        <w:t xml:space="preserve">.</w:t>
      </w:r>
    </w:p>
    <w:p>
      <w:pPr>
        <w:pStyle w:val="FirstParagraph"/>
      </w:pPr>
      <w:r>
        <w:t xml:space="preserve">This paper asks whether the stable Delphi statements provide a measurable demand and uncertainty signal. If agreement share rises systematically with the median Likert position, then the table can be used as an auditable input to a real-options argument. The model is not a valuation lattice. It is a source-grounded empirical paper that identifies which parts of the lunar outpost future are relatively settled and which parts remain uncertain enough to motivate waiting.</w:t>
      </w:r>
    </w:p>
    <w:bookmarkEnd w:id="62"/>
    <w:bookmarkStart w:id="63" w:name="data"/>
    <w:p>
      <w:pPr>
        <w:pStyle w:val="Heading2"/>
      </w:pPr>
      <w:r>
        <w:t xml:space="preserve">Data</w:t>
      </w:r>
    </w:p>
    <w:p>
      <w:pPr>
        <w:pStyle w:val="FirstParagraph"/>
      </w:pPr>
      <w:r>
        <w:t xml:space="preserve">The dataset includes 19 stable statements from Tables 2, 3, and 4 of Spedding, Lim, and Nuttall</w:t>
      </w:r>
      <w:r>
        <w:t xml:space="preserve"> </w:t>
      </w:r>
      <w:hyperlink w:anchor="ref-2">
        <m:oMathPara>
          <m:oMathParaPr>
            <m:jc m:val="center"/>
          </m:oMathParaPr>
          <m:oMath>
            <m:r>
              <m:t>2</m:t>
            </m:r>
          </m:oMath>
        </m:oMathPara>
      </w:hyperlink>
      <w:r>
        <w:t xml:space="preserve">. The source tables report the percent of respondents who strongly disagreed, disagreed, agreed, or strongly agreed with each statement, plus IQR and median Likert position. Several statements are directly relevant to lunar power and ISRU. Experts agreed that mineral extraction would be at demonstration and development phase in 2040, that ISRU technology would be at TRL 5 during detailed definition mission planning, that specific mass is a primary consideration for power system design, that oxygen production would exceed 1000 kg per year in 2040, and that useful ISRU activities would add about 1 MW of electric or thermal power consumption</w:t>
      </w:r>
      <w:r>
        <w:t xml:space="preserve"> </w:t>
      </w:r>
      <w:hyperlink w:anchor="ref-2">
        <m:oMathPara>
          <m:oMathParaPr>
            <m:jc m:val="center"/>
          </m:oMathParaPr>
          <m:oMath>
            <m:r>
              <m:t>2</m:t>
            </m:r>
          </m:oMath>
        </m:oMathPara>
      </w:hyperlink>
      <w:r>
        <w:t xml:space="preserve">.</w:t>
      </w:r>
    </w:p>
    <w:p>
      <w:pPr>
        <w:pStyle w:val="FirstParagraph"/>
      </w:pPr>
      <w:r>
        <w:t xml:space="preserve">The same tables also expose uncertainty. The group identified political distaste for nuclear energy in space as a policy challenge, and the energy technology ranking showed a flat nuclear distribution</w:t>
      </w:r>
      <w:r>
        <w:t xml:space="preserve"> </w:t>
      </w:r>
      <w:hyperlink w:anchor="ref-2">
        <m:oMathPara>
          <m:oMathParaPr>
            <m:jc m:val="center"/>
          </m:oMathParaPr>
          <m:oMath>
            <m:r>
              <m:t>2</m:t>
            </m:r>
          </m:oMath>
        </m:oMathPara>
      </w:hyperlink>
      <w:r>
        <w:t xml:space="preserve">. Some statements about timelines, outpost siting, and mission character had broader or less favorable distributions. The data therefore support both sides of the dissertation’s argument: there is credible demand for lunar power, but uncertainty remains over timing, scale, and nuclear acceptability.</w:t>
      </w:r>
    </w:p>
    <w:p>
      <w:pPr>
        <w:pStyle w:val="FirstParagraph"/>
      </w:pPr>
      <w:r>
        <w:t xml:space="preserve">Each row in the analytic dataset is one stable statement. The source column is the last column in the CSV. No illustrative rows are included. Agreement share is the sum of agree and strongly agree percentages. Median Likert position is the reported median in the source table.</w:t>
      </w:r>
    </w:p>
    <w:bookmarkEnd w:id="63"/>
    <w:bookmarkStart w:id="64" w:name="method"/>
    <w:p>
      <w:pPr>
        <w:pStyle w:val="Heading2"/>
      </w:pPr>
      <w:r>
        <w:t xml:space="preserve">Method</w:t>
      </w:r>
    </w:p>
    <w:p>
      <w:pPr>
        <w:pStyle w:val="FirstParagraph"/>
      </w:pPr>
      <w:r>
        <w:t xml:space="preserve">The estimator is a log-log OLS model implemented through the learning-curve tool. The equation is ln(agreement share) as a function of ln(median Likert). The coefficient is interpreted as an elasticity, not as a causal learning rate. This method is appropriate because both variables are positive and because the research question concerns proportional movement: how strongly does agreement share rise as the central Likert position increases?</w:t>
      </w:r>
    </w:p>
    <w:p>
      <w:pPr>
        <w:pStyle w:val="BodyText"/>
      </w:pPr>
      <w:r>
        <w:t xml:space="preserve">The model uses robust HC1 standard errors. It is descriptive. It does not claim that median Likert causes agreement share. Both values summarize the same Delphi response distribution. The value of the estimator is that it quantifies how tightly the reported central tendency maps onto agreement share across the stable statements used in the dissertation.</w:t>
      </w:r>
    </w:p>
    <w:bookmarkEnd w:id="64"/>
    <w:bookmarkStart w:id="65" w:name="findings"/>
    <w:p>
      <w:pPr>
        <w:pStyle w:val="Heading2"/>
      </w:pPr>
      <w:r>
        <w:t xml:space="preserve">Findings</w:t>
      </w:r>
    </w:p>
    <w:p>
      <w:pPr>
        <w:pStyle w:val="FirstParagraph"/>
      </w:pPr>
      <w:r>
        <w:t xml:space="preserve">The model reports N = 19, R2 = 0.7846, and elasticity 2.6560. The coefficient on ln(median Likert) has robust standard error 0.5998, t = 4.4279, and p = 0.00000951. The 95 percent confidence interval runs from 1.4803 to 3.8316. The progress-ratio style quantity 2^b equals 6.3027, meaning that a doubling of median Likert position is associated with roughly 6.3 times agreement share inside the observed statement set.</w:t>
      </w:r>
    </w:p>
    <w:p>
      <w:pPr>
        <w:pStyle w:val="BodyText"/>
      </w:pPr>
      <w:r>
        <w:t xml:space="preserve">The result confirms that the stable Delphi tables are not arbitrary narrative evidence. The median Likert values carry strong information about agreement share. Statements with median 3 generally show high agreement. Statements with median 2 or 2.5 show lower agreement. This matters for option valuation because a real-options model needs a defensible way to separate relatively settled assumptions from unsettled assumptions.</w:t>
      </w:r>
    </w:p>
    <w:bookmarkEnd w:id="65"/>
    <w:bookmarkStart w:id="66" w:name="interpretation"/>
    <w:p>
      <w:pPr>
        <w:pStyle w:val="Heading2"/>
      </w:pPr>
      <w:r>
        <w:t xml:space="preserve">Interpretation</w:t>
      </w:r>
    </w:p>
    <w:p>
      <w:pPr>
        <w:pStyle w:val="FirstParagraph"/>
      </w:pPr>
      <w:r>
        <w:t xml:space="preserve">The Delphi evidence points to three settled or semi-settled propositions. First, ISRU activity is expected to matter at a 2040 outpost, including oxygen production greater than 1000 kg per year. Second, useful ISRU activity could add about 1 MW to outpost power consumption, making power infrastructure a binding design variable. Third, specific mass is an important power-system consideration. These propositions support the claim that surface power demand could become large enough to make nuclear options valuable</w:t>
      </w:r>
      <w:r>
        <w:t xml:space="preserve"> </w:t>
      </w:r>
      <w:hyperlink w:anchor="ref-2">
        <m:oMathPara>
          <m:oMathParaPr>
            <m:jc m:val="center"/>
          </m:oMathParaPr>
          <m:oMath>
            <m:r>
              <m:t>2</m:t>
            </m:r>
          </m:oMath>
        </m:oMathPara>
      </w:hyperlink>
      <w:r>
        <w:t xml:space="preserve">.</w:t>
      </w:r>
    </w:p>
    <w:p>
      <w:pPr>
        <w:pStyle w:val="FirstParagraph"/>
      </w:pPr>
      <w:r>
        <w:t xml:space="preserve">At the same time, the evidence does not remove uncertainty. The group was uncertain about the precise energy mix, and nuclear power received a flat ranking distribution in the energy technology table</w:t>
      </w:r>
      <w:r>
        <w:t xml:space="preserve"> </w:t>
      </w:r>
      <w:hyperlink w:anchor="ref-2">
        <m:oMathPara>
          <m:oMathParaPr>
            <m:jc m:val="center"/>
          </m:oMathParaPr>
          <m:oMath>
            <m:r>
              <m:t>2</m:t>
            </m:r>
          </m:oMath>
        </m:oMathPara>
      </w:hyperlink>
      <w:r>
        <w:t xml:space="preserve">. Space traffic management and lunar observatory architectures also depend on lunar surface power but do not settle the investment timing question</w:t>
      </w:r>
      <w:r>
        <w:t xml:space="preserve"> </w:t>
      </w:r>
      <w:hyperlink w:anchor="ref-1">
        <m:oMathPara>
          <m:oMathParaPr>
            <m:jc m:val="center"/>
          </m:oMathParaPr>
          <m:oMath>
            <m:r>
              <m:t>1</m:t>
            </m:r>
          </m:oMath>
        </m:oMathPara>
      </w:hyperlink>
      <w:r>
        <w:t xml:space="preserve">,</w:t>
      </w:r>
      <w:r>
        <w:t xml:space="preserve"> </w:t>
      </w:r>
      <w:hyperlink w:anchor="ref-3">
        <m:oMathPara>
          <m:oMathParaPr>
            <m:jc m:val="center"/>
          </m:oMathParaPr>
          <m:oMath>
            <m:r>
              <m:t>3</m:t>
            </m:r>
          </m:oMath>
        </m:oMathPara>
      </w:hyperlink>
      <w:r>
        <w:t xml:space="preserve">. Nuclear generator research shows technical interest but not a complete fission surface power business case</w:t>
      </w:r>
      <w:r>
        <w:t xml:space="preserve"> </w:t>
      </w:r>
      <w:hyperlink w:anchor="ref-4">
        <m:oMathPara>
          <m:oMathParaPr>
            <m:jc m:val="center"/>
          </m:oMathParaPr>
          <m:oMath>
            <m:r>
              <m:t>4</m:t>
            </m:r>
          </m:oMath>
        </m:oMathPara>
      </w:hyperlink>
      <w:r>
        <w:t xml:space="preserve">. This is the precise setting where waiting can be valuable. The agency can retain the ability to commit later while observing whether demand, site access, storage mass, and political acceptance evolve favorably.</w:t>
      </w:r>
    </w:p>
    <w:bookmarkEnd w:id="66"/>
    <w:bookmarkStart w:id="67" w:name="limitations"/>
    <w:p>
      <w:pPr>
        <w:pStyle w:val="Heading2"/>
      </w:pPr>
      <w:r>
        <w:t xml:space="preserve">Limitations</w:t>
      </w:r>
    </w:p>
    <w:p>
      <w:pPr>
        <w:pStyle w:val="FirstParagraph"/>
      </w:pPr>
      <w:r>
        <w:t xml:space="preserve">The paper analyzes a Delphi table, not operational lunar power demand. The sample size is small, and the respondents are a particular expert pool. The model also uses summaries of response distributions rather than individual respondent microdata. It should not be interpreted as a definitive forecast of power load, reactor cost, or deployment date. Its contribution is to quantify the information content of the stable statements and connect that content to the real-options logic of the dissertation.</w:t>
      </w:r>
    </w:p>
    <w:bookmarkEnd w:id="67"/>
    <w:bookmarkStart w:id="68" w:name="policy-use"/>
    <w:p>
      <w:pPr>
        <w:pStyle w:val="Heading2"/>
      </w:pPr>
      <w:r>
        <w:t xml:space="preserve">Policy Use</w:t>
      </w:r>
    </w:p>
    <w:p>
      <w:pPr>
        <w:pStyle w:val="FirstParagraph"/>
      </w:pPr>
      <w:r>
        <w:t xml:space="preserve">The practical use of this result is to distinguish assumptions that are ready for planning from assumptions that still need option protection. Statements with high median Likert values and high agreement shares can support baseline architecture planning, especially around ISRU relevance, power-system specific mass, and the possibility that useful ISRU activity adds about 1 MW of load. Statements with weaker or more politically sensitive support should not be forced into a single deterministic commitment. Nuclear surface power sits in that second category. It remains important enough to mature, but uncertain enough to value deferral. The dissertation therefore treats the Delphi table as a bridge between expert elicitation and investment timing: not a final forecast, but a structured signal about where waiting can create value.</w:t>
      </w:r>
    </w:p>
    <w:p>
      <w:pPr>
        <w:pStyle w:val="BodyText"/>
      </w:pPr>
      <w:r>
        <w:t xml:space="preserve">This distinction also helps prevent a common infrastructure error. Planners can use high-consensus statements to size near-term demonstrations while holding low-consensus nuclear commitments open until site data, storage mass, and mission cadence become less speculative.</w:t>
      </w:r>
    </w:p>
    <w:bookmarkEnd w:id="68"/>
    <w:bookmarkStart w:id="69" w:name="conclusion"/>
    <w:p>
      <w:pPr>
        <w:pStyle w:val="Heading2"/>
      </w:pPr>
      <w:r>
        <w:t xml:space="preserve">Conclusion</w:t>
      </w:r>
    </w:p>
    <w:p>
      <w:pPr>
        <w:pStyle w:val="FirstParagraph"/>
      </w:pPr>
      <w:r>
        <w:t xml:space="preserve">The evidence supports an option-aware frame for lunar surface nuclear power. Experts agree strongly on several ISRU and power-load propositions, but nuclear’s exact role remains unsettled. The log-log result shows that the Delphi median is a strong predictor of agreement share, making the source suitable for parameterizing a waiting analysis. The practical conclusion is that NASA and partners should preserve flexibility: continue maturing nuclear surface power, but recognize that the commitment decision gains value from information about demand, site conditions, storage alternatives, and political acceptance.</w:t>
      </w:r>
    </w:p>
    <w:bookmarkEnd w:id="69"/>
    <w:bookmarkStart w:id="80" w:name="references"/>
    <w:p>
      <w:pPr>
        <w:pStyle w:val="Heading2"/>
      </w:pPr>
      <w:r>
        <w:t xml:space="preserve">References</w:t>
      </w:r>
    </w:p>
    <w:p>
      <w:pPr>
        <w:pStyle w:val="FirstParagraph"/>
      </w:pPr>
      <w:bookmarkStart w:id="70" w:name="ref-1"/>
      <w:bookmarkEnd w:id="70"/>
      <w:r>
        <w:t xml:space="preserve">1. J. E. Van Cleve et al.,</w:t>
      </w:r>
      <w:r>
        <w:t xml:space="preserve"> </w:t>
      </w:r>
      <w:r>
        <w:t xml:space="preserve">“A Year in the Life of the Shackleton Space Domain Awareness Station,”</w:t>
      </w:r>
      <w:r>
        <w:t xml:space="preserve"> </w:t>
      </w:r>
      <w:r>
        <w:t xml:space="preserve">Proc. Advanced Maui Optical and Space Surveillance Technologies Conference, 2022.</w:t>
      </w:r>
    </w:p>
    <w:p>
      <w:pPr>
        <w:pStyle w:val="BodyText"/>
      </w:pPr>
      <w:bookmarkStart w:id="71" w:name="ref-2"/>
      <w:bookmarkEnd w:id="71"/>
      <w:r>
        <w:t xml:space="preserve">2. C. P. Spedding, S. Lim, and W. J. Nuttall,</w:t>
      </w:r>
      <w:r>
        <w:t xml:space="preserve"> </w:t>
      </w:r>
      <w:r>
        <w:t xml:space="preserve">“ISRU technology deployment at a lunar outpost in 2040: A Delphi survey,”</w:t>
      </w:r>
      <w:r>
        <w:t xml:space="preserve"> </w:t>
      </w:r>
      <w:r>
        <w:t xml:space="preserve">Acta Astronautica, vol. 181, 2021. doi:</w:t>
      </w:r>
      <w:r>
        <w:t xml:space="preserve"> </w:t>
      </w:r>
      <w:hyperlink r:id="rId72">
        <w:r>
          <w:rPr>
            <w:rStyle w:val="Hyperlink"/>
          </w:rPr>
          <w:t xml:space="preserve">10.1016/j.actaastro.2021.01.009</w:t>
        </w:r>
      </w:hyperlink>
    </w:p>
    <w:p>
      <w:pPr>
        <w:pStyle w:val="BodyText"/>
      </w:pPr>
      <w:bookmarkStart w:id="73" w:name="ref-3"/>
      <w:bookmarkEnd w:id="73"/>
      <w:r>
        <w:t xml:space="preserve">3. M. Bilka, R. Wright, and J. Wysack,</w:t>
      </w:r>
      <w:r>
        <w:t xml:space="preserve"> </w:t>
      </w:r>
      <w:r>
        <w:t xml:space="preserve">“Guiding Lunar Growth: Architectural Solutions for Space Traffic Management,”</w:t>
      </w:r>
      <w:r>
        <w:t xml:space="preserve"> </w:t>
      </w:r>
      <w:r>
        <w:t xml:space="preserve">Proc. Advanced Maui Optical and Space Surveillance Technologies Conference, 2024. doi:</w:t>
      </w:r>
      <w:r>
        <w:t xml:space="preserve"> </w:t>
      </w:r>
      <w:hyperlink r:id="rId74">
        <w:r>
          <w:rPr>
            <w:rStyle w:val="Hyperlink"/>
          </w:rPr>
          <w:t xml:space="preserve">10.64861/RBTM5104</w:t>
        </w:r>
      </w:hyperlink>
    </w:p>
    <w:p>
      <w:pPr>
        <w:pStyle w:val="BodyText"/>
      </w:pPr>
      <w:bookmarkStart w:id="75" w:name="ref-4"/>
      <w:bookmarkEnd w:id="75"/>
      <w:r>
        <w:t xml:space="preserve">4. R. Mesalam et al.,</w:t>
      </w:r>
      <w:r>
        <w:t xml:space="preserve"> </w:t>
      </w:r>
      <w:r>
        <w:t xml:space="preserve">“Americium fuelled radioisotope stirling generator for lunar surface mobility systems,”</w:t>
      </w:r>
      <w:r>
        <w:t xml:space="preserve"> </w:t>
      </w:r>
      <w:r>
        <w:t xml:space="preserve">Acta Astronautica, vol. 228, 2024. doi:</w:t>
      </w:r>
      <w:r>
        <w:t xml:space="preserve"> </w:t>
      </w:r>
      <w:hyperlink r:id="rId76">
        <w:r>
          <w:rPr>
            <w:rStyle w:val="Hyperlink"/>
          </w:rPr>
          <w:t xml:space="preserve">10.1016/j.actaastro.2024.12.001</w:t>
        </w:r>
      </w:hyperlink>
    </w:p>
    <w:p>
      <w:pPr>
        <w:pStyle w:val="BodyText"/>
      </w:pPr>
      <w:bookmarkStart w:id="77" w:name="ref-5"/>
      <w:bookmarkEnd w:id="77"/>
      <w:r>
        <w:t xml:space="preserve">5. Orbital Commerce and Economic Activity,</w:t>
      </w:r>
      <w:r>
        <w:t xml:space="preserve"> </w:t>
      </w:r>
      <w:r>
        <w:t xml:space="preserve">“Forecasting the Space Economy,”</w:t>
      </w:r>
      <w:r>
        <w:t xml:space="preserve"> </w:t>
      </w:r>
      <w:r>
        <w:t xml:space="preserve">Space Economy Papers source SD08.</w:t>
      </w:r>
    </w:p>
    <w:p>
      <w:pPr>
        <w:pStyle w:val="BodyText"/>
      </w:pPr>
      <w:bookmarkStart w:id="78" w:name="ref-6"/>
      <w:bookmarkEnd w:id="78"/>
      <w:r>
        <w:t xml:space="preserve">6.</w:t>
      </w:r>
      <w:r>
        <w:t xml:space="preserve"> </w:t>
      </w:r>
      <w:r>
        <w:t xml:space="preserve">“The Role of Space in Driving Sustainability, Security, and Development,”</w:t>
      </w:r>
      <w:r>
        <w:t xml:space="preserve"> </w:t>
      </w:r>
      <w:r>
        <w:t xml:space="preserve">Space Economy Papers source SD13.</w:t>
      </w:r>
    </w:p>
    <w:p>
      <w:pPr>
        <w:pStyle w:val="BodyText"/>
      </w:pPr>
      <w:bookmarkStart w:id="79" w:name="ref-7"/>
      <w:bookmarkEnd w:id="79"/>
      <w:r>
        <w:t xml:space="preserve">7. A. K. Dixit and R. S. Pindyck, Investment under Uncertainty, Princeton University Press, 1994.</w:t>
      </w:r>
    </w:p>
    <w:bookmarkEnd w:id="80"/>
    <w:bookmarkStart w:id="81" w:name="specification"/>
    <w:p>
      <w:pPr>
        <w:pStyle w:val="Heading2"/>
      </w:pPr>
      <w:r>
        <w:t xml:space="preserve">Specification</w:t>
      </w:r>
    </w:p>
    <w:p>
      <w:pPr>
        <w:pStyle w:val="FirstParagraph"/>
      </w:pPr>
      <m:oMathPara>
        <m:oMathParaPr>
          <m:jc m:val="center"/>
        </m:oMathParaPr>
        <m:oMath>
          <m:r>
            <m:rPr>
              <m:sty m:val="p"/>
            </m:rPr>
            <m:t>ln</m:t>
          </m:r>
          <m:r>
            <m:rPr>
              <m:sty m:val="p"/>
            </m:rPr>
            <m:t>(</m:t>
          </m:r>
          <m:sSub>
            <m:e>
              <m:r>
                <m:t>A</m:t>
              </m:r>
            </m:e>
            <m:sub>
              <m:r>
                <m:t>i</m:t>
              </m:r>
            </m:sub>
          </m:sSub>
          <m:r>
            <m:rPr>
              <m:sty m:val="p"/>
            </m:rPr>
            <m:t>)</m:t>
          </m:r>
          <m:r>
            <m:rPr>
              <m:sty m:val="p"/>
            </m:rPr>
            <m:t>=</m:t>
          </m:r>
          <m:r>
            <m:t>α</m:t>
          </m:r>
          <m:r>
            <m:rPr>
              <m:sty m:val="p"/>
            </m:rPr>
            <m:t>+</m:t>
          </m:r>
          <m:r>
            <m:t>β</m:t>
          </m:r>
          <m:r>
            <m:rPr>
              <m:sty m:val="p"/>
            </m:rPr>
            <m:t>ln</m:t>
          </m:r>
          <m:r>
            <m:rPr>
              <m:sty m:val="p"/>
            </m:rPr>
            <m:t>(</m:t>
          </m:r>
          <m:sSub>
            <m:e>
              <m:r>
                <m:t>M</m:t>
              </m:r>
            </m:e>
            <m:sub>
              <m:r>
                <m:t>i</m:t>
              </m:r>
            </m:sub>
          </m:sSub>
          <m:r>
            <m:rPr>
              <m:sty m:val="p"/>
            </m:rPr>
            <m:t>)</m:t>
          </m:r>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1.4971</w:t>
            </w:r>
          </w:p>
        </w:tc>
        <w:tc>
          <w:tcPr>
            <w:tcW w:w="0" w:type="auto"/>
          </w:tcPr>
          <w:p>
            <w:pPr>
              <w:spacing w:line="240" w:lineRule="auto" w:before="0" w:after="0"/>
              <w:pStyle w:val="Compact"/>
            </w:pPr>
            <w:r>
              <w:rPr>
                <w:sz w:val="20"/>
                <w:szCs w:val="20"/>
              </w:rPr>
              <w:t xml:space="preserve">0.6496</w:t>
            </w:r>
          </w:p>
        </w:tc>
        <w:tc>
          <w:tcPr>
            <w:tcW w:w="0" w:type="auto"/>
          </w:tcPr>
          <w:p>
            <w:pPr>
              <w:spacing w:line="240" w:lineRule="auto" w:before="0" w:after="0"/>
              <w:pStyle w:val="Compact"/>
            </w:pPr>
            <w:r>
              <w:rPr>
                <w:sz w:val="20"/>
                <w:szCs w:val="20"/>
              </w:rPr>
              <w:t xml:space="preserve">2.3046</w:t>
            </w:r>
          </w:p>
        </w:tc>
        <w:tc>
          <w:tcPr>
            <w:tcW w:w="0" w:type="auto"/>
          </w:tcPr>
          <w:p>
            <w:pPr>
              <w:spacing w:line="240" w:lineRule="auto" w:before="0" w:after="0"/>
              <w:pStyle w:val="Compact"/>
            </w:pPr>
            <w:r>
              <w:rPr>
                <w:sz w:val="20"/>
                <w:szCs w:val="20"/>
              </w:rPr>
              <w:t xml:space="preserve">0.0212</w:t>
            </w:r>
          </w:p>
        </w:tc>
        <w:tc>
          <w:tcPr>
            <w:tcW w:w="0" w:type="auto"/>
          </w:tcPr>
          <w:p>
            <w:pPr>
              <w:spacing w:line="240" w:lineRule="auto" w:before="0" w:after="0"/>
              <w:pStyle w:val="Compact"/>
            </w:pPr>
            <w:r>
              <w:rPr>
                <w:sz w:val="20"/>
                <w:szCs w:val="20"/>
              </w:rPr>
              <w:t xml:space="preserve">[0.2239, 2.7703]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2.656</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4.4279</w:t>
            </w:r>
          </w:p>
        </w:tc>
        <w:tc>
          <w:tcPr>
            <w:tcW w:w="0" w:type="auto"/>
          </w:tcPr>
          <w:p>
            <w:pPr>
              <w:spacing w:line="240" w:lineRule="auto" w:before="0" w:after="0"/>
              <w:pStyle w:val="Compact"/>
            </w:pPr>
            <w:r>
              <w:rPr>
                <w:sz w:val="20"/>
                <w:szCs w:val="20"/>
              </w:rPr>
              <w:t xml:space="preserve">9.514e-06</w:t>
            </w:r>
          </w:p>
        </w:tc>
        <w:tc>
          <w:tcPr>
            <w:tcW w:w="0" w:type="auto"/>
          </w:tcPr>
          <w:p>
            <w:pPr>
              <w:spacing w:line="240" w:lineRule="auto" w:before="0" w:after="0"/>
              <w:pStyle w:val="Compact"/>
            </w:pPr>
            <w:r>
              <w:rPr>
                <w:sz w:val="20"/>
                <w:szCs w:val="20"/>
              </w:rPr>
              <w:t xml:space="preserve">[1.4803, 3.8316]</w:t>
            </w:r>
          </w:p>
        </w:tc>
      </w:tr>
    </w:tbl>
    <w:p>
      <w:pPr>
        <w:pStyle w:val="BodyText"/>
      </w:pPr>
      <w:r>
        <w:t xml:space="preserve">Fit: N = 19 R2 = 0.7846 elasticity_b = 2.656 progress_ratio_2^b = 6.3027</w:t>
      </w:r>
    </w:p>
    <w:p>
      <w:pPr>
        <w:pStyle w:val="CaptionedFigure"/>
      </w:pPr>
      <w:r>
        <w:drawing>
          <wp:inline>
            <wp:extent cx="5669280" cy="3657600"/>
            <wp:effectExtent b="0" l="0" r="0" t="0"/>
            <wp:docPr descr="Figure 1. Figure 1. Median Likert position and agreement share across stable Delphi statements." title="" id="83" name="Picture"/>
            <a:graphic>
              <a:graphicData uri="http://schemas.openxmlformats.org/drawingml/2006/picture">
                <pic:pic>
                  <pic:nvPicPr>
                    <pic:cNvPr descr="D:\Claude_Code\brain\collegium\candidates\dissertations\CISLUNAR_DEV_02\research_papers\p2\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Median Likert position and agreement share across stable Delphi statements.</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495"/>
        <w:gridCol w:w="495"/>
        <w:gridCol w:w="495"/>
        <w:gridCol w:w="495"/>
        <w:gridCol w:w="495"/>
        <w:gridCol w:w="495"/>
        <w:gridCol w:w="495"/>
        <w:gridCol w:w="495"/>
        <w:gridCol w:w="495"/>
        <w:gridCol w:w="495"/>
        <w:gridCol w:w="495"/>
        <w:gridCol w:w="495"/>
        <w:gridCol w:w="495"/>
        <w:gridCol w:w="495"/>
        <w:gridCol w:w="495"/>
        <w:gridCol w:w="495"/>
      </w:tblGrid>
      <w:tr>
        <w:trPr>
          <w:tblHeader w:val="on"/>
        </w:trPr>
        <w:tc>
          <w:tcPr>
            <w:tcW w:w="0" w:type="auto"/>
          </w:tcPr>
          <w:p>
            <w:pPr>
              <w:spacing w:line="240" w:lineRule="auto" w:before="0" w:after="0"/>
              <w:pStyle w:val="Compact"/>
            </w:pPr>
            <w:r>
              <w:rPr>
                <w:sz w:val="20"/>
                <w:szCs w:val="20"/>
              </w:rPr>
              <w:t xml:space="preserve">statement_id</w:t>
            </w:r>
          </w:p>
        </w:tc>
        <w:tc>
          <w:tcPr>
            <w:tcW w:w="0" w:type="auto"/>
          </w:tcPr>
          <w:p>
            <w:pPr>
              <w:spacing w:line="240" w:lineRule="auto" w:before="0" w:after="0"/>
              <w:pStyle w:val="Compact"/>
            </w:pPr>
            <w:r>
              <w:rPr>
                <w:sz w:val="20"/>
                <w:szCs w:val="20"/>
              </w:rPr>
              <w:t xml:space="preserve">statement</w:t>
            </w:r>
          </w:p>
        </w:tc>
        <w:tc>
          <w:tcPr>
            <w:tcW w:w="0" w:type="auto"/>
          </w:tcPr>
          <w:p>
            <w:pPr>
              <w:spacing w:line="240" w:lineRule="auto" w:before="0" w:after="0"/>
              <w:pStyle w:val="Compact"/>
            </w:pPr>
            <w:r>
              <w:rPr>
                <w:sz w:val="20"/>
                <w:szCs w:val="20"/>
              </w:rPr>
              <w:t xml:space="preserve">theme</w:t>
            </w:r>
          </w:p>
        </w:tc>
        <w:tc>
          <w:tcPr>
            <w:tcW w:w="0" w:type="auto"/>
          </w:tcPr>
          <w:p>
            <w:pPr>
              <w:spacing w:line="240" w:lineRule="auto" w:before="0" w:after="0"/>
              <w:pStyle w:val="Compact"/>
            </w:pPr>
            <w:r>
              <w:rPr>
                <w:sz w:val="20"/>
                <w:szCs w:val="20"/>
              </w:rPr>
              <w:t xml:space="preserve">source_table</w:t>
            </w:r>
          </w:p>
        </w:tc>
        <w:tc>
          <w:tcPr>
            <w:tcW w:w="0" w:type="auto"/>
          </w:tcPr>
          <w:p>
            <w:pPr>
              <w:spacing w:line="240" w:lineRule="auto" w:before="0" w:after="0"/>
              <w:pStyle w:val="Compact"/>
            </w:pPr>
            <w:r>
              <w:rPr>
                <w:sz w:val="20"/>
                <w:szCs w:val="20"/>
              </w:rPr>
              <w:t xml:space="preserve">strongly_disagree_pct</w:t>
            </w:r>
          </w:p>
        </w:tc>
        <w:tc>
          <w:tcPr>
            <w:tcW w:w="0" w:type="auto"/>
          </w:tcPr>
          <w:p>
            <w:pPr>
              <w:spacing w:line="240" w:lineRule="auto" w:before="0" w:after="0"/>
              <w:pStyle w:val="Compact"/>
            </w:pPr>
            <w:r>
              <w:rPr>
                <w:sz w:val="20"/>
                <w:szCs w:val="20"/>
              </w:rPr>
              <w:t xml:space="preserve">disagree_pct</w:t>
            </w:r>
          </w:p>
        </w:tc>
        <w:tc>
          <w:tcPr>
            <w:tcW w:w="0" w:type="auto"/>
          </w:tcPr>
          <w:p>
            <w:pPr>
              <w:spacing w:line="240" w:lineRule="auto" w:before="0" w:after="0"/>
              <w:pStyle w:val="Compact"/>
            </w:pPr>
            <w:r>
              <w:rPr>
                <w:sz w:val="20"/>
                <w:szCs w:val="20"/>
              </w:rPr>
              <w:t xml:space="preserve">agree_pct</w:t>
            </w:r>
          </w:p>
        </w:tc>
        <w:tc>
          <w:tcPr>
            <w:tcW w:w="0" w:type="auto"/>
          </w:tcPr>
          <w:p>
            <w:pPr>
              <w:spacing w:line="240" w:lineRule="auto" w:before="0" w:after="0"/>
              <w:pStyle w:val="Compact"/>
            </w:pPr>
            <w:r>
              <w:rPr>
                <w:sz w:val="20"/>
                <w:szCs w:val="20"/>
              </w:rPr>
              <w:t xml:space="preserve">strongly_agree_pct</w:t>
            </w:r>
          </w:p>
        </w:tc>
        <w:tc>
          <w:tcPr>
            <w:tcW w:w="0" w:type="auto"/>
          </w:tcPr>
          <w:p>
            <w:pPr>
              <w:spacing w:line="240" w:lineRule="auto" w:before="0" w:after="0"/>
              <w:pStyle w:val="Compact"/>
            </w:pPr>
            <w:r>
              <w:rPr>
                <w:sz w:val="20"/>
                <w:szCs w:val="20"/>
              </w:rPr>
              <w:t xml:space="preserve">agreement_share_pct</w:t>
            </w:r>
          </w:p>
        </w:tc>
        <w:tc>
          <w:tcPr>
            <w:tcW w:w="0" w:type="auto"/>
          </w:tcPr>
          <w:p>
            <w:pPr>
              <w:spacing w:line="240" w:lineRule="auto" w:before="0" w:after="0"/>
              <w:pStyle w:val="Compact"/>
            </w:pPr>
            <w:r>
              <w:rPr>
                <w:sz w:val="20"/>
                <w:szCs w:val="20"/>
              </w:rPr>
              <w:t xml:space="preserve">strong_agreement_share_pct</w:t>
            </w:r>
          </w:p>
        </w:tc>
        <w:tc>
          <w:tcPr>
            <w:tcW w:w="0" w:type="auto"/>
          </w:tcPr>
          <w:p>
            <w:pPr>
              <w:spacing w:line="240" w:lineRule="auto" w:before="0" w:after="0"/>
              <w:pStyle w:val="Compact"/>
            </w:pPr>
            <w:r>
              <w:rPr>
                <w:sz w:val="20"/>
                <w:szCs w:val="20"/>
              </w:rPr>
              <w:t xml:space="preserve">iqr</w:t>
            </w:r>
          </w:p>
        </w:tc>
        <w:tc>
          <w:tcPr>
            <w:tcW w:w="0" w:type="auto"/>
          </w:tcPr>
          <w:p>
            <w:pPr>
              <w:spacing w:line="240" w:lineRule="auto" w:before="0" w:after="0"/>
              <w:pStyle w:val="Compact"/>
            </w:pPr>
            <w:r>
              <w:rPr>
                <w:sz w:val="20"/>
                <w:szCs w:val="20"/>
              </w:rPr>
              <w:t xml:space="preserve">median_likert</w:t>
            </w:r>
          </w:p>
        </w:tc>
        <w:tc>
          <w:tcPr>
            <w:tcW w:w="0" w:type="auto"/>
          </w:tcPr>
          <w:p>
            <w:pPr>
              <w:spacing w:line="240" w:lineRule="auto" w:before="0" w:after="0"/>
              <w:pStyle w:val="Compact"/>
            </w:pPr>
            <w:r>
              <w:rPr>
                <w:sz w:val="20"/>
                <w:szCs w:val="20"/>
              </w:rPr>
              <w:t xml:space="preserve">consensus_strength</w:t>
            </w:r>
          </w:p>
        </w:tc>
        <w:tc>
          <w:tcPr>
            <w:tcW w:w="0" w:type="auto"/>
          </w:tcPr>
          <w:p>
            <w:pPr>
              <w:spacing w:line="240" w:lineRule="auto" w:before="0" w:after="0"/>
              <w:pStyle w:val="Compact"/>
            </w:pPr>
            <w:r>
              <w:rPr>
                <w:sz w:val="20"/>
                <w:szCs w:val="20"/>
              </w:rPr>
              <w:t xml:space="preserve">is_power_or_nuclear</w:t>
            </w:r>
          </w:p>
        </w:tc>
        <w:tc>
          <w:tcPr>
            <w:tcW w:w="0" w:type="auto"/>
          </w:tcPr>
          <w:p>
            <w:pPr>
              <w:spacing w:line="240" w:lineRule="auto" w:before="0" w:after="0"/>
              <w:pStyle w:val="Compact"/>
            </w:pPr>
            <w:r>
              <w:rPr>
                <w:sz w:val="20"/>
                <w:szCs w:val="20"/>
              </w:rPr>
              <w:t xml:space="preserve">is_isru</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Mineral extraction demonstration and development phase</w:t>
            </w:r>
          </w:p>
        </w:tc>
        <w:tc>
          <w:tcPr>
            <w:tcW w:w="0" w:type="auto"/>
          </w:tcPr>
          <w:p>
            <w:pPr>
              <w:spacing w:line="240" w:lineRule="auto" w:before="0" w:after="0"/>
              <w:pStyle w:val="Compact"/>
            </w:pPr>
            <w:r>
              <w:rPr>
                <w:sz w:val="20"/>
                <w:szCs w:val="20"/>
              </w:rPr>
              <w:t xml:space="preserve">isru</w:t>
            </w:r>
          </w:p>
        </w:tc>
        <w:tc>
          <w:tcPr>
            <w:tcW w:w="0" w:type="auto"/>
          </w:tcPr>
          <w:p>
            <w:pPr>
              <w:spacing w:line="240" w:lineRule="auto" w:before="0" w:after="0"/>
              <w:pStyle w:val="Compact"/>
            </w:pPr>
            <w:r>
              <w:rPr>
                <w:sz w:val="20"/>
                <w:szCs w:val="20"/>
              </w:rPr>
              <w:t xml:space="preserve">Table 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First successful human return to Moon surface during 2026 to 2030</w:t>
            </w:r>
          </w:p>
        </w:tc>
        <w:tc>
          <w:tcPr>
            <w:tcW w:w="0" w:type="auto"/>
          </w:tcPr>
          <w:p>
            <w:pPr>
              <w:spacing w:line="240" w:lineRule="auto" w:before="0" w:after="0"/>
              <w:pStyle w:val="Compact"/>
            </w:pPr>
            <w:r>
              <w:rPr>
                <w:sz w:val="20"/>
                <w:szCs w:val="20"/>
              </w:rPr>
              <w:t xml:space="preserve">timeline</w:t>
            </w:r>
          </w:p>
        </w:tc>
        <w:tc>
          <w:tcPr>
            <w:tcW w:w="0" w:type="auto"/>
          </w:tcPr>
          <w:p>
            <w:pPr>
              <w:spacing w:line="240" w:lineRule="auto" w:before="0" w:after="0"/>
              <w:pStyle w:val="Compact"/>
            </w:pPr>
            <w:r>
              <w:rPr>
                <w:sz w:val="20"/>
                <w:szCs w:val="20"/>
              </w:rPr>
              <w:t xml:space="preserve">Table 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Crewed Martian surface missions by 2040</w:t>
            </w:r>
          </w:p>
        </w:tc>
        <w:tc>
          <w:tcPr>
            <w:tcW w:w="0" w:type="auto"/>
          </w:tcPr>
          <w:p>
            <w:pPr>
              <w:spacing w:line="240" w:lineRule="auto" w:before="0" w:after="0"/>
              <w:pStyle w:val="Compact"/>
            </w:pPr>
            <w:r>
              <w:rPr>
                <w:sz w:val="20"/>
                <w:szCs w:val="20"/>
              </w:rPr>
              <w:t xml:space="preserve">timeline</w:t>
            </w:r>
          </w:p>
        </w:tc>
        <w:tc>
          <w:tcPr>
            <w:tcW w:w="0" w:type="auto"/>
          </w:tcPr>
          <w:p>
            <w:pPr>
              <w:spacing w:line="240" w:lineRule="auto" w:before="0" w:after="0"/>
              <w:pStyle w:val="Compact"/>
            </w:pPr>
            <w:r>
              <w:rPr>
                <w:sz w:val="20"/>
                <w:szCs w:val="20"/>
              </w:rPr>
              <w:t xml:space="preserve">Table 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Any ISRU technology at TRL 5 during detailed definition planning</w:t>
            </w:r>
          </w:p>
        </w:tc>
        <w:tc>
          <w:tcPr>
            <w:tcW w:w="0" w:type="auto"/>
          </w:tcPr>
          <w:p>
            <w:pPr>
              <w:spacing w:line="240" w:lineRule="auto" w:before="0" w:after="0"/>
              <w:pStyle w:val="Compact"/>
            </w:pPr>
            <w:r>
              <w:rPr>
                <w:sz w:val="20"/>
                <w:szCs w:val="20"/>
              </w:rPr>
              <w:t xml:space="preserve">isru</w:t>
            </w:r>
          </w:p>
        </w:tc>
        <w:tc>
          <w:tcPr>
            <w:tcW w:w="0" w:type="auto"/>
          </w:tcPr>
          <w:p>
            <w:pPr>
              <w:spacing w:line="240" w:lineRule="auto" w:before="0" w:after="0"/>
              <w:pStyle w:val="Compact"/>
            </w:pPr>
            <w:r>
              <w:rPr>
                <w:sz w:val="20"/>
                <w:szCs w:val="20"/>
              </w:rPr>
              <w:t xml:space="preserve">Table 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Significant private space activities on the Moon in 2040</w:t>
            </w:r>
          </w:p>
        </w:tc>
        <w:tc>
          <w:tcPr>
            <w:tcW w:w="0" w:type="auto"/>
          </w:tcPr>
          <w:p>
            <w:pPr>
              <w:spacing w:line="240" w:lineRule="auto" w:before="0" w:after="0"/>
              <w:pStyle w:val="Compact"/>
            </w:pPr>
            <w:r>
              <w:rPr>
                <w:sz w:val="20"/>
                <w:szCs w:val="20"/>
              </w:rPr>
              <w:t xml:space="preserve">market</w:t>
            </w:r>
          </w:p>
        </w:tc>
        <w:tc>
          <w:tcPr>
            <w:tcW w:w="0" w:type="auto"/>
          </w:tcPr>
          <w:p>
            <w:pPr>
              <w:spacing w:line="240" w:lineRule="auto" w:before="0" w:after="0"/>
              <w:pStyle w:val="Compact"/>
            </w:pPr>
            <w:r>
              <w:rPr>
                <w:sz w:val="20"/>
                <w:szCs w:val="20"/>
              </w:rPr>
              <w:t xml:space="preserve">Table 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Water ice uncertainty will favour regolith reduction for oxygen</w:t>
            </w:r>
          </w:p>
        </w:tc>
        <w:tc>
          <w:tcPr>
            <w:tcW w:w="0" w:type="auto"/>
          </w:tcPr>
          <w:p>
            <w:pPr>
              <w:spacing w:line="240" w:lineRule="auto" w:before="0" w:after="0"/>
              <w:pStyle w:val="Compact"/>
            </w:pPr>
            <w:r>
              <w:rPr>
                <w:sz w:val="20"/>
                <w:szCs w:val="20"/>
              </w:rPr>
              <w:t xml:space="preserve">isru</w:t>
            </w:r>
          </w:p>
        </w:tc>
        <w:tc>
          <w:tcPr>
            <w:tcW w:w="0" w:type="auto"/>
          </w:tcPr>
          <w:p>
            <w:pPr>
              <w:spacing w:line="240" w:lineRule="auto" w:before="0" w:after="0"/>
              <w:pStyle w:val="Compact"/>
            </w:pPr>
            <w:r>
              <w:rPr>
                <w:sz w:val="20"/>
                <w:szCs w:val="20"/>
              </w:rPr>
              <w:t xml:space="preserve">Table 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Specific mass is primary consideration for power system design</w:t>
            </w:r>
          </w:p>
        </w:tc>
        <w:tc>
          <w:tcPr>
            <w:tcW w:w="0" w:type="auto"/>
          </w:tcPr>
          <w:p>
            <w:pPr>
              <w:spacing w:line="240" w:lineRule="auto" w:before="0" w:after="0"/>
              <w:pStyle w:val="Compact"/>
            </w:pPr>
            <w:r>
              <w:rPr>
                <w:sz w:val="20"/>
                <w:szCs w:val="20"/>
              </w:rPr>
              <w:t xml:space="preserve">power</w:t>
            </w:r>
          </w:p>
        </w:tc>
        <w:tc>
          <w:tcPr>
            <w:tcW w:w="0" w:type="auto"/>
          </w:tcPr>
          <w:p>
            <w:pPr>
              <w:spacing w:line="240" w:lineRule="auto" w:before="0" w:after="0"/>
              <w:pStyle w:val="Compact"/>
            </w:pPr>
            <w:r>
              <w:rPr>
                <w:sz w:val="20"/>
                <w:szCs w:val="20"/>
              </w:rPr>
              <w:t xml:space="preserve">Table 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Nuclear thermal propulsion reactors have no direct lunar outpost impact</w:t>
            </w:r>
          </w:p>
        </w:tc>
        <w:tc>
          <w:tcPr>
            <w:tcW w:w="0" w:type="auto"/>
          </w:tcPr>
          <w:p>
            <w:pPr>
              <w:spacing w:line="240" w:lineRule="auto" w:before="0" w:after="0"/>
              <w:pStyle w:val="Compact"/>
            </w:pPr>
            <w:r>
              <w:rPr>
                <w:sz w:val="20"/>
                <w:szCs w:val="20"/>
              </w:rPr>
              <w:t xml:space="preserve">nuclear</w:t>
            </w:r>
          </w:p>
        </w:tc>
        <w:tc>
          <w:tcPr>
            <w:tcW w:w="0" w:type="auto"/>
          </w:tcPr>
          <w:p>
            <w:pPr>
              <w:spacing w:line="240" w:lineRule="auto" w:before="0" w:after="0"/>
              <w:pStyle w:val="Compact"/>
            </w:pPr>
            <w:r>
              <w:rPr>
                <w:sz w:val="20"/>
                <w:szCs w:val="20"/>
              </w:rPr>
              <w:t xml:space="preserve">Table 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Maximum lunar outpost crew occupancy probably less than 20</w:t>
            </w:r>
          </w:p>
        </w:tc>
        <w:tc>
          <w:tcPr>
            <w:tcW w:w="0" w:type="auto"/>
          </w:tcPr>
          <w:p>
            <w:pPr>
              <w:spacing w:line="240" w:lineRule="auto" w:before="0" w:after="0"/>
              <w:pStyle w:val="Compact"/>
            </w:pPr>
            <w:r>
              <w:rPr>
                <w:sz w:val="20"/>
                <w:szCs w:val="20"/>
              </w:rPr>
              <w:t xml:space="preserve">occupancy</w:t>
            </w:r>
          </w:p>
        </w:tc>
        <w:tc>
          <w:tcPr>
            <w:tcW w:w="0" w:type="auto"/>
          </w:tcPr>
          <w:p>
            <w:pPr>
              <w:spacing w:line="240" w:lineRule="auto" w:before="0" w:after="0"/>
              <w:pStyle w:val="Compact"/>
            </w:pPr>
            <w:r>
              <w:rPr>
                <w:sz w:val="20"/>
                <w:szCs w:val="20"/>
              </w:rPr>
              <w:t xml:space="preserve">Table 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Outpost occupancy beyond 50 persons contingent on commercial opportunities</w:t>
            </w:r>
          </w:p>
        </w:tc>
        <w:tc>
          <w:tcPr>
            <w:tcW w:w="0" w:type="auto"/>
          </w:tcPr>
          <w:p>
            <w:pPr>
              <w:spacing w:line="240" w:lineRule="auto" w:before="0" w:after="0"/>
              <w:pStyle w:val="Compact"/>
            </w:pPr>
            <w:r>
              <w:rPr>
                <w:sz w:val="20"/>
                <w:szCs w:val="20"/>
              </w:rPr>
              <w:t xml:space="preserve">market</w:t>
            </w:r>
          </w:p>
        </w:tc>
        <w:tc>
          <w:tcPr>
            <w:tcW w:w="0" w:type="auto"/>
          </w:tcPr>
          <w:p>
            <w:pPr>
              <w:spacing w:line="240" w:lineRule="auto" w:before="0" w:after="0"/>
              <w:pStyle w:val="Compact"/>
            </w:pPr>
            <w:r>
              <w:rPr>
                <w:sz w:val="20"/>
                <w:szCs w:val="20"/>
              </w:rPr>
              <w:t xml:space="preserve">Table 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Oxygen production greater than 1000 kg per year in 2040</w:t>
            </w:r>
          </w:p>
        </w:tc>
        <w:tc>
          <w:tcPr>
            <w:tcW w:w="0" w:type="auto"/>
          </w:tcPr>
          <w:p>
            <w:pPr>
              <w:spacing w:line="240" w:lineRule="auto" w:before="0" w:after="0"/>
              <w:pStyle w:val="Compact"/>
            </w:pPr>
            <w:r>
              <w:rPr>
                <w:sz w:val="20"/>
                <w:szCs w:val="20"/>
              </w:rPr>
              <w:t xml:space="preserve">isru</w:t>
            </w:r>
          </w:p>
        </w:tc>
        <w:tc>
          <w:tcPr>
            <w:tcW w:w="0" w:type="auto"/>
          </w:tcPr>
          <w:p>
            <w:pPr>
              <w:spacing w:line="240" w:lineRule="auto" w:before="0" w:after="0"/>
              <w:pStyle w:val="Compact"/>
            </w:pPr>
            <w:r>
              <w:rPr>
                <w:sz w:val="20"/>
                <w:szCs w:val="20"/>
              </w:rPr>
              <w:t xml:space="preserve">Table 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Majority of oxygen for fuel and life support could be extracted</w:t>
            </w:r>
          </w:p>
        </w:tc>
        <w:tc>
          <w:tcPr>
            <w:tcW w:w="0" w:type="auto"/>
          </w:tcPr>
          <w:p>
            <w:pPr>
              <w:spacing w:line="240" w:lineRule="auto" w:before="0" w:after="0"/>
              <w:pStyle w:val="Compact"/>
            </w:pPr>
            <w:r>
              <w:rPr>
                <w:sz w:val="20"/>
                <w:szCs w:val="20"/>
              </w:rPr>
              <w:t xml:space="preserve">isru</w:t>
            </w:r>
          </w:p>
        </w:tc>
        <w:tc>
          <w:tcPr>
            <w:tcW w:w="0" w:type="auto"/>
          </w:tcPr>
          <w:p>
            <w:pPr>
              <w:spacing w:line="240" w:lineRule="auto" w:before="0" w:after="0"/>
              <w:pStyle w:val="Compact"/>
            </w:pPr>
            <w:r>
              <w:rPr>
                <w:sz w:val="20"/>
                <w:szCs w:val="20"/>
              </w:rPr>
              <w:t xml:space="preserve">Table 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Useful ISRU activities add about 1 MW to outpost power consumption</w:t>
            </w:r>
          </w:p>
        </w:tc>
        <w:tc>
          <w:tcPr>
            <w:tcW w:w="0" w:type="auto"/>
          </w:tcPr>
          <w:p>
            <w:pPr>
              <w:spacing w:line="240" w:lineRule="auto" w:before="0" w:after="0"/>
              <w:pStyle w:val="Compact"/>
            </w:pPr>
            <w:r>
              <w:rPr>
                <w:sz w:val="20"/>
                <w:szCs w:val="20"/>
              </w:rPr>
              <w:t xml:space="preserve">power</w:t>
            </w:r>
          </w:p>
        </w:tc>
        <w:tc>
          <w:tcPr>
            <w:tcW w:w="0" w:type="auto"/>
          </w:tcPr>
          <w:p>
            <w:pPr>
              <w:spacing w:line="240" w:lineRule="auto" w:before="0" w:after="0"/>
              <w:pStyle w:val="Compact"/>
            </w:pPr>
            <w:r>
              <w:rPr>
                <w:sz w:val="20"/>
                <w:szCs w:val="20"/>
              </w:rPr>
              <w:t xml:space="preserve">Table 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Non-ISRU activities contribute less than 100 kW to power consumption</w:t>
            </w:r>
          </w:p>
        </w:tc>
        <w:tc>
          <w:tcPr>
            <w:tcW w:w="0" w:type="auto"/>
          </w:tcPr>
          <w:p>
            <w:pPr>
              <w:spacing w:line="240" w:lineRule="auto" w:before="0" w:after="0"/>
              <w:pStyle w:val="Compact"/>
            </w:pPr>
            <w:r>
              <w:rPr>
                <w:sz w:val="20"/>
                <w:szCs w:val="20"/>
              </w:rPr>
              <w:t xml:space="preserve">power</w:t>
            </w:r>
          </w:p>
        </w:tc>
        <w:tc>
          <w:tcPr>
            <w:tcW w:w="0" w:type="auto"/>
          </w:tcPr>
          <w:p>
            <w:pPr>
              <w:spacing w:line="240" w:lineRule="auto" w:before="0" w:after="0"/>
              <w:pStyle w:val="Compact"/>
            </w:pPr>
            <w:r>
              <w:rPr>
                <w:sz w:val="20"/>
                <w:szCs w:val="20"/>
              </w:rPr>
              <w:t xml:space="preserve">Table 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COVID-19 significantly alters lunar exploration timelines</w:t>
            </w:r>
          </w:p>
        </w:tc>
        <w:tc>
          <w:tcPr>
            <w:tcW w:w="0" w:type="auto"/>
          </w:tcPr>
          <w:p>
            <w:pPr>
              <w:spacing w:line="240" w:lineRule="auto" w:before="0" w:after="0"/>
              <w:pStyle w:val="Compact"/>
            </w:pPr>
            <w:r>
              <w:rPr>
                <w:sz w:val="20"/>
                <w:szCs w:val="20"/>
              </w:rPr>
              <w:t xml:space="preserve">timeline</w:t>
            </w:r>
          </w:p>
        </w:tc>
        <w:tc>
          <w:tcPr>
            <w:tcW w:w="0" w:type="auto"/>
          </w:tcPr>
          <w:p>
            <w:pPr>
              <w:spacing w:line="240" w:lineRule="auto" w:before="0" w:after="0"/>
              <w:pStyle w:val="Compact"/>
            </w:pPr>
            <w:r>
              <w:rPr>
                <w:sz w:val="20"/>
                <w:szCs w:val="20"/>
              </w:rPr>
              <w:t xml:space="preserve">Table 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Water ice uncertainty will favour outpost siting on KREEP terrane</w:t>
            </w:r>
          </w:p>
        </w:tc>
        <w:tc>
          <w:tcPr>
            <w:tcW w:w="0" w:type="auto"/>
          </w:tcPr>
          <w:p>
            <w:pPr>
              <w:spacing w:line="240" w:lineRule="auto" w:before="0" w:after="0"/>
              <w:pStyle w:val="Compact"/>
            </w:pPr>
            <w:r>
              <w:rPr>
                <w:sz w:val="20"/>
                <w:szCs w:val="20"/>
              </w:rPr>
              <w:t xml:space="preserve">site</w:t>
            </w:r>
          </w:p>
        </w:tc>
        <w:tc>
          <w:tcPr>
            <w:tcW w:w="0" w:type="auto"/>
          </w:tcPr>
          <w:p>
            <w:pPr>
              <w:spacing w:line="240" w:lineRule="auto" w:before="0" w:after="0"/>
              <w:pStyle w:val="Compact"/>
            </w:pPr>
            <w:r>
              <w:rPr>
                <w:sz w:val="20"/>
                <w:szCs w:val="20"/>
              </w:rPr>
              <w:t xml:space="preserve">Table 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0.4444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One hundred persons on Moon would be spread over two or more outposts</w:t>
            </w:r>
          </w:p>
        </w:tc>
        <w:tc>
          <w:tcPr>
            <w:tcW w:w="0" w:type="auto"/>
          </w:tcPr>
          <w:p>
            <w:pPr>
              <w:spacing w:line="240" w:lineRule="auto" w:before="0" w:after="0"/>
              <w:pStyle w:val="Compact"/>
            </w:pPr>
            <w:r>
              <w:rPr>
                <w:sz w:val="20"/>
                <w:szCs w:val="20"/>
              </w:rPr>
              <w:t xml:space="preserve">occupancy</w:t>
            </w:r>
          </w:p>
        </w:tc>
        <w:tc>
          <w:tcPr>
            <w:tcW w:w="0" w:type="auto"/>
          </w:tcPr>
          <w:p>
            <w:pPr>
              <w:spacing w:line="240" w:lineRule="auto" w:before="0" w:after="0"/>
              <w:pStyle w:val="Compact"/>
            </w:pPr>
            <w:r>
              <w:rPr>
                <w:sz w:val="20"/>
                <w:szCs w:val="20"/>
              </w:rPr>
              <w:t xml:space="preserve">Table 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0.4444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Outpost non-ISRU mission similar to ISS laboratory</w:t>
            </w:r>
          </w:p>
        </w:tc>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Table 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0.4444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Regolith construction uses thermal sintering not chemical binders</w:t>
            </w:r>
          </w:p>
        </w:tc>
        <w:tc>
          <w:tcPr>
            <w:tcW w:w="0" w:type="auto"/>
          </w:tcPr>
          <w:p>
            <w:pPr>
              <w:spacing w:line="240" w:lineRule="auto" w:before="0" w:after="0"/>
              <w:pStyle w:val="Compact"/>
            </w:pPr>
            <w:r>
              <w:rPr>
                <w:sz w:val="20"/>
                <w:szCs w:val="20"/>
              </w:rPr>
              <w:t xml:space="preserve">isru</w:t>
            </w:r>
          </w:p>
        </w:tc>
        <w:tc>
          <w:tcPr>
            <w:tcW w:w="0" w:type="auto"/>
          </w:tcPr>
          <w:p>
            <w:pPr>
              <w:spacing w:line="240" w:lineRule="auto" w:before="0" w:after="0"/>
              <w:pStyle w:val="Compact"/>
            </w:pPr>
            <w:r>
              <w:rPr>
                <w:sz w:val="20"/>
                <w:szCs w:val="20"/>
              </w:rPr>
              <w:t xml:space="preserve">Table 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agreement_share_pct</w:t>
            </w:r>
          </w:p>
        </w:tc>
        <w:tc>
          <w:tcPr>
            <w:tcW w:w="0" w:type="auto"/>
          </w:tcPr>
          <w:p>
            <w:pPr>
              <w:spacing w:line="240" w:lineRule="auto" w:before="0" w:after="0"/>
              <w:pStyle w:val="Compact"/>
            </w:pPr>
            <w:r>
              <w:rPr>
                <w:sz w:val="20"/>
                <w:szCs w:val="20"/>
              </w:rPr>
              <w:t xml:space="preserve">Share of respondents agreeing or strongly agreeing with a stable Delphi statement.</w:t>
            </w:r>
          </w:p>
        </w:tc>
        <w:tc>
          <w:tcPr>
            <w:tcW w:w="0" w:type="auto"/>
          </w:tcPr>
          <w:p>
            <w:pPr>
              <w:spacing w:line="240" w:lineRule="auto" w:before="0" w:after="0"/>
              <w:pStyle w:val="Compact"/>
            </w:pPr>
            <w:r>
              <w:rPr>
                <w:sz w:val="20"/>
                <w:szCs w:val="20"/>
              </w:rPr>
              <w:t xml:space="preserve">Spedding et al. 2021 Tables 2-4.</w:t>
            </w:r>
          </w:p>
        </w:tc>
      </w:tr>
      <w:tr>
        <w:tc>
          <w:tcPr>
            <w:tcW w:w="0" w:type="auto"/>
          </w:tcPr>
          <w:p>
            <w:pPr>
              <w:spacing w:line="240" w:lineRule="auto" w:before="0" w:after="0"/>
              <w:pStyle w:val="Compact"/>
            </w:pPr>
            <w:r>
              <w:rPr>
                <w:sz w:val="20"/>
                <w:szCs w:val="20"/>
              </w:rPr>
              <w:t xml:space="preserve">median_likert</w:t>
            </w:r>
          </w:p>
        </w:tc>
        <w:tc>
          <w:tcPr>
            <w:tcW w:w="0" w:type="auto"/>
          </w:tcPr>
          <w:p>
            <w:pPr>
              <w:spacing w:line="240" w:lineRule="auto" w:before="0" w:after="0"/>
              <w:pStyle w:val="Compact"/>
            </w:pPr>
            <w:r>
              <w:rPr>
                <w:sz w:val="20"/>
                <w:szCs w:val="20"/>
              </w:rPr>
              <w:t xml:space="preserve">Reported median Likert response for the statement.</w:t>
            </w:r>
          </w:p>
        </w:tc>
        <w:tc>
          <w:tcPr>
            <w:tcW w:w="0" w:type="auto"/>
          </w:tcPr>
          <w:p>
            <w:pPr>
              <w:spacing w:line="240" w:lineRule="auto" w:before="0" w:after="0"/>
              <w:pStyle w:val="Compact"/>
            </w:pPr>
            <w:r>
              <w:rPr>
                <w:sz w:val="20"/>
                <w:szCs w:val="20"/>
              </w:rPr>
              <w:t xml:space="preserve">Spedding et al. 2021 Tables 2-4.</w:t>
            </w:r>
          </w:p>
        </w:tc>
      </w:tr>
      <w:tr>
        <w:tc>
          <w:tcPr>
            <w:tcW w:w="0" w:type="auto"/>
          </w:tcPr>
          <w:p>
            <w:pPr>
              <w:spacing w:line="240" w:lineRule="auto" w:before="0" w:after="0"/>
              <w:pStyle w:val="Compact"/>
            </w:pPr>
            <w:r>
              <w:rPr>
                <w:sz w:val="20"/>
                <w:szCs w:val="20"/>
              </w:rPr>
              <w:t xml:space="preserve">iqr</w:t>
            </w:r>
          </w:p>
        </w:tc>
        <w:tc>
          <w:tcPr>
            <w:tcW w:w="0" w:type="auto"/>
          </w:tcPr>
          <w:p>
            <w:pPr>
              <w:spacing w:line="240" w:lineRule="auto" w:before="0" w:after="0"/>
              <w:pStyle w:val="Compact"/>
            </w:pPr>
            <w:r>
              <w:rPr>
                <w:sz w:val="20"/>
                <w:szCs w:val="20"/>
              </w:rPr>
              <w:t xml:space="preserve">Reported interquartile range for the statement.</w:t>
            </w:r>
          </w:p>
        </w:tc>
        <w:tc>
          <w:tcPr>
            <w:tcW w:w="0" w:type="auto"/>
          </w:tcPr>
          <w:p>
            <w:pPr>
              <w:spacing w:line="240" w:lineRule="auto" w:before="0" w:after="0"/>
              <w:pStyle w:val="Compact"/>
            </w:pPr>
            <w:r>
              <w:rPr>
                <w:sz w:val="20"/>
                <w:szCs w:val="20"/>
              </w:rPr>
              <w:t xml:space="preserve">Spedding et al. 2021 Tables 2-4.</w:t>
            </w:r>
          </w:p>
        </w:tc>
      </w:tr>
      <w:tr>
        <w:tc>
          <w:tcPr>
            <w:tcW w:w="0" w:type="auto"/>
          </w:tcPr>
          <w:p>
            <w:pPr>
              <w:spacing w:line="240" w:lineRule="auto" w:before="0" w:after="0"/>
              <w:pStyle w:val="Compact"/>
            </w:pPr>
            <w:r>
              <w:rPr>
                <w:sz w:val="20"/>
                <w:szCs w:val="20"/>
              </w:rPr>
              <w:t xml:space="preserve">is_power_or_nuclear</w:t>
            </w:r>
          </w:p>
        </w:tc>
        <w:tc>
          <w:tcPr>
            <w:tcW w:w="0" w:type="auto"/>
          </w:tcPr>
          <w:p>
            <w:pPr>
              <w:spacing w:line="240" w:lineRule="auto" w:before="0" w:after="0"/>
              <w:pStyle w:val="Compact"/>
            </w:pPr>
            <w:r>
              <w:rPr>
                <w:sz w:val="20"/>
                <w:szCs w:val="20"/>
              </w:rPr>
              <w:t xml:space="preserve">Indicator for statements whose theme is power or nuclear.</w:t>
            </w:r>
          </w:p>
        </w:tc>
        <w:tc>
          <w:tcPr>
            <w:tcW w:w="0" w:type="auto"/>
          </w:tcPr>
          <w:p>
            <w:pPr>
              <w:spacing w:line="240" w:lineRule="auto" w:before="0" w:after="0"/>
              <w:pStyle w:val="Compact"/>
            </w:pPr>
            <w:r>
              <w:rPr>
                <w:sz w:val="20"/>
                <w:szCs w:val="20"/>
              </w:rPr>
              <w:t xml:space="preserve">Constructed from statement text and theme coding.</w:t>
            </w:r>
          </w:p>
        </w:tc>
      </w:tr>
      <w:tr>
        <w:tc>
          <w:tcPr>
            <w:tcW w:w="0" w:type="auto"/>
          </w:tcPr>
          <w:p>
            <w:pPr>
              <w:spacing w:line="240" w:lineRule="auto" w:before="0" w:after="0"/>
              <w:pStyle w:val="Compact"/>
            </w:pPr>
            <w:r>
              <w:rPr>
                <w:sz w:val="20"/>
                <w:szCs w:val="20"/>
              </w:rPr>
              <w:t xml:space="preserve">is_isru</w:t>
            </w:r>
          </w:p>
        </w:tc>
        <w:tc>
          <w:tcPr>
            <w:tcW w:w="0" w:type="auto"/>
          </w:tcPr>
          <w:p>
            <w:pPr>
              <w:spacing w:line="240" w:lineRule="auto" w:before="0" w:after="0"/>
              <w:pStyle w:val="Compact"/>
            </w:pPr>
            <w:r>
              <w:rPr>
                <w:sz w:val="20"/>
                <w:szCs w:val="20"/>
              </w:rPr>
              <w:t xml:space="preserve">Indicator for ISRU statements.</w:t>
            </w:r>
          </w:p>
        </w:tc>
        <w:tc>
          <w:tcPr>
            <w:tcW w:w="0" w:type="auto"/>
          </w:tcPr>
          <w:p>
            <w:pPr>
              <w:spacing w:line="240" w:lineRule="auto" w:before="0" w:after="0"/>
              <w:pStyle w:val="Compact"/>
            </w:pPr>
            <w:r>
              <w:rPr>
                <w:sz w:val="20"/>
                <w:szCs w:val="20"/>
              </w:rPr>
              <w:t xml:space="preserve">Constructed from statement text and theme coding.</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Observation source note.</w:t>
            </w:r>
          </w:p>
        </w:tc>
        <w:tc>
          <w:tcPr>
            <w:tcW w:w="0" w:type="auto"/>
          </w:tcPr>
          <w:p>
            <w:pPr>
              <w:spacing w:line="240" w:lineRule="auto" w:before="0" w:after="0"/>
              <w:pStyle w:val="Compact"/>
            </w:pPr>
            <w:r>
              <w:rPr>
                <w:sz w:val="20"/>
                <w:szCs w:val="20"/>
              </w:rPr>
              <w:t xml:space="preserve">Last column from the compiled data CSV.</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1.4971</w:t>
            </w:r>
          </w:p>
        </w:tc>
        <w:tc>
          <w:tcPr>
            <w:tcW w:w="0" w:type="auto"/>
          </w:tcPr>
          <w:p>
            <w:pPr>
              <w:spacing w:line="240" w:lineRule="auto" w:before="0" w:after="0"/>
              <w:pStyle w:val="Compact"/>
            </w:pPr>
            <w:r>
              <w:rPr>
                <w:sz w:val="20"/>
                <w:szCs w:val="20"/>
              </w:rPr>
              <w:t xml:space="preserve">0.6496</w:t>
            </w:r>
          </w:p>
        </w:tc>
        <w:tc>
          <w:tcPr>
            <w:tcW w:w="0" w:type="auto"/>
          </w:tcPr>
          <w:p>
            <w:pPr>
              <w:spacing w:line="240" w:lineRule="auto" w:before="0" w:after="0"/>
              <w:pStyle w:val="Compact"/>
            </w:pPr>
            <w:r>
              <w:rPr>
                <w:sz w:val="20"/>
                <w:szCs w:val="20"/>
              </w:rPr>
              <w:t xml:space="preserve">2.3046</w:t>
            </w:r>
          </w:p>
        </w:tc>
        <w:tc>
          <w:tcPr>
            <w:tcW w:w="0" w:type="auto"/>
          </w:tcPr>
          <w:p>
            <w:pPr>
              <w:spacing w:line="240" w:lineRule="auto" w:before="0" w:after="0"/>
              <w:pStyle w:val="Compact"/>
            </w:pPr>
            <w:r>
              <w:rPr>
                <w:sz w:val="20"/>
                <w:szCs w:val="20"/>
              </w:rPr>
              <w:t xml:space="preserve">0.0212</w:t>
            </w:r>
          </w:p>
        </w:tc>
        <w:tc>
          <w:tcPr>
            <w:tcW w:w="0" w:type="auto"/>
          </w:tcPr>
          <w:p>
            <w:pPr>
              <w:spacing w:line="240" w:lineRule="auto" w:before="0" w:after="0"/>
              <w:pStyle w:val="Compact"/>
            </w:pPr>
            <w:r>
              <w:rPr>
                <w:sz w:val="20"/>
                <w:szCs w:val="20"/>
              </w:rPr>
              <w:t xml:space="preserve">[0.2239, 2.7703]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2.656</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4.4279</w:t>
            </w:r>
          </w:p>
        </w:tc>
        <w:tc>
          <w:tcPr>
            <w:tcW w:w="0" w:type="auto"/>
          </w:tcPr>
          <w:p>
            <w:pPr>
              <w:spacing w:line="240" w:lineRule="auto" w:before="0" w:after="0"/>
              <w:pStyle w:val="Compact"/>
            </w:pPr>
            <w:r>
              <w:rPr>
                <w:sz w:val="20"/>
                <w:szCs w:val="20"/>
              </w:rPr>
              <w:t xml:space="preserve">9.514e-06</w:t>
            </w:r>
          </w:p>
        </w:tc>
        <w:tc>
          <w:tcPr>
            <w:tcW w:w="0" w:type="auto"/>
          </w:tcPr>
          <w:p>
            <w:pPr>
              <w:spacing w:line="240" w:lineRule="auto" w:before="0" w:after="0"/>
              <w:pStyle w:val="Compact"/>
            </w:pPr>
            <w:r>
              <w:rPr>
                <w:sz w:val="20"/>
                <w:szCs w:val="20"/>
              </w:rPr>
              <w:t xml:space="preserve">[1.4803, 3.8316]</w:t>
            </w:r>
          </w:p>
        </w:tc>
      </w:tr>
    </w:tbl>
    <w:p>
      <w:pPr>
        <w:pStyle w:val="BodyText"/>
      </w:pPr>
      <w:r>
        <w:t xml:space="preserve">Fit: N = 19 R2 = 0.7846 elasticity_b = 2.656 progress_ratio_2^b = 6.3027</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2" Target="https://doi.org/10.1016/j.actaastro.2021.01.009" TargetMode="External" /><Relationship Type="http://schemas.openxmlformats.org/officeDocument/2006/relationships/hyperlink" Id="rId76" Target="https://doi.org/10.1016/j.actaastro.2024.12.001" TargetMode="External" /><Relationship Type="http://schemas.openxmlformats.org/officeDocument/2006/relationships/hyperlink" Id="rId74" Target="https://doi.org/10.64861/RBTM5104"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21.01.009" TargetMode="External" /><Relationship Type="http://schemas.openxmlformats.org/officeDocument/2006/relationships/hyperlink" Id="rId76" Target="https://doi.org/10.1016/j.actaastro.2024.12.001" TargetMode="External" /><Relationship Type="http://schemas.openxmlformats.org/officeDocument/2006/relationships/hyperlink" Id="rId74" Target="https://doi.org/10.64861/RBTM510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2026-06-27T21:52:45Z</dcterms:created>
  <dcterms:modified xsi:type="dcterms:W3CDTF">2026-06-27T21:52:45Z</dcterms:modified>
</cp:coreProperties>
</file>

<file path=docProps/custom.xml><?xml version="1.0" encoding="utf-8"?>
<Properties xmlns="http://schemas.openxmlformats.org/officeDocument/2006/custom-properties" xmlns:vt="http://schemas.openxmlformats.org/officeDocument/2006/docPropsVTypes"/>
</file>