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7fa841d623bf7c7a1bf4ed017733dc67f97e969"/>
    <w:p>
      <w:pPr>
        <w:pStyle w:val="Heading1"/>
      </w:pPr>
      <w:r>
        <w:t xml:space="preserve">Preference Points and Nuclear Ambiguity in Lunar Outpost Power Rankings</w:t>
      </w:r>
    </w:p>
    <w:bookmarkStart w:id="61" w:name="abstract"/>
    <w:p>
      <w:pPr>
        <w:pStyle w:val="Heading2"/>
      </w:pPr>
      <w:r>
        <w:t xml:space="preserve">Abstract</w:t>
      </w:r>
    </w:p>
    <w:p>
      <w:pPr>
        <w:pStyle w:val="FirstParagraph"/>
      </w:pPr>
      <w:r>
        <w:t xml:space="preserve">Lunar surface power is the gating infrastructure for sustained operations, but the choice between solar, storage, and nuclear power is often discussed as if it were a deterministic engineering comparison. This paper tests whether the expert ranking evidence supports a more cautious interpretation. It uses real vote-count data from Table 5 of Spedding, Lim, and Nuttall’s Delphi survey of ISRU technology deployment at a lunar outpost in 2040</w:t>
      </w:r>
      <w:r>
        <w:t xml:space="preserve"> </w:t>
      </w:r>
      <w:hyperlink w:anchor="ref-2">
        <m:oMathPara>
          <m:oMathParaPr>
            <m:jc m:val="center"/>
          </m:oMathParaPr>
          <m:oMath>
            <m:r>
              <m:t>2</m:t>
            </m:r>
          </m:oMath>
        </m:oMathPara>
      </w:hyperlink>
      <w:r>
        <w:t xml:space="preserve">. The table reports how experts ranked five energy technologies: solar photovoltaic, regenerative fuel cells, solar concentration thermal, nuclear energy source, and solar concentration electric. The dependent variable is preference points, calculated as each rank-position vote count multiplied by inverse rank weight. The model is robust OLS with predictors for rank weight, final score, rank-weight by final-score interaction, and nuclear status. With N = 25, the model reports R2 = 0.5649 and an overall F p-value of 0.0201. The interaction between rank weight and final score is positive and statistically significant, coefficient 3.0668 and p = 0.00535. The nuclear indicator is small and statistically weak, coefficient 0.2617 and p = 0.8119. The result supports the dissertation’s option-value frame: nuclear power is not rejected, but it carries enough preference ambiguity to justify valuing the right to wait.</w:t>
      </w:r>
    </w:p>
    <w:bookmarkEnd w:id="61"/>
    <w:bookmarkStart w:id="62" w:name="introduction"/>
    <w:p>
      <w:pPr>
        <w:pStyle w:val="Heading2"/>
      </w:pPr>
      <w:r>
        <w:t xml:space="preserve">Introduction</w:t>
      </w:r>
    </w:p>
    <w:p>
      <w:pPr>
        <w:pStyle w:val="FirstParagraph"/>
      </w:pPr>
      <w:r>
        <w:t xml:space="preserve">The prospectus frames lunar surface nuclear power as an investment-timing problem. Solar photovoltaic power is expected to be a significant contributor to a 2040 lunar outpost, while nuclear power may solve lunar night and high-load continuity problems but also faces cost, political, and technical uncertainty</w:t>
      </w:r>
      <w:r>
        <w:t xml:space="preserve"> </w:t>
      </w:r>
      <w:hyperlink w:anchor="ref-2">
        <m:oMathPara>
          <m:oMathParaPr>
            <m:jc m:val="center"/>
          </m:oMathParaPr>
          <m:oMath>
            <m:r>
              <m:t>2</m:t>
            </m:r>
          </m:oMath>
        </m:oMathPara>
      </w:hyperlink>
      <w:r>
        <w:t xml:space="preserve">. A static net-present-value comparison can miss this uncertainty. If a nuclear commitment is irreversible and the demand it serves is uncertain, real-options theory predicts that waiting can have value</w:t>
      </w:r>
      <w:r>
        <w:t xml:space="preserve"> </w:t>
      </w:r>
      <w:hyperlink w:anchor="ref-7">
        <m:oMathPara>
          <m:oMathParaPr>
            <m:jc m:val="center"/>
          </m:oMathParaPr>
          <m:oMath>
            <m:r>
              <m:t>7</m:t>
            </m:r>
          </m:oMath>
        </m:oMathPara>
      </w:hyperlink>
      <w:r>
        <w:t xml:space="preserve">. The empirical question in this paper is whether the Delphi ranking evidence contains the kind of ambiguity that makes an option-to-wait argument plausible.</w:t>
      </w:r>
    </w:p>
    <w:p>
      <w:pPr>
        <w:pStyle w:val="FirstParagraph"/>
      </w:pPr>
      <w:r>
        <w:t xml:space="preserve">The paper does not claim that an expert ranking table is a complete investment model. It asks a narrower question: does the observed distribution of preferences over energy technologies show concentrated support for one pathway or a flatter distribution around nuclear power? The answer matters because a sharply dominant nuclear ranking would weaken the case for waiting, while a flat nuclear distribution would support the claim that program managers should preserve decision flexibility until demand, unit cost, and site assumptions improve.</w:t>
      </w:r>
    </w:p>
    <w:bookmarkEnd w:id="62"/>
    <w:bookmarkStart w:id="63" w:name="data"/>
    <w:p>
      <w:pPr>
        <w:pStyle w:val="Heading2"/>
      </w:pPr>
      <w:r>
        <w:t xml:space="preserve">Data</w:t>
      </w:r>
    </w:p>
    <w:p>
      <w:pPr>
        <w:pStyle w:val="FirstParagraph"/>
      </w:pPr>
      <w:r>
        <w:t xml:space="preserve">The dataset is drawn from Table 5 in Spedding, Lim, and Nuttall</w:t>
      </w:r>
      <w:r>
        <w:t xml:space="preserve"> </w:t>
      </w:r>
      <w:hyperlink w:anchor="ref-2">
        <m:oMathPara>
          <m:oMathParaPr>
            <m:jc m:val="center"/>
          </m:oMathParaPr>
          <m:oMath>
            <m:r>
              <m:t>2</m:t>
            </m:r>
          </m:oMath>
        </m:oMathPara>
      </w:hyperlink>
      <w:r>
        <w:t xml:space="preserve">. The table reports expert ranking counts across five positions for five energy technologies. Solar photovoltaic received six first-place votes, two second-place votes, one third-place vote, zero fourth-place votes, and one fifth-place vote. Regenerative fuel cells received zero, three, five, one, and one votes across ranks one through five. Solar concentration thermal received two, two, one, three, and two. Nuclear energy source received two votes in each ranking position, producing a flat distribution. Solar concentration electric received zero, one, one, four, and three. The final scores reported in the source table are 4.32 for solar photovoltaic, 3.01 for regenerative fuel cells, 2.92 for solar concentration thermal, 2.91 for nuclear energy source, and 1.83 for solar concentration electric.</w:t>
      </w:r>
    </w:p>
    <w:p>
      <w:pPr>
        <w:pStyle w:val="FirstParagraph"/>
      </w:pPr>
      <w:r>
        <w:t xml:space="preserve">Each row in the analytic file is one technology by rank position. The source column is retained as the final column in the CSV. No illustrative row is included. The dependent variable, preference points, is constructed by multiplying vote count by inverse rank weight, where rank weight equals six minus rank position. This transformation preserves the real vote counts while reflecting the fact that a first-place vote carries more preference information than a fifth-place vote.</w:t>
      </w:r>
    </w:p>
    <w:bookmarkEnd w:id="63"/>
    <w:bookmarkStart w:id="64" w:name="method"/>
    <w:p>
      <w:pPr>
        <w:pStyle w:val="Heading2"/>
      </w:pPr>
      <w:r>
        <w:t xml:space="preserve">Method</w:t>
      </w:r>
    </w:p>
    <w:p>
      <w:pPr>
        <w:pStyle w:val="FirstParagraph"/>
      </w:pPr>
      <w:r>
        <w:t xml:space="preserve">The model is robust OLS. Preference points are regressed on rank weight, final score, the interaction between rank weight and final score, and an indicator for the nuclear energy source. The interaction term tests whether technologies with higher final scores accumulate preference points at more preferred rank positions. The nuclear indicator asks whether nuclear power has an independent residual premium or discount after the published score and rank structure are included.</w:t>
      </w:r>
    </w:p>
    <w:p>
      <w:pPr>
        <w:pStyle w:val="BodyText"/>
      </w:pPr>
      <w:r>
        <w:t xml:space="preserve">The model is descriptive. It does not infer a causal effect of nuclear status on expert preferences, and it does not estimate the cost of a fission surface power system. Its purpose is to translate a published ranking table into a quantitative signal about preference concentration. That signal can then inform the dissertation’s real-options logic.</w:t>
      </w:r>
    </w:p>
    <w:bookmarkEnd w:id="64"/>
    <w:bookmarkStart w:id="65" w:name="findings"/>
    <w:p>
      <w:pPr>
        <w:pStyle w:val="Heading2"/>
      </w:pPr>
      <w:r>
        <w:t xml:space="preserve">Findings</w:t>
      </w:r>
    </w:p>
    <w:p>
      <w:pPr>
        <w:pStyle w:val="FirstParagraph"/>
      </w:pPr>
      <w:r>
        <w:t xml:space="preserve">The model fits the ranking table moderately well for a small design matrix. N = 25, R2 = 0.5649, adjusted R2 = 0.4779, F = 3.7240, and F p = 0.0201. The interaction between rank weight and final score is the strongest term. Its coefficient is 3.0668, standard error 1.1012, t = 2.7850, p = 0.00535, and 95 percent confidence interval from 0.9085 to 5.2251. This shows that preference points increase when a high final-score technology receives votes in more preferred rank positions.</w:t>
      </w:r>
    </w:p>
    <w:p>
      <w:pPr>
        <w:pStyle w:val="BodyText"/>
      </w:pPr>
      <w:r>
        <w:t xml:space="preserve">The nuclear indicator is not statistically distinguishable from zero. Its coefficient is 0.2617, standard error 1.0995, t = 0.2380, p = 0.8119, with confidence interval from -1.8933 to 2.4166. This result is consistent with the raw table: nuclear power receives two votes at every rank position. It is neither concentrated at the top nor concentrated at the bottom. The flat distribution is exactly the pattern that a static ranking can obscure.</w:t>
      </w:r>
    </w:p>
    <w:bookmarkEnd w:id="65"/>
    <w:bookmarkStart w:id="66" w:name="interpretation"/>
    <w:p>
      <w:pPr>
        <w:pStyle w:val="Heading2"/>
      </w:pPr>
      <w:r>
        <w:t xml:space="preserve">Interpretation</w:t>
      </w:r>
    </w:p>
    <w:p>
      <w:pPr>
        <w:pStyle w:val="FirstParagraph"/>
      </w:pPr>
      <w:r>
        <w:t xml:space="preserve">Solar photovoltaic is the clear leader in the source table, and that fact should not be minimized. The Delphi group expected solar PV to be a significant contributor to outpost power</w:t>
      </w:r>
      <w:r>
        <w:t xml:space="preserve"> </w:t>
      </w:r>
      <w:hyperlink w:anchor="ref-2">
        <m:oMathPara>
          <m:oMathParaPr>
            <m:jc m:val="center"/>
          </m:oMathParaPr>
          <m:oMath>
            <m:r>
              <m:t>2</m:t>
            </m:r>
          </m:oMath>
        </m:oMathPara>
      </w:hyperlink>
      <w:r>
        <w:t xml:space="preserve">. Yet the nuclear evidence is not a simple rejection. It is dispersed. Some experts ranked it high, some ranked it low, and the resulting final score sits near solar concentration thermal and regenerative fuel cells. That dispersion supports an option-aware interpretation. A program manager facing a costly and irreversible nuclear commitment should be wary of committing too early if the expert community is not aligned on nuclear’s role.</w:t>
      </w:r>
    </w:p>
    <w:p>
      <w:pPr>
        <w:pStyle w:val="FirstParagraph"/>
      </w:pPr>
      <w:r>
        <w:t xml:space="preserve">The result also fits the broader lunar infrastructure context. Shackleton-region observatory concepts and lunar STM architectures both describe power as an enabling dependency for surface operations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Radioisotope and nuclear generator studies show continued technical interest in nuclear power for lunar mobility and surface systems</w:t>
      </w:r>
      <w:r>
        <w:t xml:space="preserve"> </w:t>
      </w:r>
      <w:hyperlink w:anchor="ref-4">
        <m:oMathPara>
          <m:oMathParaPr>
            <m:jc m:val="center"/>
          </m:oMathParaPr>
          <m:oMath>
            <m:r>
              <m:t>4</m:t>
            </m:r>
          </m:oMath>
        </m:oMathPara>
      </w:hyperlink>
      <w:r>
        <w:t xml:space="preserve">. Space-economy forecasts and sustainability discussions place lunar power inside wider infrastructure and market uncertainty</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The real-options contribution is to ask what the program should do while those uncertainties remain unresolved.</w:t>
      </w:r>
    </w:p>
    <w:bookmarkEnd w:id="66"/>
    <w:bookmarkStart w:id="67" w:name="limitations"/>
    <w:p>
      <w:pPr>
        <w:pStyle w:val="Heading2"/>
      </w:pPr>
      <w:r>
        <w:t xml:space="preserve">Limitations</w:t>
      </w:r>
    </w:p>
    <w:p>
      <w:pPr>
        <w:pStyle w:val="FirstParagraph"/>
      </w:pPr>
      <w:r>
        <w:t xml:space="preserve">This paper uses one Delphi ranking table. It does not measure reactor capital cost, launch cost, political risk, licensing, safety review, thermal performance, or kilowatt-hour price. It also does not estimate demand for oxygen production or mobility loads directly. The rank table is evidence of expert preference dispersion, not a full investment model. The model should therefore be read as a diagnostic input to option valuation.</w:t>
      </w:r>
    </w:p>
    <w:bookmarkEnd w:id="67"/>
    <w:bookmarkStart w:id="68" w:name="policy-use"/>
    <w:p>
      <w:pPr>
        <w:pStyle w:val="Heading2"/>
      </w:pPr>
      <w:r>
        <w:t xml:space="preserve">Policy Use</w:t>
      </w:r>
    </w:p>
    <w:p>
      <w:pPr>
        <w:pStyle w:val="FirstParagraph"/>
      </w:pPr>
      <w:r>
        <w:t xml:space="preserve">The practical use of this result is not to choose solar or nuclear from the regression alone. The practical use is to identify an information state. Solar photovoltaic appears as the favored near-term contributor, while nuclear remains neither dominant nor discarded. A program that commits fully to nuclear before demand and site information mature may pay an avoidable irreversibility cost. A program that drops nuclear entirely may lose resilience for lunar night, high-load ISRU, mobility, and surface infrastructure. The option interpretation occupies the middle ground. It recommends staged investment, technology maturation, and decision rights that preserve the ability to exercise the nuclear option when information improves. That is the governance value of a preference-dispersion paper: it turns a qualitative disagreement into a measurable reason to keep flexibility alive.</w:t>
      </w:r>
    </w:p>
    <w:bookmarkEnd w:id="68"/>
    <w:bookmarkStart w:id="69" w:name="conclusion"/>
    <w:p>
      <w:pPr>
        <w:pStyle w:val="Heading2"/>
      </w:pPr>
      <w:r>
        <w:t xml:space="preserve">Conclusion</w:t>
      </w:r>
    </w:p>
    <w:p>
      <w:pPr>
        <w:pStyle w:val="FirstParagraph"/>
      </w:pPr>
      <w:r>
        <w:t xml:space="preserve">The evidence supports the dissertation’s waiting thesis. Nuclear power is not eliminated by expert ranking evidence, but neither is it ranked with the concentrated confidence of solar photovoltaic. The flat nuclear distribution creates a programmatic condition in which waiting has value: the agency can preserve future access to nuclear surface power while learning more about demand, cost, site illumination, and political acceptability. In real-options terms, ambiguity is not a defect in the analysis. It is the source of the option premium.</w:t>
      </w:r>
    </w:p>
    <w:bookmarkEnd w:id="69"/>
    <w:bookmarkStart w:id="80" w:name="references"/>
    <w:p>
      <w:pPr>
        <w:pStyle w:val="Heading2"/>
      </w:pPr>
      <w:r>
        <w:t xml:space="preserve">References</w:t>
      </w:r>
    </w:p>
    <w:p>
      <w:pPr>
        <w:pStyle w:val="FirstParagraph"/>
      </w:pPr>
      <w:bookmarkStart w:id="70" w:name="ref-1"/>
      <w:bookmarkEnd w:id="70"/>
      <w:r>
        <w:t xml:space="preserve">1. J. E. Van Cleve et al.,</w:t>
      </w:r>
      <w:r>
        <w:t xml:space="preserve"> </w:t>
      </w:r>
      <w:r>
        <w:t xml:space="preserve">“A Year in the Life of the Shackleton Space Domain Awareness Station,”</w:t>
      </w:r>
      <w:r>
        <w:t xml:space="preserve"> </w:t>
      </w:r>
      <w:r>
        <w:t xml:space="preserve">Proc. Advanced Maui Optical and Space Surveillance Technologies Conference, 2022.</w:t>
      </w:r>
    </w:p>
    <w:p>
      <w:pPr>
        <w:pStyle w:val="BodyText"/>
      </w:pPr>
      <w:bookmarkStart w:id="71" w:name="ref-2"/>
      <w:bookmarkEnd w:id="71"/>
      <w:r>
        <w:t xml:space="preserve">2.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72">
        <w:r>
          <w:rPr>
            <w:rStyle w:val="Hyperlink"/>
          </w:rPr>
          <w:t xml:space="preserve">10.1016/j.actaastro.2021.01.009</w:t>
        </w:r>
      </w:hyperlink>
    </w:p>
    <w:p>
      <w:pPr>
        <w:pStyle w:val="BodyText"/>
      </w:pPr>
      <w:bookmarkStart w:id="73" w:name="ref-3"/>
      <w:bookmarkEnd w:id="73"/>
      <w:r>
        <w:t xml:space="preserve">3.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Conference, 2024. doi:</w:t>
      </w:r>
      <w:r>
        <w:t xml:space="preserve"> </w:t>
      </w:r>
      <w:hyperlink r:id="rId74">
        <w:r>
          <w:rPr>
            <w:rStyle w:val="Hyperlink"/>
          </w:rPr>
          <w:t xml:space="preserve">10.64861/RBTM5104</w:t>
        </w:r>
      </w:hyperlink>
    </w:p>
    <w:p>
      <w:pPr>
        <w:pStyle w:val="BodyText"/>
      </w:pPr>
      <w:bookmarkStart w:id="75" w:name="ref-4"/>
      <w:bookmarkEnd w:id="75"/>
      <w:r>
        <w:t xml:space="preserve">4. R. Mesalam et al.,</w:t>
      </w:r>
      <w:r>
        <w:t xml:space="preserve"> </w:t>
      </w:r>
      <w:r>
        <w:t xml:space="preserve">“Americium fuelled radioisotope stirling generator for lunar surface mobility systems,”</w:t>
      </w:r>
      <w:r>
        <w:t xml:space="preserve"> </w:t>
      </w:r>
      <w:r>
        <w:t xml:space="preserve">Acta Astronautica, vol. 228, 2024. doi:</w:t>
      </w:r>
      <w:r>
        <w:t xml:space="preserve"> </w:t>
      </w:r>
      <w:hyperlink r:id="rId76">
        <w:r>
          <w:rPr>
            <w:rStyle w:val="Hyperlink"/>
          </w:rPr>
          <w:t xml:space="preserve">10.1016/j.actaastro.2024.12.001</w:t>
        </w:r>
      </w:hyperlink>
    </w:p>
    <w:p>
      <w:pPr>
        <w:pStyle w:val="BodyText"/>
      </w:pPr>
      <w:bookmarkStart w:id="77" w:name="ref-5"/>
      <w:bookmarkEnd w:id="77"/>
      <w:r>
        <w:t xml:space="preserve">5. Orbital Commerce and Economic Activity,</w:t>
      </w:r>
      <w:r>
        <w:t xml:space="preserve"> </w:t>
      </w:r>
      <w:r>
        <w:t xml:space="preserve">“Forecasting the Space Economy,”</w:t>
      </w:r>
      <w:r>
        <w:t xml:space="preserve"> </w:t>
      </w:r>
      <w:r>
        <w:t xml:space="preserve">Space Economy Papers source SD08.</w:t>
      </w:r>
    </w:p>
    <w:p>
      <w:pPr>
        <w:pStyle w:val="BodyText"/>
      </w:pPr>
      <w:bookmarkStart w:id="78" w:name="ref-6"/>
      <w:bookmarkEnd w:id="78"/>
      <w:r>
        <w:t xml:space="preserve">6.</w:t>
      </w:r>
      <w:r>
        <w:t xml:space="preserve"> </w:t>
      </w:r>
      <w:r>
        <w:t xml:space="preserve">“The Role of Space in Driving Sustainability, Security, and Development,”</w:t>
      </w:r>
      <w:r>
        <w:t xml:space="preserve"> </w:t>
      </w:r>
      <w:r>
        <w:t xml:space="preserve">Space Economy Papers source SD13.</w:t>
      </w:r>
    </w:p>
    <w:p>
      <w:pPr>
        <w:pStyle w:val="BodyText"/>
      </w:pPr>
      <w:bookmarkStart w:id="79" w:name="ref-7"/>
      <w:bookmarkEnd w:id="79"/>
      <w:r>
        <w:t xml:space="preserve">7. A. K. Dixit and R. S. Pindyck, Investment under Uncertainty, Princeton University Press, 1994.</w:t>
      </w:r>
    </w:p>
    <w:bookmarkEnd w:id="80"/>
    <w:bookmarkStart w:id="81" w:name="specification"/>
    <w:p>
      <w:pPr>
        <w:pStyle w:val="Heading2"/>
      </w:pPr>
      <w:r>
        <w:t xml:space="preserve">Specification</w:t>
      </w:r>
    </w:p>
    <w:p>
      <w:pPr>
        <w:pStyle w:val="FirstParagraph"/>
      </w:pPr>
      <m:oMathPara>
        <m:oMathParaPr>
          <m:jc m:val="center"/>
        </m:oMathParaPr>
        <m:oMath>
          <m:sSub>
            <m:e>
              <m:r>
                <m:t>P</m:t>
              </m:r>
            </m:e>
            <m:sub>
              <m:r>
                <m:t>i</m:t>
              </m:r>
            </m:sub>
          </m:sSub>
          <m:r>
            <m:rPr>
              <m:sty m:val="p"/>
            </m:rPr>
            <m:t>=</m:t>
          </m:r>
          <m:r>
            <m:t>α</m:t>
          </m:r>
          <m:r>
            <m:rPr>
              <m:sty m:val="p"/>
            </m:rPr>
            <m:t>+</m:t>
          </m:r>
          <m:sSub>
            <m:e>
              <m:r>
                <m:t>β</m:t>
              </m:r>
            </m:e>
            <m:sub>
              <m:r>
                <m:t>1</m:t>
              </m:r>
            </m:sub>
          </m:sSub>
          <m:sSub>
            <m:e>
              <m:r>
                <m:t>W</m:t>
              </m:r>
            </m:e>
            <m:sub>
              <m:r>
                <m:t>i</m:t>
              </m:r>
            </m:sub>
          </m:sSub>
          <m:r>
            <m:rPr>
              <m:sty m:val="p"/>
            </m:rPr>
            <m:t>+</m:t>
          </m:r>
          <m:sSub>
            <m:e>
              <m:r>
                <m:t>β</m:t>
              </m:r>
            </m:e>
            <m:sub>
              <m:r>
                <m:t>2</m:t>
              </m:r>
            </m:sub>
          </m:sSub>
          <m:sSub>
            <m:e>
              <m:r>
                <m:t>S</m:t>
              </m:r>
            </m:e>
            <m:sub>
              <m:r>
                <m:t>i</m:t>
              </m:r>
            </m:sub>
          </m:sSub>
          <m:r>
            <m:rPr>
              <m:sty m:val="p"/>
            </m:rPr>
            <m:t>+</m:t>
          </m:r>
          <m:sSub>
            <m:e>
              <m:r>
                <m:t>β</m:t>
              </m:r>
            </m:e>
            <m:sub>
              <m:r>
                <m:t>3</m:t>
              </m:r>
            </m:sub>
          </m:sSub>
          <m:r>
            <m:rPr>
              <m:sty m:val="p"/>
            </m:rPr>
            <m:t>(</m:t>
          </m:r>
          <m:sSub>
            <m:e>
              <m:r>
                <m:t>W</m:t>
              </m:r>
            </m:e>
            <m:sub>
              <m:r>
                <m:t>i</m:t>
              </m:r>
            </m:sub>
          </m:sSub>
          <m:r>
            <m:rPr>
              <m:sty m:val="p"/>
            </m:rPr>
            <m:t>×</m:t>
          </m:r>
          <m:sSub>
            <m:e>
              <m:r>
                <m:t>S</m:t>
              </m:r>
            </m:e>
            <m:sub>
              <m:r>
                <m:t>i</m:t>
              </m:r>
            </m:sub>
          </m:sSub>
          <m:r>
            <m:rPr>
              <m:sty m:val="p"/>
            </m:rPr>
            <m:t>)</m:t>
          </m:r>
          <m:r>
            <m:rPr>
              <m:sty m:val="p"/>
            </m:rPr>
            <m:t>+</m:t>
          </m:r>
          <m:sSub>
            <m:e>
              <m:r>
                <m:t>β</m:t>
              </m:r>
            </m:e>
            <m:sub>
              <m:r>
                <m:t>4</m:t>
              </m:r>
            </m:sub>
          </m:sSub>
          <m:sSub>
            <m:e>
              <m:r>
                <m:t>N</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21.6018</w:t>
            </w:r>
          </w:p>
        </w:tc>
        <w:tc>
          <w:tcPr>
            <w:tcW w:w="0" w:type="auto"/>
          </w:tcPr>
          <w:p>
            <w:pPr>
              <w:spacing w:line="240" w:lineRule="auto" w:before="0" w:after="0"/>
              <w:pStyle w:val="Compact"/>
            </w:pPr>
            <w:r>
              <w:rPr>
                <w:sz w:val="20"/>
                <w:szCs w:val="20"/>
              </w:rPr>
              <w:t xml:space="preserve">8.4285</w:t>
            </w:r>
          </w:p>
        </w:tc>
        <w:tc>
          <w:tcPr>
            <w:tcW w:w="0" w:type="auto"/>
          </w:tcPr>
          <w:p>
            <w:pPr>
              <w:spacing w:line="240" w:lineRule="auto" w:before="0" w:after="0"/>
              <w:pStyle w:val="Compact"/>
            </w:pPr>
            <w:r>
              <w:rPr>
                <w:sz w:val="20"/>
                <w:szCs w:val="20"/>
              </w:rPr>
              <w:t xml:space="preserve">2.563</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[5.0823, 38.1213]</w:t>
            </w:r>
          </w:p>
        </w:tc>
      </w:tr>
      <w:tr>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-7.1542</w:t>
            </w:r>
          </w:p>
        </w:tc>
        <w:tc>
          <w:tcPr>
            <w:tcW w:w="0" w:type="auto"/>
          </w:tcPr>
          <w:p>
            <w:pPr>
              <w:spacing w:line="240" w:lineRule="auto" w:before="0" w:after="0"/>
              <w:pStyle w:val="Compact"/>
            </w:pPr>
            <w:r>
              <w:rPr>
                <w:sz w:val="20"/>
                <w:szCs w:val="20"/>
              </w:rPr>
              <w:t xml:space="preserve">2.9431</w:t>
            </w:r>
          </w:p>
        </w:tc>
        <w:tc>
          <w:tcPr>
            <w:tcW w:w="0" w:type="auto"/>
          </w:tcPr>
          <w:p>
            <w:pPr>
              <w:spacing w:line="240" w:lineRule="auto" w:before="0" w:after="0"/>
              <w:pStyle w:val="Compact"/>
            </w:pPr>
            <w:r>
              <w:rPr>
                <w:sz w:val="20"/>
                <w:szCs w:val="20"/>
              </w:rPr>
              <w:t xml:space="preserve">-2.4309</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[-12.9225, -1.3859]</w:t>
            </w:r>
          </w:p>
        </w:tc>
      </w:tr>
      <w:tr>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-7.2762</w:t>
            </w:r>
          </w:p>
        </w:tc>
        <w:tc>
          <w:tcPr>
            <w:tcW w:w="0" w:type="auto"/>
          </w:tcPr>
          <w:p>
            <w:pPr>
              <w:spacing w:line="240" w:lineRule="auto" w:before="0" w:after="0"/>
              <w:pStyle w:val="Compact"/>
            </w:pPr>
            <w:r>
              <w:rPr>
                <w:sz w:val="20"/>
                <w:szCs w:val="20"/>
              </w:rPr>
              <w:t xml:space="preserve">2.9974</w:t>
            </w:r>
          </w:p>
        </w:tc>
        <w:tc>
          <w:tcPr>
            <w:tcW w:w="0" w:type="auto"/>
          </w:tcPr>
          <w:p>
            <w:pPr>
              <w:spacing w:line="240" w:lineRule="auto" w:before="0" w:after="0"/>
              <w:pStyle w:val="Compact"/>
            </w:pPr>
            <w:r>
              <w:rPr>
                <w:sz w:val="20"/>
                <w:szCs w:val="20"/>
              </w:rPr>
              <w:t xml:space="preserve">-2.4275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[-13.151, -1.4014]</w:t>
            </w:r>
          </w:p>
        </w:tc>
      </w:tr>
      <w:tr>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3.0668</w:t>
            </w:r>
          </w:p>
        </w:tc>
        <w:tc>
          <w:tcPr>
            <w:tcW w:w="0" w:type="auto"/>
          </w:tcPr>
          <w:p>
            <w:pPr>
              <w:spacing w:line="240" w:lineRule="auto" w:before="0" w:after="0"/>
              <w:pStyle w:val="Compact"/>
            </w:pPr>
            <w:r>
              <w:rPr>
                <w:sz w:val="20"/>
                <w:szCs w:val="20"/>
              </w:rPr>
              <w:t xml:space="preserve">1.1012</w:t>
            </w:r>
          </w:p>
        </w:tc>
        <w:tc>
          <w:tcPr>
            <w:tcW w:w="0" w:type="auto"/>
          </w:tcPr>
          <w:p>
            <w:pPr>
              <w:spacing w:line="240" w:lineRule="auto" w:before="0" w:after="0"/>
              <w:pStyle w:val="Compact"/>
            </w:pPr>
            <w:r>
              <w:rPr>
                <w:sz w:val="20"/>
                <w:szCs w:val="20"/>
              </w:rPr>
              <w:t xml:space="preserve">2.785</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[0.9085, 5.2251]</w:t>
            </w:r>
          </w:p>
        </w:tc>
      </w:tr>
      <w:tr>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0.2617</w:t>
            </w:r>
          </w:p>
        </w:tc>
        <w:tc>
          <w:tcPr>
            <w:tcW w:w="0" w:type="auto"/>
          </w:tcPr>
          <w:p>
            <w:pPr>
              <w:spacing w:line="240" w:lineRule="auto" w:before="0" w:after="0"/>
              <w:pStyle w:val="Compact"/>
            </w:pPr>
            <w:r>
              <w:rPr>
                <w:sz w:val="20"/>
                <w:szCs w:val="20"/>
              </w:rPr>
              <w:t xml:space="preserve">1.0995</w:t>
            </w:r>
          </w:p>
        </w:tc>
        <w:tc>
          <w:tcPr>
            <w:tcW w:w="0" w:type="auto"/>
          </w:tcPr>
          <w:p>
            <w:pPr>
              <w:spacing w:line="240" w:lineRule="auto" w:before="0" w:after="0"/>
              <w:pStyle w:val="Compact"/>
            </w:pPr>
            <w:r>
              <w:rPr>
                <w:sz w:val="20"/>
                <w:szCs w:val="20"/>
              </w:rPr>
              <w:t xml:space="preserve">0.238</w:t>
            </w:r>
          </w:p>
        </w:tc>
        <w:tc>
          <w:tcPr>
            <w:tcW w:w="0" w:type="auto"/>
          </w:tcPr>
          <w:p>
            <w:pPr>
              <w:spacing w:line="240" w:lineRule="auto" w:before="0" w:after="0"/>
              <w:pStyle w:val="Compact"/>
            </w:pPr>
            <w:r>
              <w:rPr>
                <w:sz w:val="20"/>
                <w:szCs w:val="20"/>
              </w:rPr>
              <w:t xml:space="preserve">0.8119</w:t>
            </w:r>
          </w:p>
        </w:tc>
        <w:tc>
          <w:tcPr>
            <w:tcW w:w="0" w:type="auto"/>
          </w:tcPr>
          <w:p>
            <w:pPr>
              <w:spacing w:line="240" w:lineRule="auto" w:before="0" w:after="0"/>
              <w:pStyle w:val="Compact"/>
            </w:pPr>
            <w:r>
              <w:rPr>
                <w:sz w:val="20"/>
                <w:szCs w:val="20"/>
              </w:rPr>
              <w:t xml:space="preserve">[-1.8933, 2.4166]</w:t>
            </w:r>
          </w:p>
        </w:tc>
      </w:tr>
    </w:tbl>
    <w:p>
      <w:pPr>
        <w:pStyle w:val="BodyText"/>
      </w:pPr>
      <w:r>
        <w:t xml:space="preserve">Fit: N = 25 R2 = 0.5649 R2_adj = 0.4779 F = 3.724 F_p = 0.0201</w:t>
      </w:r>
    </w:p>
    <w:p>
      <w:pPr>
        <w:pStyle w:val="CaptionedFigure"/>
      </w:pPr>
      <w:r>
        <w:drawing>
          <wp:inline>
            <wp:extent cx="5669280" cy="3657600"/>
            <wp:effectExtent b="0" l="0" r="0" t="0"/>
            <wp:docPr descr="Figure 1. Figure 1. Rank-weighted final score and preference points in Delphi energy technology rankings." title="" id="83" name="Picture"/>
            <a:graphic>
              <a:graphicData uri="http://schemas.openxmlformats.org/drawingml/2006/picture">
                <pic:pic>
                  <pic:nvPicPr>
                    <pic:cNvPr descr="D:\Claude_Code\brain\collegium\candidates\dissertations\CISLUNAR_DEV_02\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Rank-weighted final score and preference points in Delphi energy technology rankings.</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technology</w:t>
            </w:r>
          </w:p>
        </w:tc>
        <w:tc>
          <w:tcPr>
            <w:tcW w:w="0" w:type="auto"/>
          </w:tcPr>
          <w:p>
            <w:pPr>
              <w:spacing w:line="240" w:lineRule="auto" w:before="0" w:after="0"/>
              <w:pStyle w:val="Compact"/>
            </w:pPr>
            <w:r>
              <w:rPr>
                <w:sz w:val="20"/>
                <w:szCs w:val="20"/>
              </w:rPr>
              <w:t xml:space="preserve">rank_position</w:t>
            </w:r>
          </w:p>
        </w:tc>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vote_count</w:t>
            </w:r>
          </w:p>
        </w:tc>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change_from_round2</w:t>
            </w:r>
          </w:p>
        </w:tc>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is_solar_pv</w:t>
            </w:r>
          </w:p>
        </w:tc>
        <w:tc>
          <w:tcPr>
            <w:tcW w:w="0" w:type="auto"/>
          </w:tcPr>
          <w:p>
            <w:pPr>
              <w:spacing w:line="240" w:lineRule="auto" w:before="0" w:after="0"/>
              <w:pStyle w:val="Compact"/>
            </w:pPr>
            <w:r>
              <w:rPr>
                <w:sz w:val="20"/>
                <w:szCs w:val="20"/>
              </w:rPr>
              <w:t xml:space="preserve">is_storage</w:t>
            </w:r>
          </w:p>
        </w:tc>
        <w:tc>
          <w:tcPr>
            <w:tcW w:w="0" w:type="auto"/>
          </w:tcPr>
          <w:p>
            <w:pPr>
              <w:spacing w:line="240" w:lineRule="auto" w:before="0" w:after="0"/>
              <w:pStyle w:val="Compact"/>
            </w:pPr>
            <w:r>
              <w:rPr>
                <w:sz w:val="20"/>
                <w:szCs w:val="20"/>
              </w:rPr>
              <w:t xml:space="preserve">rank_weight_x_nuclear</w:t>
            </w:r>
          </w:p>
        </w:tc>
        <w:tc>
          <w:tcPr>
            <w:tcW w:w="0" w:type="auto"/>
          </w:tcPr>
          <w:p>
            <w:pPr>
              <w:spacing w:line="240" w:lineRule="auto" w:before="0" w:after="0"/>
              <w:pStyle w:val="Compact"/>
            </w:pPr>
            <w:r>
              <w:rPr>
                <w:sz w:val="20"/>
                <w:szCs w:val="20"/>
              </w:rPr>
              <w:t xml:space="preserve">rank_score_points</w:t>
            </w:r>
          </w:p>
        </w:tc>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17.28</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12.96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9.03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6.02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11.68</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11.64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7.32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rank_score_points</w:t>
            </w:r>
          </w:p>
        </w:tc>
        <w:tc>
          <w:tcPr>
            <w:tcW w:w="0" w:type="auto"/>
          </w:tcPr>
          <w:p>
            <w:pPr>
              <w:spacing w:line="240" w:lineRule="auto" w:before="0" w:after="0"/>
              <w:pStyle w:val="Compact"/>
            </w:pPr>
            <w:r>
              <w:rPr>
                <w:sz w:val="20"/>
                <w:szCs w:val="20"/>
              </w:rPr>
              <w:t xml:space="preserve">Preference points equal vote count times inverse rank weight.</w:t>
            </w:r>
          </w:p>
        </w:tc>
        <w:tc>
          <w:tcPr>
            <w:tcW w:w="0" w:type="auto"/>
          </w:tcPr>
          <w:p>
            <w:pPr>
              <w:spacing w:line="240" w:lineRule="auto" w:before="0" w:after="0"/>
              <w:pStyle w:val="Compact"/>
            </w:pPr>
            <w:r>
              <w:rPr>
                <w:sz w:val="20"/>
                <w:szCs w:val="20"/>
              </w:rPr>
              <w:t xml:space="preserve">Constructed from Spedding et al. 2021 Table 5 rank counts.</w:t>
            </w:r>
          </w:p>
        </w:tc>
      </w:tr>
      <w:tr>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Inverse rank score, equal to 6 minus rank position so higher values indicate more preferred ranks.</w:t>
            </w:r>
          </w:p>
        </w:tc>
        <w:tc>
          <w:tcPr>
            <w:tcW w:w="0" w:type="auto"/>
          </w:tcPr>
          <w:p>
            <w:pPr>
              <w:spacing w:line="240" w:lineRule="auto" w:before="0" w:after="0"/>
              <w:pStyle w:val="Compact"/>
            </w:pPr>
            <w:r>
              <w:rPr>
                <w:sz w:val="20"/>
                <w:szCs w:val="20"/>
              </w:rPr>
              <w:t xml:space="preserve">Constructed from Spedding et al. 2021 Table 5 rank columns.</w:t>
            </w:r>
          </w:p>
        </w:tc>
      </w:tr>
      <w:tr>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Published final score for each energy technology ranking.</w:t>
            </w:r>
          </w:p>
        </w:tc>
        <w:tc>
          <w:tcPr>
            <w:tcW w:w="0" w:type="auto"/>
          </w:tcPr>
          <w:p>
            <w:pPr>
              <w:spacing w:line="240" w:lineRule="auto" w:before="0" w:after="0"/>
              <w:pStyle w:val="Compact"/>
            </w:pPr>
            <w:r>
              <w:rPr>
                <w:sz w:val="20"/>
                <w:szCs w:val="20"/>
              </w:rPr>
              <w:t xml:space="preserve">Spedding et al. 2021 Table 5.</w:t>
            </w:r>
          </w:p>
        </w:tc>
      </w:tr>
      <w:tr>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Interaction between rank weight and the published final score.</w:t>
            </w:r>
          </w:p>
        </w:tc>
        <w:tc>
          <w:tcPr>
            <w:tcW w:w="0" w:type="auto"/>
          </w:tcPr>
          <w:p>
            <w:pPr>
              <w:spacing w:line="240" w:lineRule="auto" w:before="0" w:after="0"/>
              <w:pStyle w:val="Compact"/>
            </w:pPr>
            <w:r>
              <w:rPr>
                <w:sz w:val="20"/>
                <w:szCs w:val="20"/>
              </w:rPr>
              <w:t xml:space="preserve">Constructed from Table 5 values.</w:t>
            </w:r>
          </w:p>
        </w:tc>
      </w:tr>
      <w:tr>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Indicator for the nuclear energy source row.</w:t>
            </w:r>
          </w:p>
        </w:tc>
        <w:tc>
          <w:tcPr>
            <w:tcW w:w="0" w:type="auto"/>
          </w:tcPr>
          <w:p>
            <w:pPr>
              <w:spacing w:line="240" w:lineRule="auto" w:before="0" w:after="0"/>
              <w:pStyle w:val="Compact"/>
            </w:pPr>
            <w:r>
              <w:rPr>
                <w:sz w:val="20"/>
                <w:szCs w:val="20"/>
              </w:rPr>
              <w:t xml:space="preserve">Constructed from the technology label in Table 5.</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21.6018</w:t>
            </w:r>
          </w:p>
        </w:tc>
        <w:tc>
          <w:tcPr>
            <w:tcW w:w="0" w:type="auto"/>
          </w:tcPr>
          <w:p>
            <w:pPr>
              <w:spacing w:line="240" w:lineRule="auto" w:before="0" w:after="0"/>
              <w:pStyle w:val="Compact"/>
            </w:pPr>
            <w:r>
              <w:rPr>
                <w:sz w:val="20"/>
                <w:szCs w:val="20"/>
              </w:rPr>
              <w:t xml:space="preserve">8.4285</w:t>
            </w:r>
          </w:p>
        </w:tc>
        <w:tc>
          <w:tcPr>
            <w:tcW w:w="0" w:type="auto"/>
          </w:tcPr>
          <w:p>
            <w:pPr>
              <w:spacing w:line="240" w:lineRule="auto" w:before="0" w:after="0"/>
              <w:pStyle w:val="Compact"/>
            </w:pPr>
            <w:r>
              <w:rPr>
                <w:sz w:val="20"/>
                <w:szCs w:val="20"/>
              </w:rPr>
              <w:t xml:space="preserve">2.563</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[5.0823, 38.1213]</w:t>
            </w:r>
          </w:p>
        </w:tc>
      </w:tr>
      <w:tr>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-7.1542</w:t>
            </w:r>
          </w:p>
        </w:tc>
        <w:tc>
          <w:tcPr>
            <w:tcW w:w="0" w:type="auto"/>
          </w:tcPr>
          <w:p>
            <w:pPr>
              <w:spacing w:line="240" w:lineRule="auto" w:before="0" w:after="0"/>
              <w:pStyle w:val="Compact"/>
            </w:pPr>
            <w:r>
              <w:rPr>
                <w:sz w:val="20"/>
                <w:szCs w:val="20"/>
              </w:rPr>
              <w:t xml:space="preserve">2.9431</w:t>
            </w:r>
          </w:p>
        </w:tc>
        <w:tc>
          <w:tcPr>
            <w:tcW w:w="0" w:type="auto"/>
          </w:tcPr>
          <w:p>
            <w:pPr>
              <w:spacing w:line="240" w:lineRule="auto" w:before="0" w:after="0"/>
              <w:pStyle w:val="Compact"/>
            </w:pPr>
            <w:r>
              <w:rPr>
                <w:sz w:val="20"/>
                <w:szCs w:val="20"/>
              </w:rPr>
              <w:t xml:space="preserve">-2.4309</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[-12.9225, -1.3859]</w:t>
            </w:r>
          </w:p>
        </w:tc>
      </w:tr>
      <w:tr>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-7.2762</w:t>
            </w:r>
          </w:p>
        </w:tc>
        <w:tc>
          <w:tcPr>
            <w:tcW w:w="0" w:type="auto"/>
          </w:tcPr>
          <w:p>
            <w:pPr>
              <w:spacing w:line="240" w:lineRule="auto" w:before="0" w:after="0"/>
              <w:pStyle w:val="Compact"/>
            </w:pPr>
            <w:r>
              <w:rPr>
                <w:sz w:val="20"/>
                <w:szCs w:val="20"/>
              </w:rPr>
              <w:t xml:space="preserve">2.9974</w:t>
            </w:r>
          </w:p>
        </w:tc>
        <w:tc>
          <w:tcPr>
            <w:tcW w:w="0" w:type="auto"/>
          </w:tcPr>
          <w:p>
            <w:pPr>
              <w:spacing w:line="240" w:lineRule="auto" w:before="0" w:after="0"/>
              <w:pStyle w:val="Compact"/>
            </w:pPr>
            <w:r>
              <w:rPr>
                <w:sz w:val="20"/>
                <w:szCs w:val="20"/>
              </w:rPr>
              <w:t xml:space="preserve">-2.4275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[-13.151, -1.4014]</w:t>
            </w:r>
          </w:p>
        </w:tc>
      </w:tr>
      <w:tr>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3.0668</w:t>
            </w:r>
          </w:p>
        </w:tc>
        <w:tc>
          <w:tcPr>
            <w:tcW w:w="0" w:type="auto"/>
          </w:tcPr>
          <w:p>
            <w:pPr>
              <w:spacing w:line="240" w:lineRule="auto" w:before="0" w:after="0"/>
              <w:pStyle w:val="Compact"/>
            </w:pPr>
            <w:r>
              <w:rPr>
                <w:sz w:val="20"/>
                <w:szCs w:val="20"/>
              </w:rPr>
              <w:t xml:space="preserve">1.1012</w:t>
            </w:r>
          </w:p>
        </w:tc>
        <w:tc>
          <w:tcPr>
            <w:tcW w:w="0" w:type="auto"/>
          </w:tcPr>
          <w:p>
            <w:pPr>
              <w:spacing w:line="240" w:lineRule="auto" w:before="0" w:after="0"/>
              <w:pStyle w:val="Compact"/>
            </w:pPr>
            <w:r>
              <w:rPr>
                <w:sz w:val="20"/>
                <w:szCs w:val="20"/>
              </w:rPr>
              <w:t xml:space="preserve">2.785</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[0.9085, 5.2251]</w:t>
            </w:r>
          </w:p>
        </w:tc>
      </w:tr>
      <w:tr>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0.2617</w:t>
            </w:r>
          </w:p>
        </w:tc>
        <w:tc>
          <w:tcPr>
            <w:tcW w:w="0" w:type="auto"/>
          </w:tcPr>
          <w:p>
            <w:pPr>
              <w:spacing w:line="240" w:lineRule="auto" w:before="0" w:after="0"/>
              <w:pStyle w:val="Compact"/>
            </w:pPr>
            <w:r>
              <w:rPr>
                <w:sz w:val="20"/>
                <w:szCs w:val="20"/>
              </w:rPr>
              <w:t xml:space="preserve">1.0995</w:t>
            </w:r>
          </w:p>
        </w:tc>
        <w:tc>
          <w:tcPr>
            <w:tcW w:w="0" w:type="auto"/>
          </w:tcPr>
          <w:p>
            <w:pPr>
              <w:spacing w:line="240" w:lineRule="auto" w:before="0" w:after="0"/>
              <w:pStyle w:val="Compact"/>
            </w:pPr>
            <w:r>
              <w:rPr>
                <w:sz w:val="20"/>
                <w:szCs w:val="20"/>
              </w:rPr>
              <w:t xml:space="preserve">0.238</w:t>
            </w:r>
          </w:p>
        </w:tc>
        <w:tc>
          <w:tcPr>
            <w:tcW w:w="0" w:type="auto"/>
          </w:tcPr>
          <w:p>
            <w:pPr>
              <w:spacing w:line="240" w:lineRule="auto" w:before="0" w:after="0"/>
              <w:pStyle w:val="Compact"/>
            </w:pPr>
            <w:r>
              <w:rPr>
                <w:sz w:val="20"/>
                <w:szCs w:val="20"/>
              </w:rPr>
              <w:t xml:space="preserve">0.8119</w:t>
            </w:r>
          </w:p>
        </w:tc>
        <w:tc>
          <w:tcPr>
            <w:tcW w:w="0" w:type="auto"/>
          </w:tcPr>
          <w:p>
            <w:pPr>
              <w:spacing w:line="240" w:lineRule="auto" w:before="0" w:after="0"/>
              <w:pStyle w:val="Compact"/>
            </w:pPr>
            <w:r>
              <w:rPr>
                <w:sz w:val="20"/>
                <w:szCs w:val="20"/>
              </w:rPr>
              <w:t xml:space="preserve">[-1.8933, 2.4166]</w:t>
            </w:r>
          </w:p>
        </w:tc>
      </w:tr>
    </w:tbl>
    <w:p>
      <w:pPr>
        <w:pStyle w:val="BodyText"/>
      </w:pPr>
      <w:r>
        <w:t xml:space="preserve">Fit: N = 25 R2 = 0.5649 R2_adj = 0.4779 F = 3.724 F_p = 0.0201</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1016/j.actaastro.2021.01.009" TargetMode="External" /><Relationship Type="http://schemas.openxmlformats.org/officeDocument/2006/relationships/hyperlink" Id="rId76" Target="https://doi.org/10.1016/j.actaastro.2024.12.001" TargetMode="External" /><Relationship Type="http://schemas.openxmlformats.org/officeDocument/2006/relationships/hyperlink" Id="rId74"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1.01.009" TargetMode="External" /><Relationship Type="http://schemas.openxmlformats.org/officeDocument/2006/relationships/hyperlink" Id="rId76" Target="https://doi.org/10.1016/j.actaastro.2024.12.001" TargetMode="External" /><Relationship Type="http://schemas.openxmlformats.org/officeDocument/2006/relationships/hyperlink" Id="rId74"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2026-06-27T21:52:44Z</dcterms:created>
  <dcterms:modified xsi:type="dcterms:W3CDTF">2026-06-27T21:52:44Z</dcterms:modified>
</cp:coreProperties>
</file>

<file path=docProps/custom.xml><?xml version="1.0" encoding="utf-8"?>
<Properties xmlns="http://schemas.openxmlformats.org/officeDocument/2006/custom-properties" xmlns:vt="http://schemas.openxmlformats.org/officeDocument/2006/docPropsVTypes"/>
</file>