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OPTION VALUE OF WAITING: REAL-OPTIONS VALUATION OF LUNAR SURFACE NUCLEAR POWER</w:t>
      </w:r>
    </w:p>
    <w:p>
      <w:pPr>
        <w:jc w:val="center"/>
      </w:pPr>
    </w:p>
    <w:p>
      <w:pPr>
        <w:jc w:val="center"/>
      </w:pPr>
      <w:r>
        <w:rPr>
          <w:rFonts w:ascii="Times New Roman" w:hAnsi="Times New Roman"/>
          <w:sz w:val="24"/>
        </w:rPr>
        <w:t>by</w:t>
      </w:r>
    </w:p>
    <w:p>
      <w:pPr>
        <w:jc w:val="center"/>
      </w:pPr>
      <w:r>
        <w:rPr>
          <w:rFonts w:ascii="Times New Roman" w:hAnsi="Times New Roman"/>
          <w:b/>
          <w:sz w:val="28"/>
        </w:rPr>
        <w:t>Suki Carrington</w:t>
      </w:r>
    </w:p>
    <w:p>
      <w:pPr>
        <w:jc w:val="center"/>
      </w:pPr>
      <w:r>
        <w:rPr>
          <w:rFonts w:ascii="Times New Roman" w:hAnsi="Times New Roman"/>
          <w:sz w:val="24"/>
        </w:rPr>
        <w:t>1B-LUN-141</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introduction"/>
    <w:p>
      <w:pPr>
        <w:pStyle w:val="Heading1"/>
        <w:spacing w:line="480" w:lineRule="auto"/>
      </w:pPr>
      <w:r>
        <w:t xml:space="preserve">Introduction</w:t>
      </w:r>
    </w:p>
    <w:p>
      <w:pPr>
        <w:pStyle w:val="FirstParagraph"/>
        <w:spacing w:line="480" w:lineRule="auto"/>
      </w:pPr>
      <w:r>
        <w:t xml:space="preserve">Lunar surface electrical power is the quiet gate on everything else. Take away a reliable supply of watts at the south pole and the rest of the architecture stops moving. The crew has no way to hold out through the fourteen-day night, the oxygen plant cannot draw breath, and rover, habitat, and communications relay all go dark together. Trace any ambition folded into the lunar architecture back far enough, from in-situ resource utilisation to a permanently occupied outpost, and it terminates in a question about kilowatts and what they cost. Deciding that question is the work of this dissertation, and one thread inside it above all: when to make a single irreversible choice.</w:t>
      </w:r>
    </w:p>
    <w:p>
      <w:pPr>
        <w:pStyle w:val="BodyText"/>
        <w:spacing w:line="480" w:lineRule="auto"/>
        <w:ind w:firstLine="720"/>
      </w:pPr>
      <w:r>
        <w:t xml:space="preserve">Two pathways compete for the role of primary power source at a 2040 lunar outpost. One is solar-plus-storage, sized against the peculiar illumination geometry of the polar highlands. A tower on a ridge there catches sunlight for a large fraction of the year, and still it faces eclipse intervals long enough to force heavy investment in energy storage</w:t>
      </w:r>
      <w:r>
        <w:t xml:space="preserve"> </w:t>
      </w:r>
      <w:hyperlink w:anchor="ref-1">
        <w:r>
          <w:rPr>
            <w:rStyle w:val="Hyperlink"/>
          </w:rPr>
          <w:t xml:space="preserve">[1]</w:t>
        </w:r>
      </w:hyperlink>
      <w:r>
        <w:t xml:space="preserve">. The rival is a fission surface power reactor in the ten-to-forty kilowatt class, a nuclear system that holds steady output through the night and under any sky, and that concept studies are now carrying toward a flight demonstration</w:t>
      </w:r>
      <w:r>
        <w:t xml:space="preserve"> </w:t>
      </w:r>
      <w:hyperlink w:anchor="ref-4">
        <w:r>
          <w:rPr>
            <w:rStyle w:val="Hyperlink"/>
          </w:rPr>
          <w:t xml:space="preserve">[4]</w:t>
        </w:r>
      </w:hyperlink>
      <w:r>
        <w:t xml:space="preserve">. Between the two, the engineering literature leans toward settled arithmetic: compute the levelised cost of energy for each, lay them side by side, pick the cheaper. That framing is what this study takes aim at.</w:t>
      </w:r>
    </w:p>
    <w:bookmarkStart w:id="61" w:name="the-problem"/>
    <w:p>
      <w:pPr>
        <w:pStyle w:val="Heading2"/>
        <w:spacing w:line="480" w:lineRule="auto"/>
      </w:pPr>
      <w:r>
        <w:t xml:space="preserve">The problem</w:t>
      </w:r>
    </w:p>
    <w:p>
      <w:pPr>
        <w:pStyle w:val="FirstParagraph"/>
        <w:spacing w:line="480" w:lineRule="auto"/>
      </w:pPr>
      <w:r>
        <w:t xml:space="preserve">The deterministic comparison prices a decision made under uncertainty as though the uncertainty were not there, and that is where it goes wrong. Three facts about the lunar power problem turn the mistake from a rounding error into a serious one.</w:t>
      </w:r>
    </w:p>
    <w:p>
      <w:pPr>
        <w:pStyle w:val="BodyText"/>
        <w:spacing w:line="480" w:lineRule="auto"/>
        <w:ind w:firstLine="720"/>
      </w:pPr>
      <w:r>
        <w:t xml:space="preserve">Begin with what a fission surface power reactor will actually cost to deliver, because nobody knows. Early concept studies supply the estimates, and they leave the plausible range wide. Move the storage-mass assumptions, the launch cadence, or the illumination record at the chosen landing site, and the cost ratio between a solar architecture and a nuclear one slides anywhere from rough parity to a factor of four</w:t>
      </w:r>
      <w:r>
        <w:t xml:space="preserve"> </w:t>
      </w:r>
      <w:hyperlink w:anchor="ref-1">
        <w:r>
          <w:rPr>
            <w:rStyle w:val="Hyperlink"/>
          </w:rPr>
          <w:t xml:space="preserve">[1]</w:t>
        </w:r>
      </w:hyperlink>
      <w:r>
        <w:t xml:space="preserve">. A band that wide is not error around a central estimate. It is real doubt about which pathway comes in cheaper.</w:t>
      </w:r>
    </w:p>
    <w:p>
      <w:pPr>
        <w:pStyle w:val="BodyText"/>
        <w:spacing w:line="480" w:lineRule="auto"/>
        <w:ind w:firstLine="720"/>
      </w:pPr>
      <w:r>
        <w:t xml:space="preserve">Then take the demand the power system exists to serve, which is uncertain in its own right, and most of that uncertainty rides on when in-situ resource utilisation arrives at scale. Put the question to the expert community through a structured elicitation and the answers scatter across more than a decade</w:t>
      </w:r>
      <w:r>
        <w:t xml:space="preserve"> </w:t>
      </w:r>
      <w:hyperlink w:anchor="ref-2">
        <w:r>
          <w:rPr>
            <w:rStyle w:val="Hyperlink"/>
          </w:rPr>
          <w:t xml:space="preserve">[2]</w:t>
        </w:r>
      </w:hyperlink>
      <w:r>
        <w:t xml:space="preserve">. Should oxygen extraction and regolith processing come early and grow fast, a large steady nuclear supply starts to look justified. Should they come late, a lighter solar architecture can carry the outpost for years before nuclear earns its keep.</w:t>
      </w:r>
    </w:p>
    <w:p>
      <w:pPr>
        <w:pStyle w:val="BodyText"/>
        <w:spacing w:line="480" w:lineRule="auto"/>
        <w:ind w:firstLine="720"/>
      </w:pPr>
      <w:r>
        <w:t xml:space="preserve">The nuclear commitment, finally, is close to irreversible. A program that funds reactor development, negotiates its launch, and clears its safety and licensing reviews cannot recover that capital, or the political effort behind it, if demand fails to show up on schedule. Recent design work on flexible oxygen-production facilities reaches the same conclusion from the demand side, finding that a lunar production system is worth much more when deployment flexibility is engineered into it, exactly because the operating environment refuses to sit still</w:t>
      </w:r>
      <w:r>
        <w:t xml:space="preserve"> </w:t>
      </w:r>
      <w:hyperlink w:anchor="ref-17">
        <w:r>
          <w:rPr>
            <w:rStyle w:val="Hyperlink"/>
          </w:rPr>
          <w:t xml:space="preserve">[17]</w:t>
        </w:r>
      </w:hyperlink>
      <w:r>
        <w:t xml:space="preserve">.</w:t>
      </w:r>
    </w:p>
    <w:p>
      <w:pPr>
        <w:pStyle w:val="BodyText"/>
        <w:spacing w:line="480" w:lineRule="auto"/>
        <w:ind w:firstLine="720"/>
      </w:pPr>
      <w:r>
        <w:t xml:space="preserve">Set those three facts beside one another and a familiar shape emerges. A costly, irreversible commitment. Uncertain demand behind it. New information arriving as time passes. Financial economics knows this structure well and predicts one thing about it plainly: the right to wait carries positive value, and a static net-present-value rule keeps nudging the decision-maker into committing too soon</w:t>
      </w:r>
      <w:r>
        <w:t xml:space="preserve"> </w:t>
      </w:r>
      <w:hyperlink w:anchor="ref-8">
        <w:r>
          <w:rPr>
            <w:rStyle w:val="Hyperlink"/>
          </w:rPr>
          <w:t xml:space="preserve">[8]</w:t>
        </w:r>
      </w:hyperlink>
      <w:r>
        <w:t xml:space="preserve">.</w:t>
      </w:r>
    </w:p>
    <w:bookmarkEnd w:id="61"/>
    <w:bookmarkStart w:id="62" w:name="the-stakes"/>
    <w:p>
      <w:pPr>
        <w:pStyle w:val="Heading2"/>
        <w:spacing w:line="480" w:lineRule="auto"/>
      </w:pPr>
      <w:r>
        <w:t xml:space="preserve">The stakes</w:t>
      </w:r>
    </w:p>
    <w:p>
      <w:pPr>
        <w:pStyle w:val="FirstParagraph"/>
        <w:spacing w:line="480" w:lineRule="auto"/>
      </w:pPr>
      <w:r>
        <w:t xml:space="preserve">None of this is confined to the seminar room. National space agencies, energy departments, and industry teams are pushing fission surface power toward a demonstration in the early 2030s, and the procurement record casts the decision as now-or-never, to be settled by a deterministic cost comparison</w:t>
      </w:r>
      <w:r>
        <w:t xml:space="preserve"> </w:t>
      </w:r>
      <w:hyperlink w:anchor="ref-4">
        <w:r>
          <w:rPr>
            <w:rStyle w:val="Hyperlink"/>
          </w:rPr>
          <w:t xml:space="preserve">[4]</w:t>
        </w:r>
      </w:hyperlink>
      <w:r>
        <w:t xml:space="preserve">. Should that framing be undervaluing the option to defer, real program dollars are riding on a criterion that tilts toward premature irreversible commitment. A nuclear program funded before demand matures risks an irreversibility cost it need not have paid. A nuclear program killed outright risks losing the one architecture that closes the lunar-night and high-load resource-processing cases. Staged maturation, holding the right to commit later, is the path between them, the very course an option-value analysis would counsel and the one a static comparison is blind to.</w:t>
      </w:r>
    </w:p>
    <w:p>
      <w:pPr>
        <w:pStyle w:val="BodyText"/>
        <w:spacing w:line="480" w:lineRule="auto"/>
        <w:ind w:firstLine="720"/>
      </w:pPr>
      <w:r>
        <w:t xml:space="preserve">A second stake sits quieter beneath the first. Dixit and Pindyck’s real-options apparatus is routine in terrestrial energy, mining, and extractive industries</w:t>
      </w:r>
      <w:r>
        <w:t xml:space="preserve"> </w:t>
      </w:r>
      <w:hyperlink w:anchor="ref-8">
        <w:r>
          <w:rPr>
            <w:rStyle w:val="Hyperlink"/>
          </w:rPr>
          <w:t xml:space="preserve">[8]</w:t>
        </w:r>
      </w:hyperlink>
      <w:r>
        <w:t xml:space="preserve">. Spacecraft portfolio problems have already borrowed it, staged deployment of satellite mega-constellations under demand uncertainty among them</w:t>
      </w:r>
      <w:r>
        <w:t xml:space="preserve"> </w:t>
      </w:r>
      <w:hyperlink w:anchor="ref-19">
        <w:r>
          <w:rPr>
            <w:rStyle w:val="Hyperlink"/>
          </w:rPr>
          <w:t xml:space="preserve">[19]</w:t>
        </w:r>
      </w:hyperlink>
      <w:r>
        <w:t xml:space="preserve">, and yet nobody has turned it on the lunar surface power choice, a decision of identical mathematical shape that engineers still settle with deterministic tools. Showing that the apparatus carries over, and that it moves the recommended action, speaks to how space infrastructure decisions get framed at all, not merely to this one reactor.</w:t>
      </w:r>
    </w:p>
    <w:bookmarkEnd w:id="62"/>
    <w:bookmarkStart w:id="63" w:name="the-falsifiable-contribution"/>
    <w:p>
      <w:pPr>
        <w:pStyle w:val="Heading2"/>
        <w:spacing w:line="480" w:lineRule="auto"/>
      </w:pPr>
      <w:r>
        <w:t xml:space="preserve">The falsifiable contribution</w:t>
      </w:r>
    </w:p>
    <w:p>
      <w:pPr>
        <w:pStyle w:val="FirstParagraph"/>
        <w:spacing w:line="480" w:lineRule="auto"/>
      </w:pPr>
      <w:r>
        <w:t xml:space="preserve">One falsifiable claim anchors this dissertation, and the rest is built to test it. The claim: the expert evidence underlying any lunar power valuation holds genuine, measurable ambiguity about nuclear power, and that ambiguity is no artifact of small samples or loose questions but a stable structural feature of what the community actually believes. It is falsifiable in the plain sense that it can lose. Were the expert evidence to rank nuclear power with concentrated confidence, sharply for or sharply against, the option-to-wait argument would be cut loose from its empirical mooring, because little would remain for waiting to resolve.</w:t>
      </w:r>
    </w:p>
    <w:p>
      <w:pPr>
        <w:pStyle w:val="BodyText"/>
        <w:spacing w:line="480" w:lineRule="auto"/>
        <w:ind w:firstLine="720"/>
      </w:pPr>
      <w:r>
        <w:t xml:space="preserve">Two empirical papers, both drawn entirely from the published Delphi record of Spedding, Lim, and Nuttall</w:t>
      </w:r>
      <w:r>
        <w:t xml:space="preserve"> </w:t>
      </w:r>
      <w:hyperlink w:anchor="ref-2">
        <w:r>
          <w:rPr>
            <w:rStyle w:val="Hyperlink"/>
          </w:rPr>
          <w:t xml:space="preserve">[2]</w:t>
        </w:r>
      </w:hyperlink>
      <w:r>
        <w:t xml:space="preserve">, do the testing. The first takes apart the structure of expert preference over five competing energy technologies and asks whether nuclear power carries any independent premium or discount once the published ranking structure is held fixed. The second measures how closely expert agreement tracks the central tendency of the responses across the survey’s stable statements. That measurement does double duty: it certifies the elicitation as informative rather than noisy, and it separates the propositions the panel has settled from the ones it leaves open. Together the two papers fix both halves of the argument, that the elicitation can be trusted, and that inside it nuclear power sits in a zone of genuine dispersion.</w:t>
      </w:r>
    </w:p>
    <w:p>
      <w:pPr>
        <w:pStyle w:val="BodyText"/>
        <w:spacing w:line="480" w:lineRule="auto"/>
        <w:ind w:firstLine="720"/>
      </w:pPr>
      <w:r>
        <w:t xml:space="preserve">Here is the headline from the first paper. Once the ranking structure enters the model, the nuclear indicator comes back statistically indistinguishable from zero, at a coefficient of 0.2617, a standard error of 1.0995, and a p-value of 0.8119, across twenty-five observations</w:t>
      </w:r>
      <w:r>
        <w:t xml:space="preserve"> </w:t>
      </w:r>
      <w:hyperlink w:anchor="ref-2">
        <w:r>
          <w:rPr>
            <w:rStyle w:val="Hyperlink"/>
          </w:rPr>
          <w:t xml:space="preserve">[2]</w:t>
        </w:r>
      </w:hyperlink>
      <w:r>
        <w:t xml:space="preserve">. Nuclear power neither concentrates at the top of expert preference nor collects at the bottom. It scatters. That scatter is the empirical foundation on which the option premium rests.</w:t>
      </w:r>
    </w:p>
    <w:bookmarkEnd w:id="63"/>
    <w:bookmarkStart w:id="64" w:name="what-this-dissertation-does-not-claim"/>
    <w:p>
      <w:pPr>
        <w:pStyle w:val="Heading2"/>
        <w:spacing w:line="480" w:lineRule="auto"/>
      </w:pPr>
      <w:r>
        <w:t xml:space="preserve">What this dissertation does not claim</w:t>
      </w:r>
    </w:p>
    <w:p>
      <w:pPr>
        <w:pStyle w:val="FirstParagraph"/>
        <w:spacing w:line="480" w:lineRule="auto"/>
      </w:pPr>
      <w:r>
        <w:t xml:space="preserve">Being honest about scope is itself part of the contribution. This study does not measure the capital cost of a fission surface power reactor, does not forecast a launch price, does not put a kilowatt-hour cost on the lunar surface, and does not settle the licensing or political-acceptability questions that trail nuclear systems in space. Neither does it run the full valuation lattice on operational cost data, for the simple reason that no such data yet exists in citable public form. Its work is narrower and firmer: to establish, from real and reproducible expert evidence, that the informational preconditions for a real-options treatment are in place, namely costly irreversible commitment, uncertain demand, and dispersed expert belief that further information can resolve. From there it reads the finding through the option-value frame and draws out what follows for the program.</w:t>
      </w:r>
    </w:p>
    <w:p>
      <w:pPr>
        <w:pStyle w:val="BodyText"/>
        <w:spacing w:line="480" w:lineRule="auto"/>
        <w:ind w:firstLine="720"/>
      </w:pPr>
      <w:r>
        <w:t xml:space="preserve">Keeping that distinction sharp is what keeps the falsifiable claim clean. The claim is not that waiting is always right. It is the narrower one, that the expert evidence shows the dispersion that makes waiting valuable, and that this dispersion is measurable rather than rhetorical. Disagree, and you can attack the claim on its own ground, by re-analysing the same public table. That is the discipline the study takes on, and it is why the two empirical papers lean only on published figures any reader can pull up.</w:t>
      </w:r>
    </w:p>
    <w:bookmarkEnd w:id="64"/>
    <w:bookmarkStart w:id="65" w:name="roadmap"/>
    <w:p>
      <w:pPr>
        <w:pStyle w:val="Heading2"/>
        <w:spacing w:line="480" w:lineRule="auto"/>
      </w:pPr>
      <w:r>
        <w:t xml:space="preserve">Roadmap</w:t>
      </w:r>
    </w:p>
    <w:p>
      <w:pPr>
        <w:pStyle w:val="FirstParagraph"/>
        <w:spacing w:line="480" w:lineRule="auto"/>
      </w:pPr>
      <w:r>
        <w:t xml:space="preserve">Eight chapters carry the argument. This introduction has laid out the problem, the stakes, and the single testable contribution. Chapter two places the study among the three adjacent literatures it draws from and breaks with: the lunar surface-observatory and space-domain-awareness work that treats power as a sizing input</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ISRU forecasting and Delphi tradition that elicits expert distributions but never embeds them in a valuation</w:t>
      </w:r>
      <w:r>
        <w:t xml:space="preserve"> </w:t>
      </w:r>
      <w:hyperlink w:anchor="ref-2">
        <w:r>
          <w:rPr>
            <w:rStyle w:val="Hyperlink"/>
          </w:rPr>
          <w:t xml:space="preserve">[2]</w:t>
        </w:r>
      </w:hyperlink>
      <w:r>
        <w:t xml:space="preserve">, and the real-options and space-economy work that hands over the pricing apparatus and the market context</w:t>
      </w:r>
      <w:r>
        <w:t xml:space="preserve"> </w:t>
      </w:r>
      <w:hyperlink w:anchor="ref-5">
        <w:r>
          <w:rPr>
            <w:rStyle w:val="Hyperlink"/>
          </w:rPr>
          <w:t xml:space="preserve">[5]</w:t>
        </w:r>
      </w:hyperlink>
      <w:r>
        <w:t xml:space="preserve"> </w:t>
      </w:r>
      <w:hyperlink w:anchor="ref-8">
        <w:r>
          <w:rPr>
            <w:rStyle w:val="Hyperlink"/>
          </w:rPr>
          <w:t xml:space="preserve">[8]</w:t>
        </w:r>
      </w:hyperlink>
      <w:r>
        <w:t xml:space="preserve">. Chapter three builds the theory, following the mechanism by which irreversibility, uncertainty, and learning together throw off an option premium, and stating the specific testable predictions that mechanism implies for the lunar case.</w:t>
      </w:r>
    </w:p>
    <w:p>
      <w:pPr>
        <w:pStyle w:val="BodyText"/>
        <w:spacing w:line="480" w:lineRule="auto"/>
        <w:ind w:firstLine="720"/>
      </w:pPr>
      <w:r>
        <w:t xml:space="preserve">Chapter four lays out the methodology and identification strategy. It walks through the two estimators, explains why an ordinary-least-squares model of preference points and a log-log elasticity model of agreement share fit this evidence, and says what each one identifies. Chapter five documents the data and measurement: the Delphi record, the construction of every variable from the published tables, the sources, and the sample sizes of twenty-five and nineteen. Chapter six reports the results in full, carrying every coefficient, standard error, and p-value through exactly as the analysis returns them, and reading the signs and magnitudes. Chapter seven works through what the findings mean, the threats to their validity, and the questions the data leaves unanswered. Chapter eight states the contribution, pulls out the governance and program implications, and sketches the future work a fuller valuation would demand.</w:t>
      </w:r>
    </w:p>
    <w:p>
      <w:pPr>
        <w:pStyle w:val="BodyText"/>
        <w:spacing w:line="480" w:lineRule="auto"/>
        <w:ind w:firstLine="720"/>
      </w:pPr>
      <w:r>
        <w:t xml:space="preserve">A single reframing threads all eight chapters together. What the program literature files under engineering comparison turns out, looked at closely, to be an investment-timing problem under deep uncertainty. That reframing does not order the program to choose nuclear or to reject it. It tells the program that the right to wait is worth something, that its value can in principle be priced, and that the expert evidence already on the table shows the very ambiguity that gives waiting its worth. A modest claim, then, and a falsifiable one, and the chapters ahead try to make it stand on evidence anyone can check.</w:t>
      </w:r>
    </w:p>
    <w:bookmarkEnd w:id="65"/>
    <w:bookmarkStart w:id="66" w:name="Xf958bde9c675873aa5a9120f42b3909b30a92f7"/>
    <w:p>
      <w:pPr>
        <w:pStyle w:val="Heading2"/>
        <w:spacing w:line="480" w:lineRule="auto"/>
      </w:pPr>
      <w:r>
        <w:t xml:space="preserve">Why the timing framing matters more than the technology verdict</w:t>
      </w:r>
    </w:p>
    <w:p>
      <w:pPr>
        <w:pStyle w:val="FirstParagraph"/>
        <w:spacing w:line="480" w:lineRule="auto"/>
      </w:pPr>
      <w:r>
        <w:t xml:space="preserve">A dissertation about nuclear power on the Moon all but begs to be read as an argument for or against nuclear power on the Moon. This one is neither. Its object is not the reactor but the timing of the decision about the reactor, and the difference is worth sitting with, because it slips away easily. Much of the public and programmatic argument about lunar fission plays out as a technology contest, advocates pressing the case that only a reactor closes the lunar-night and high-load cases, skeptics pressing the cost, mass, and political-acceptability objections. Real as that contest is, it is not the one this study joins. The study asks a question that comes before it. Given that the community has not settled the technology contest, and given that committing is irreversible while waiting is not, what does the timing analysis recommend?</w:t>
      </w:r>
    </w:p>
    <w:p>
      <w:pPr>
        <w:pStyle w:val="BodyText"/>
        <w:spacing w:line="480" w:lineRule="auto"/>
        <w:ind w:firstLine="720"/>
      </w:pPr>
      <w:r>
        <w:t xml:space="preserve">Put that way, the answer owes nothing to winning the technology argument for either camp. It turns on three structural facts alone: that the commitment is irreversible, that the payoff is uncertain, and that time reveals information. Where those three hold, the timing analysis returns a determinate answer whatever one’s prior on the technology, and the answer is to hold the decision open until the value of committing clears a threshold set strictly above simple break-even</w:t>
      </w:r>
      <w:r>
        <w:t xml:space="preserve"> </w:t>
      </w:r>
      <w:hyperlink w:anchor="ref-8">
        <w:r>
          <w:rPr>
            <w:rStyle w:val="Hyperlink"/>
          </w:rPr>
          <w:t xml:space="preserve">[8]</w:t>
        </w:r>
      </w:hyperlink>
      <w:r>
        <w:t xml:space="preserve">. The technology contest fixes where the payoff distribution sits. The timing analysis fixes when to act on it. Those are two separable questions, and prying them apart is what lets a single falsifiable empirical claim do the work.</w:t>
      </w:r>
    </w:p>
    <w:bookmarkEnd w:id="66"/>
    <w:bookmarkStart w:id="67" w:name="the-shape-of-the-evidence"/>
    <w:p>
      <w:pPr>
        <w:pStyle w:val="Heading2"/>
        <w:spacing w:line="480" w:lineRule="auto"/>
      </w:pPr>
      <w:r>
        <w:t xml:space="preserve">The shape of the evidence</w:t>
      </w:r>
    </w:p>
    <w:p>
      <w:pPr>
        <w:pStyle w:val="FirstParagraph"/>
        <w:spacing w:line="480" w:lineRule="auto"/>
      </w:pPr>
      <w:r>
        <w:t xml:space="preserve">A properly skeptical reader will want to know what evidence could possibly bear on a 2040 outpost that does not yet exist. The honest answer is that operational evidence cannot, because there is none, and the study makes no pretence otherwise. What does exist is structured expert judgement, gathered through a multi-round survey built precisely for forecasting under deep uncertainty, and reported in enough detail that its distributions, not just its central estimates, can be worked over</w:t>
      </w:r>
      <w:r>
        <w:t xml:space="preserve"> </w:t>
      </w:r>
      <w:hyperlink w:anchor="ref-2">
        <w:r>
          <w:rPr>
            <w:rStyle w:val="Hyperlink"/>
          </w:rPr>
          <w:t xml:space="preserve">[2]</w:t>
        </w:r>
      </w:hyperlink>
      <w:r>
        <w:t xml:space="preserve">. That survey is the whole empirical basis of the dissertation, and the two papers pull exactly two things from it: the shape of expert preference over competing power technologies, and the internal coherence of the elicitation that generated it.</w:t>
      </w:r>
    </w:p>
    <w:p>
      <w:pPr>
        <w:pStyle w:val="BodyText"/>
        <w:spacing w:line="480" w:lineRule="auto"/>
        <w:ind w:firstLine="720"/>
      </w:pPr>
      <w:r>
        <w:t xml:space="preserve">Narrow by design, this evidentiary base wears its narrowness as a feature. Rest the argument on one public source, analysed in the open, and the study becomes easy to attack and easy to check at the same time. Every coefficient traces to a published table. Every variable reduces to a simple function of reported figures. A reader who smells something wrong in the conclusion can rebuild the datasets from the journal article and rerun the estimators. That reproducibility is the entry fee for a claim resting partly on a failure to reject a null, and the study pays it at the outset. Everything after is an effort to earn the reframing on that basis, and nothing more.</w:t>
      </w:r>
    </w:p>
    <w:bookmarkEnd w:id="67"/>
    <w:bookmarkStart w:id="68" w:name="the-cost-of-getting-the-timing-wrong"/>
    <w:p>
      <w:pPr>
        <w:pStyle w:val="Heading2"/>
        <w:spacing w:line="480" w:lineRule="auto"/>
      </w:pPr>
      <w:r>
        <w:t xml:space="preserve">The cost of getting the timing wrong</w:t>
      </w:r>
    </w:p>
    <w:p>
      <w:pPr>
        <w:pStyle w:val="FirstParagraph"/>
        <w:spacing w:line="480" w:lineRule="auto"/>
      </w:pPr>
      <w:r>
        <w:t xml:space="preserve">To see that the timing framing is no academic nicety, weigh what each of the two errors it guards against would actually cost a lunar program. Commit to nuclear too early, before ISRU demand has shown its scale and schedule, and the program pours reactor development, launch integration, and political authorisation into an asset that may idle if demand comes late or comes small</w:t>
      </w:r>
      <w:r>
        <w:t xml:space="preserve"> </w:t>
      </w:r>
      <w:hyperlink w:anchor="ref-4">
        <w:r>
          <w:rPr>
            <w:rStyle w:val="Hyperlink"/>
          </w:rPr>
          <w:t xml:space="preserve">[4]</w:t>
        </w:r>
      </w:hyperlink>
      <w:r>
        <w:t xml:space="preserve">. The capital does not come back, and neither does the political capital burned to authorise a nuclear launch, which in the space domain is scarce and hard-won given the documented sensitivity around nuclear systems</w:t>
      </w:r>
      <w:r>
        <w:t xml:space="preserve"> </w:t>
      </w:r>
      <w:hyperlink w:anchor="ref-6">
        <w:r>
          <w:rPr>
            <w:rStyle w:val="Hyperlink"/>
          </w:rPr>
          <w:t xml:space="preserve">[6]</w:t>
        </w:r>
      </w:hyperlink>
      <w:r>
        <w:t xml:space="preserve">. That is the irreversibility cost of moving early, and a static comparison that fires the instant net present value turns positive walks right into it.</w:t>
      </w:r>
    </w:p>
    <w:p>
      <w:pPr>
        <w:pStyle w:val="BodyText"/>
        <w:spacing w:line="480" w:lineRule="auto"/>
        <w:ind w:firstLine="720"/>
      </w:pPr>
      <w:r>
        <w:t xml:space="preserve">Abandon nuclear altogether and the program gives up the one architecture that cleanly closes the lunar-night and high-load resource-processing cases. A modest outpost can run on solar-plus-storage. But let ISRU demand arrive early and climb toward the roughly one megawatt of added load the expert panel anticipates, and a solar architecture buys its continuity through ever-heavier storage mass, with the delivered cost drifting toward the top of the four-times gap the engineering literature records</w:t>
      </w:r>
      <w:r>
        <w:t xml:space="preserve"> </w:t>
      </w:r>
      <w:hyperlink w:anchor="ref-1">
        <w:r>
          <w:rPr>
            <w:rStyle w:val="Hyperlink"/>
          </w:rPr>
          <w:t xml:space="preserve">[1]</w:t>
        </w:r>
      </w:hyperlink>
      <w:r>
        <w:t xml:space="preserve"> </w:t>
      </w:r>
      <w:hyperlink w:anchor="ref-2">
        <w:r>
          <w:rPr>
            <w:rStyle w:val="Hyperlink"/>
          </w:rPr>
          <w:t xml:space="preserve">[2]</w:t>
        </w:r>
      </w:hyperlink>
      <w:r>
        <w:t xml:space="preserve">. That is the resilience cost of abandoning too soon. The two errors mirror each other, and the deterministic framing falls into whichever one the point estimate happens to favour.</w:t>
      </w:r>
    </w:p>
    <w:p>
      <w:pPr>
        <w:pStyle w:val="BodyText"/>
        <w:spacing w:line="480" w:lineRule="auto"/>
        <w:ind w:firstLine="720"/>
      </w:pPr>
      <w:r>
        <w:t xml:space="preserve">The option framing sidesteps both by keeping the nuclear commitment alive but unexercised until the information state improves. This is not fence-sitting. It is a determinate policy carrying its own exit condition: press on with maturation and information-gathering, and commit the moment the value of committing clears the threshold the option itself defines</w:t>
      </w:r>
      <w:r>
        <w:t xml:space="preserve"> </w:t>
      </w:r>
      <w:hyperlink w:anchor="ref-8">
        <w:r>
          <w:rPr>
            <w:rStyle w:val="Hyperlink"/>
          </w:rPr>
          <w:t xml:space="preserve">[8]</w:t>
        </w:r>
      </w:hyperlink>
      <w:r>
        <w:t xml:space="preserve">. The whole burden of the dissertation is to show that the expert evidence already displays the uncertainty that lifts this threshold above simple break-even, which is what gives the option framing teeth rather than leaving it a restatement of the problem.</w:t>
      </w:r>
    </w:p>
    <w:bookmarkEnd w:id="68"/>
    <w:bookmarkStart w:id="69" w:name="scope-method-and-the-single-source"/>
    <w:p>
      <w:pPr>
        <w:pStyle w:val="Heading2"/>
        <w:spacing w:line="480" w:lineRule="auto"/>
      </w:pPr>
      <w:r>
        <w:t xml:space="preserve">Scope, method, and the single source</w:t>
      </w:r>
    </w:p>
    <w:p>
      <w:pPr>
        <w:pStyle w:val="FirstParagraph"/>
        <w:spacing w:line="480" w:lineRule="auto"/>
      </w:pPr>
      <w:r>
        <w:t xml:space="preserve">A last word on method orients the reader for the chapters ahead. The empirical work is quantitative, resting on a single elicitation worked through two regressions whose specifications, sources, and sample sizes appear in full</w:t>
      </w:r>
      <w:r>
        <w:t xml:space="preserve"> </w:t>
      </w:r>
      <w:hyperlink w:anchor="ref-2">
        <w:r>
          <w:rPr>
            <w:rStyle w:val="Hyperlink"/>
          </w:rPr>
          <w:t xml:space="preserve">[2]</w:t>
        </w:r>
      </w:hyperlink>
      <w:r>
        <w:t xml:space="preserve">. No proprietary data enters it, no unpublished input, no parameter tuned to land a desired result. The two estimators are ordinary instruments, an interaction-augmented linear model and a log-log elasticity model, run on published tables and reported with their standard errors and intervals. That the apparatus is modest is the point. A claim built on transparency has no business hiding behind methodological complexity, and the study lives or dies on whether a reader can follow every step from the journal table to the coefficient. The chapters that follow build the theoretical case, specify the estimators, document the data, report the numbers, and interpret them, in that order, so each link in the chain can be examined on its own.</w:t>
      </w:r>
    </w:p>
    <w:bookmarkEnd w:id="69"/>
    <w:bookmarkEnd w:id="70"/>
    <w:bookmarkStart w:id="80" w:name="literature-review"/>
    <w:p>
      <w:pPr>
        <w:pStyle w:val="Heading1"/>
        <w:spacing w:line="480" w:lineRule="auto"/>
      </w:pPr>
      <w:r>
        <w:t xml:space="preserve">Literature Review</w:t>
      </w:r>
    </w:p>
    <w:p>
      <w:pPr>
        <w:pStyle w:val="FirstParagraph"/>
        <w:spacing w:line="480" w:lineRule="auto"/>
      </w:pPr>
      <w:r>
        <w:t xml:space="preserve">Three bodies of work brush up against the lunar power timing problem, and not one of them resolves it. This chapter takes each in turn, marks what it gives and where it halts, and pins down the exact gap the dissertation moves into. The three are the lunar surface-infrastructure and space-domain-awareness engineering work, the ISRU forecasting and expert-elicitation tradition, and the real-options and space-economy work that furnishes both the valuation apparatus and the market framing. A single observation orders the survey. Each literature carries one of the three ingredients the problem demands, and no source anywhere fuses an irreversible commitment, a stochastic demand process, and an options-pricing treatment into one analysis of the fission surface power decision.</w:t>
      </w:r>
    </w:p>
    <w:bookmarkStart w:id="71" w:name="power-as-a-sizing-input"/>
    <w:p>
      <w:pPr>
        <w:pStyle w:val="Heading2"/>
        <w:spacing w:line="480" w:lineRule="auto"/>
      </w:pPr>
      <w:r>
        <w:t xml:space="preserve">Power as a sizing input</w:t>
      </w:r>
    </w:p>
    <w:p>
      <w:pPr>
        <w:pStyle w:val="FirstParagraph"/>
        <w:spacing w:line="480" w:lineRule="auto"/>
      </w:pPr>
      <w:r>
        <w:t xml:space="preserve">For the first literature, lunar surface power is an engineering constraint to be sized, never an investment to be timed. Nowhere is this clearer than in the surface-observatory and space-domain-awareness work built around the Shackleton region. A year-in-the-life study of a lunar surface station at the south pole traces the illumination geometry, the eclipse intervals, and the power budget a permanent installation on polar terrain has to close, and in the process it puts the solar-versus-nuclear cost question on the table, observing that the gap between architectures can widen to a factor of four depending on assumptions</w:t>
      </w:r>
      <w:r>
        <w:t xml:space="preserve"> </w:t>
      </w:r>
      <w:hyperlink w:anchor="ref-1">
        <w:r>
          <w:rPr>
            <w:rStyle w:val="Hyperlink"/>
          </w:rPr>
          <w:t xml:space="preserve">[1]</w:t>
        </w:r>
      </w:hyperlink>
      <w:r>
        <w:t xml:space="preserve">. Real and useful as that number is, it arrives as a parameter, not as a decision variable under uncertainty.</w:t>
      </w:r>
    </w:p>
    <w:p>
      <w:pPr>
        <w:pStyle w:val="BodyText"/>
        <w:spacing w:line="480" w:lineRule="auto"/>
        <w:ind w:firstLine="720"/>
      </w:pPr>
      <w:r>
        <w:t xml:space="preserve">The same habit repeats across the neighbouring surface-awareness concepts. Studies of observing objects in low lunar orbit and the second-Lagrange-point dark cone from a lunar surface observatory fix the sensing mission first, then fold power in as a supporting requirement to be met</w:t>
      </w:r>
      <w:r>
        <w:t xml:space="preserve"> </w:t>
      </w:r>
      <w:hyperlink w:anchor="ref-9">
        <w:r>
          <w:rPr>
            <w:rStyle w:val="Hyperlink"/>
          </w:rPr>
          <w:t xml:space="preserve">[9]</w:t>
        </w:r>
      </w:hyperlink>
      <w:r>
        <w:t xml:space="preserve">. A hybrid sensor for joint space-domain-awareness and lunar-surface intelligence handles it identically, booking the electrical supply as a fixed cost of fielding the payload</w:t>
      </w:r>
      <w:r>
        <w:t xml:space="preserve"> </w:t>
      </w:r>
      <w:hyperlink w:anchor="ref-10">
        <w:r>
          <w:rPr>
            <w:rStyle w:val="Hyperlink"/>
          </w:rPr>
          <w:t xml:space="preserve">[10]</w:t>
        </w:r>
      </w:hyperlink>
      <w:r>
        <w:t xml:space="preserve">. A sensor-rich solution for lunar and cislunar space-domain awareness draws an architecture in which power is simply one more line in the mass and cost budget</w:t>
      </w:r>
      <w:r>
        <w:t xml:space="preserve"> </w:t>
      </w:r>
      <w:hyperlink w:anchor="ref-14">
        <w:r>
          <w:rPr>
            <w:rStyle w:val="Hyperlink"/>
          </w:rPr>
          <w:t xml:space="preserve">[14]</w:t>
        </w:r>
      </w:hyperlink>
      <w:r>
        <w:t xml:space="preserve">. Systems-and-methods descriptions of hybrid lunar surface and space situational awareness keep to the pattern, sizing power to the sensing load</w:t>
      </w:r>
      <w:r>
        <w:t xml:space="preserve"> </w:t>
      </w:r>
      <w:hyperlink w:anchor="ref-13">
        <w:r>
          <w:rPr>
            <w:rStyle w:val="Hyperlink"/>
          </w:rPr>
          <w:t xml:space="preserve">[13]</w:t>
        </w:r>
      </w:hyperlink>
      <w:r>
        <w:t xml:space="preserve">. Across all of them, the timing of the power commitment never becomes the object of study. Power is the thing you must have, priced deterministically, so the interesting mission can go ahead.</w:t>
      </w:r>
    </w:p>
    <w:p>
      <w:pPr>
        <w:pStyle w:val="BodyText"/>
        <w:spacing w:line="480" w:lineRule="auto"/>
        <w:ind w:firstLine="720"/>
      </w:pPr>
      <w:r>
        <w:t xml:space="preserve">Cislunar traffic-management work carries the pattern up to the scale of the whole cislunar economy. Architectural studies of guiding lunar growth through space-traffic-management solutions list lunar surface power grids as a forward dependency, enabling infrastructure the traffic architecture will lean on, without ever asking when or how the grid should be committed</w:t>
      </w:r>
      <w:r>
        <w:t xml:space="preserve"> </w:t>
      </w:r>
      <w:hyperlink w:anchor="ref-3">
        <w:r>
          <w:rPr>
            <w:rStyle w:val="Hyperlink"/>
          </w:rPr>
          <w:t xml:space="preserve">[3]</w:t>
        </w:r>
      </w:hyperlink>
      <w:r>
        <w:t xml:space="preserve"> </w:t>
      </w:r>
      <w:hyperlink w:anchor="ref-11">
        <w:r>
          <w:rPr>
            <w:rStyle w:val="Hyperlink"/>
          </w:rPr>
          <w:t xml:space="preserve">[11]</w:t>
        </w:r>
      </w:hyperlink>
      <w:r>
        <w:t xml:space="preserve">. Companion work on end-of-life disposal strategies for cislunar missions takes the surface infrastructure as given</w:t>
      </w:r>
      <w:r>
        <w:t xml:space="preserve"> </w:t>
      </w:r>
      <w:hyperlink w:anchor="ref-12">
        <w:r>
          <w:rPr>
            <w:rStyle w:val="Hyperlink"/>
          </w:rPr>
          <w:t xml:space="preserve">[12]</w:t>
        </w:r>
      </w:hyperlink>
      <w:r>
        <w:t xml:space="preserve">. These are useful maps of the dependency structure, and they make plain that power sits upstream of nearly everything. What they do not do is tell us how to decide the reactor question under uncertainty, because that was never their question.</w:t>
      </w:r>
    </w:p>
    <w:p>
      <w:pPr>
        <w:pStyle w:val="BodyText"/>
        <w:spacing w:line="480" w:lineRule="auto"/>
        <w:ind w:firstLine="720"/>
      </w:pPr>
      <w:r>
        <w:t xml:space="preserve">The contribution of this literature comes down to the cost gap and the illumination record. The four-times figure, the polar geometry, the eclipse intervals, the identification of power as the binding constraint, all originate here</w:t>
      </w:r>
      <w:r>
        <w:t xml:space="preserve"> </w:t>
      </w:r>
      <w:hyperlink w:anchor="ref-1">
        <w:r>
          <w:rPr>
            <w:rStyle w:val="Hyperlink"/>
          </w:rPr>
          <w:t xml:space="preserve">[1]</w:t>
        </w:r>
      </w:hyperlink>
      <w:r>
        <w:t xml:space="preserve"> </w:t>
      </w:r>
      <w:hyperlink w:anchor="ref-3">
        <w:r>
          <w:rPr>
            <w:rStyle w:val="Hyperlink"/>
          </w:rPr>
          <w:t xml:space="preserve">[3]</w:t>
        </w:r>
      </w:hyperlink>
      <w:r>
        <w:t xml:space="preserve">. It hands over the parameter and stops, never once treating the commitment as an investment whose timing holds value.</w:t>
      </w:r>
    </w:p>
    <w:bookmarkEnd w:id="71"/>
    <w:bookmarkStart w:id="72" w:name="eliciting-expert-distributions"/>
    <w:p>
      <w:pPr>
        <w:pStyle w:val="Heading2"/>
        <w:spacing w:line="480" w:lineRule="auto"/>
      </w:pPr>
      <w:r>
        <w:t xml:space="preserve">Eliciting expert distributions</w:t>
      </w:r>
    </w:p>
    <w:p>
      <w:pPr>
        <w:pStyle w:val="FirstParagraph"/>
        <w:spacing w:line="480" w:lineRule="auto"/>
      </w:pPr>
      <w:r>
        <w:t xml:space="preserve">The second literature does what the first will not: it puts numbers on expert belief about the lunar future, uncertainty included, through structured elicitation. The Delphi survey of ISRU technology deployment at a lunar outpost in 2040 is the central case and the empirical spine of this dissertation</w:t>
      </w:r>
      <w:r>
        <w:t xml:space="preserve"> </w:t>
      </w:r>
      <w:hyperlink w:anchor="ref-2">
        <w:r>
          <w:rPr>
            <w:rStyle w:val="Hyperlink"/>
          </w:rPr>
          <w:t xml:space="preserve">[2]</w:t>
        </w:r>
      </w:hyperlink>
      <w:r>
        <w:t xml:space="preserve">. Round after round, it draws a panel of experts on the timeline, scale, and character of the 2040 outpost, and it publishes the resulting distributions: agreement shares, median Likert positions, interquartile ranges, and, in its energy-technology table, the full rank-position vote counts across five competing power technologies. It logs consensus and its absence alike. Political distaste for nuclear energy in space surfaces as a live policy challenge, and the energy ranking has nuclear power collecting votes evenly across every rank position.</w:t>
      </w:r>
    </w:p>
    <w:p>
      <w:pPr>
        <w:pStyle w:val="BodyText"/>
        <w:spacing w:line="480" w:lineRule="auto"/>
        <w:ind w:firstLine="720"/>
      </w:pPr>
      <w:r>
        <w:t xml:space="preserve">This is exactly the evidence a valuation of waiting requires, because it pins down the demand-side uncertainty instead of waving it away. The survey references the near-term fission requirement environment and casts ISRU demand growth as the driver of outpost power load</w:t>
      </w:r>
      <w:r>
        <w:t xml:space="preserve"> </w:t>
      </w:r>
      <w:hyperlink w:anchor="ref-2">
        <w:r>
          <w:rPr>
            <w:rStyle w:val="Hyperlink"/>
          </w:rPr>
          <w:t xml:space="preserve">[2]</w:t>
        </w:r>
      </w:hyperlink>
      <w:r>
        <w:t xml:space="preserve">. Related elicitation and flexible-design work backs the method up. Multi-objective decision-making for flexible design and planning of oxygen production facilities in an uncertain lunar environment treats deployment flexibility as an explicit value under uncertainty, the demand-side twin of the supply-side option this dissertation prices</w:t>
      </w:r>
      <w:r>
        <w:t xml:space="preserve"> </w:t>
      </w:r>
      <w:hyperlink w:anchor="ref-17">
        <w:r>
          <w:rPr>
            <w:rStyle w:val="Hyperlink"/>
          </w:rPr>
          <w:t xml:space="preserve">[17]</w:t>
        </w:r>
      </w:hyperlink>
      <w:r>
        <w:t xml:space="preserve">. A controlled user study on the role of situational awareness in design decisions for future lunar ISRU systems finds that even how uncertainty is presented to decision-makers alters the choices they make</w:t>
      </w:r>
      <w:r>
        <w:t xml:space="preserve"> </w:t>
      </w:r>
      <w:hyperlink w:anchor="ref-23">
        <w:r>
          <w:rPr>
            <w:rStyle w:val="Hyperlink"/>
          </w:rPr>
          <w:t xml:space="preserve">[23]</w:t>
        </w:r>
      </w:hyperlink>
      <w:r>
        <w:t xml:space="preserve">. Staged-deployment analysis for satellite mega-constellations under demand uncertainty shows the flexibility apparatus already at home within space systems engineering, applied to constellation build-out rather than surface power</w:t>
      </w:r>
      <w:r>
        <w:t xml:space="preserve"> </w:t>
      </w:r>
      <w:hyperlink w:anchor="ref-19">
        <w:r>
          <w:rPr>
            <w:rStyle w:val="Hyperlink"/>
          </w:rPr>
          <w:t xml:space="preserve">[19]</w:t>
        </w:r>
      </w:hyperlink>
      <w:r>
        <w:t xml:space="preserve">.</w:t>
      </w:r>
    </w:p>
    <w:p>
      <w:pPr>
        <w:pStyle w:val="BodyText"/>
        <w:spacing w:line="480" w:lineRule="auto"/>
        <w:ind w:firstLine="720"/>
      </w:pPr>
      <w:r>
        <w:t xml:space="preserve">What this literature gives is the demand distribution and the elicited uncertainty. What it withholds is the valuation step. The Delphi survey stops once the distributions are reported</w:t>
      </w:r>
      <w:r>
        <w:t xml:space="preserve"> </w:t>
      </w:r>
      <w:hyperlink w:anchor="ref-2">
        <w:r>
          <w:rPr>
            <w:rStyle w:val="Hyperlink"/>
          </w:rPr>
          <w:t xml:space="preserve">[2]</w:t>
        </w:r>
      </w:hyperlink>
      <w:r>
        <w:t xml:space="preserve">. It never sets them inside an investment-timing model, never prices the right to wait, never ties the dispersion it records to a programmatic recommendation about commitment timing. The flexible-design papers price flexibility on the production side</w:t>
      </w:r>
      <w:r>
        <w:t xml:space="preserve"> </w:t>
      </w:r>
      <w:hyperlink w:anchor="ref-17">
        <w:r>
          <w:rPr>
            <w:rStyle w:val="Hyperlink"/>
          </w:rPr>
          <w:t xml:space="preserve">[17]</w:t>
        </w:r>
      </w:hyperlink>
      <w:r>
        <w:t xml:space="preserve"> </w:t>
      </w:r>
      <w:hyperlink w:anchor="ref-19">
        <w:r>
          <w:rPr>
            <w:rStyle w:val="Hyperlink"/>
          </w:rPr>
          <w:t xml:space="preserve">[19]</w:t>
        </w:r>
      </w:hyperlink>
      <w:r>
        <w:t xml:space="preserve"> </w:t>
      </w:r>
      <w:r>
        <w:t xml:space="preserve">but leave the solar-versus-nuclear surface power commitment unvalued. The elicited distribution is the input this dissertation needs, and reading it as an input to an options model is the one move the source declines to make.</w:t>
      </w:r>
    </w:p>
    <w:bookmarkEnd w:id="72"/>
    <w:bookmarkStart w:id="73" w:name="X5abbba0da0a684a39c12b2662ae7d2fd1b2122f"/>
    <w:p>
      <w:pPr>
        <w:pStyle w:val="Heading2"/>
        <w:spacing w:line="480" w:lineRule="auto"/>
      </w:pPr>
      <w:r>
        <w:t xml:space="preserve">Pricing the option and framing the market</w:t>
      </w:r>
    </w:p>
    <w:p>
      <w:pPr>
        <w:pStyle w:val="FirstParagraph"/>
        <w:spacing w:line="480" w:lineRule="auto"/>
      </w:pPr>
      <w:r>
        <w:t xml:space="preserve">The third literature supplies the apparatus the others lack. Investment under Uncertainty is the canonical account of irreversible investment when the future is stochastic, and it lays down the central result this whole study leans on: once a commitment is costly and irreversible and the payoff uncertain, the net-present-value rule fails, because it discards the value of the option to wait for better information</w:t>
      </w:r>
      <w:r>
        <w:t xml:space="preserve"> </w:t>
      </w:r>
      <w:hyperlink w:anchor="ref-8">
        <w:r>
          <w:rPr>
            <w:rStyle w:val="Hyperlink"/>
          </w:rPr>
          <w:t xml:space="preserve">[8]</w:t>
        </w:r>
      </w:hyperlink>
      <w:r>
        <w:t xml:space="preserve">. Theory promises a positive option premium anywhere irreversibility, uncertainty, and learning meet. On the magnitude of that premium for the lunar reactor it is silent, of course. Magnitude belongs to the empirical world; the theory only points to where it lives.</w:t>
      </w:r>
    </w:p>
    <w:p>
      <w:pPr>
        <w:pStyle w:val="BodyText"/>
        <w:spacing w:line="480" w:lineRule="auto"/>
        <w:ind w:firstLine="720"/>
      </w:pPr>
      <w:r>
        <w:t xml:space="preserve">The space-economy literature makes the demand-side uncertainty concrete by supplying market context. Forecasting work on the space economy sets lunar infrastructure inside a broader trajectory of commercial and institutional activity whose scale and timing are themselves in doubt</w:t>
      </w:r>
      <w:r>
        <w:t xml:space="preserve"> </w:t>
      </w:r>
      <w:hyperlink w:anchor="ref-5">
        <w:r>
          <w:rPr>
            <w:rStyle w:val="Hyperlink"/>
          </w:rPr>
          <w:t xml:space="preserve">[5]</w:t>
        </w:r>
      </w:hyperlink>
      <w:r>
        <w:t xml:space="preserve"> </w:t>
      </w:r>
      <w:hyperlink w:anchor="ref-7">
        <w:r>
          <w:rPr>
            <w:rStyle w:val="Hyperlink"/>
          </w:rPr>
          <w:t xml:space="preserve">[7]</w:t>
        </w:r>
      </w:hyperlink>
      <w:r>
        <w:t xml:space="preserve">. Analysis of the role of space in driving sustainability, security, and development allows that nuclear power may be the right energy source for lunar habitats while flagging the cost and acceptability questions around it</w:t>
      </w:r>
      <w:r>
        <w:t xml:space="preserve"> </w:t>
      </w:r>
      <w:hyperlink w:anchor="ref-6">
        <w:r>
          <w:rPr>
            <w:rStyle w:val="Hyperlink"/>
          </w:rPr>
          <w:t xml:space="preserve">[6]</w:t>
        </w:r>
      </w:hyperlink>
      <w:r>
        <w:t xml:space="preserve">. This work brushes against the very tension the dissertation formalises, that nuclear may be both right and premature, yet stops short of resolving it in a pricing model.</w:t>
      </w:r>
    </w:p>
    <w:p>
      <w:pPr>
        <w:pStyle w:val="BodyText"/>
        <w:spacing w:line="480" w:lineRule="auto"/>
        <w:ind w:firstLine="720"/>
      </w:pPr>
      <w:r>
        <w:t xml:space="preserve">The nuclear-technology literature settles that the option is real and under active development, not a thought experiment. An americium-fuelled radioisotope Stirling generator study for lunar surface mobility systems records continued technical investment in nuclear power for surface applications and grounds the fission requirement environment</w:t>
      </w:r>
      <w:r>
        <w:t xml:space="preserve"> </w:t>
      </w:r>
      <w:hyperlink w:anchor="ref-4">
        <w:r>
          <w:rPr>
            <w:rStyle w:val="Hyperlink"/>
          </w:rPr>
          <w:t xml:space="preserve">[4]</w:t>
        </w:r>
      </w:hyperlink>
      <w:r>
        <w:t xml:space="preserve">. Here is the supply-side evidence that a nuclear commitment is a live decision fed by an ongoing development pipeline, which is precisely what makes the timing of that commitment worth analysing.</w:t>
      </w:r>
    </w:p>
    <w:p>
      <w:pPr>
        <w:pStyle w:val="BodyText"/>
        <w:spacing w:line="480" w:lineRule="auto"/>
        <w:ind w:firstLine="720"/>
      </w:pPr>
      <w:r>
        <w:t xml:space="preserve">The contribution of this literature is the pricing logic</w:t>
      </w:r>
      <w:r>
        <w:t xml:space="preserve"> </w:t>
      </w:r>
      <w:hyperlink w:anchor="ref-8">
        <w:r>
          <w:rPr>
            <w:rStyle w:val="Hyperlink"/>
          </w:rPr>
          <w:t xml:space="preserve">[8]</w:t>
        </w:r>
      </w:hyperlink>
      <w:r>
        <w:t xml:space="preserve"> </w:t>
      </w:r>
      <w:r>
        <w:t xml:space="preserve">together with the market and technology framing</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Its shortfall is contact with the specific lunar power decision. The options theory stays general. The space-economy work stays qualitative on the reactor question. The technology work matures the hardware and never values the commitment.</w:t>
      </w:r>
    </w:p>
    <w:bookmarkEnd w:id="73"/>
    <w:bookmarkStart w:id="74" w:name="the-gap"/>
    <w:p>
      <w:pPr>
        <w:pStyle w:val="Heading2"/>
        <w:spacing w:line="480" w:lineRule="auto"/>
      </w:pPr>
      <w:r>
        <w:t xml:space="preserve">The gap</w:t>
      </w:r>
    </w:p>
    <w:p>
      <w:pPr>
        <w:pStyle w:val="FirstParagraph"/>
        <w:spacing w:line="480" w:lineRule="auto"/>
      </w:pPr>
      <w:r>
        <w:t xml:space="preserve">Lay the omissions side by side and the gap comes into focus as their intersection. The engineering work owns the cost gap and the illumination record but treats power as a sizing input, priced deterministically</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The elicitation work owns the demand distribution and the documented dispersion but halts at reporting, no valuation step</w:t>
      </w:r>
      <w:r>
        <w:t xml:space="preserve"> </w:t>
      </w:r>
      <w:hyperlink w:anchor="ref-2">
        <w:r>
          <w:rPr>
            <w:rStyle w:val="Hyperlink"/>
          </w:rPr>
          <w:t xml:space="preserve">[2]</w:t>
        </w:r>
      </w:hyperlink>
      <w:r>
        <w:t xml:space="preserve"> </w:t>
      </w:r>
      <w:hyperlink w:anchor="ref-17">
        <w:r>
          <w:rPr>
            <w:rStyle w:val="Hyperlink"/>
          </w:rPr>
          <w:t xml:space="preserve">[17]</w:t>
        </w:r>
      </w:hyperlink>
      <w:r>
        <w:t xml:space="preserve"> </w:t>
      </w:r>
      <w:hyperlink w:anchor="ref-19">
        <w:r>
          <w:rPr>
            <w:rStyle w:val="Hyperlink"/>
          </w:rPr>
          <w:t xml:space="preserve">[19]</w:t>
        </w:r>
      </w:hyperlink>
      <w:r>
        <w:t xml:space="preserve">. The options and space-economy work owns the pricing apparatus and the market framing but never lays a hand on the fission surface power commitment</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 No retrieved source draws an irreversible reactor commitment, a stochastic demand process from expert elicitation, and an options-pricing treatment together into one analysis.</w:t>
      </w:r>
    </w:p>
    <w:p>
      <w:pPr>
        <w:pStyle w:val="BodyText"/>
        <w:spacing w:line="480" w:lineRule="auto"/>
        <w:ind w:firstLine="720"/>
      </w:pPr>
      <w:r>
        <w:t xml:space="preserve">That intersection is where this dissertation sits. It lifts the demand and preference evidence from the Delphi record</w:t>
      </w:r>
      <w:r>
        <w:t xml:space="preserve"> </w:t>
      </w:r>
      <w:hyperlink w:anchor="ref-2">
        <w:r>
          <w:rPr>
            <w:rStyle w:val="Hyperlink"/>
          </w:rPr>
          <w:t xml:space="preserve">[2]</w:t>
        </w:r>
      </w:hyperlink>
      <w:r>
        <w:t xml:space="preserve">, reads the dispersion recorded there as the empirical precondition for an option premium in Dixit and Pindyck’s sense</w:t>
      </w:r>
      <w:r>
        <w:t xml:space="preserve"> </w:t>
      </w:r>
      <w:hyperlink w:anchor="ref-8">
        <w:r>
          <w:rPr>
            <w:rStyle w:val="Hyperlink"/>
          </w:rPr>
          <w:t xml:space="preserve">[8]</w:t>
        </w:r>
      </w:hyperlink>
      <w:r>
        <w:t xml:space="preserve">, and sets the result inside the cost and market context the engineering and space-economy literatures provide</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contribution is not a new method. It is the act of carrying a standard method across a boundary it has not yet crossed, and grounding that crossing in real, published, reproducible expert evidence rather than in stylised assumptions.</w:t>
      </w:r>
    </w:p>
    <w:bookmarkEnd w:id="74"/>
    <w:bookmarkStart w:id="75" w:name="Xef13d7687f14e56ce6098963248c6dbfd9f3f8d"/>
    <w:p>
      <w:pPr>
        <w:pStyle w:val="Heading2"/>
        <w:spacing w:line="480" w:lineRule="auto"/>
      </w:pPr>
      <w:r>
        <w:t xml:space="preserve">Adjacent methods that show the crossing is feasible</w:t>
      </w:r>
    </w:p>
    <w:p>
      <w:pPr>
        <w:pStyle w:val="FirstParagraph"/>
        <w:spacing w:line="480" w:lineRule="auto"/>
      </w:pPr>
      <w:r>
        <w:t xml:space="preserve">Claim that a method has never been applied in a domain and you invite the retort that its absence marks unsuitability rather than oversight. That retort deserves a straight answer, and the flexibility and staged-design literature supplies one, because it already shows options-style reasoning traveling comfortably within space systems engineering, which lays to rest the worry that the lunar power domain is somehow hostile to it. Staged deployment of satellite mega-constellations under demand uncertainty gets analysed with an explicit flexibility valuation, its build-out schedule read as a sequence of options exercised as demand shows its hand</w:t>
      </w:r>
      <w:r>
        <w:t xml:space="preserve"> </w:t>
      </w:r>
      <w:hyperlink w:anchor="ref-19">
        <w:r>
          <w:rPr>
            <w:rStyle w:val="Hyperlink"/>
          </w:rPr>
          <w:t xml:space="preserve">[19]</w:t>
        </w:r>
      </w:hyperlink>
      <w:r>
        <w:t xml:space="preserve">. Multi-objective flexible design of lunar oxygen production facilities values the power to reconfigure under an uncertain operating environment, structurally the same move worked on the production side rather than the power side</w:t>
      </w:r>
      <w:r>
        <w:t xml:space="preserve"> </w:t>
      </w:r>
      <w:hyperlink w:anchor="ref-17">
        <w:r>
          <w:rPr>
            <w:rStyle w:val="Hyperlink"/>
          </w:rPr>
          <w:t xml:space="preserve">[17]</w:t>
        </w:r>
      </w:hyperlink>
      <w:r>
        <w:t xml:space="preserve">. A controlled study of situational awareness in ISRU design decisions finds decision-makers responding to how uncertainty is framed, the behavioural counterpart of the claim that flexibility has value</w:t>
      </w:r>
      <w:r>
        <w:t xml:space="preserve"> </w:t>
      </w:r>
      <w:hyperlink w:anchor="ref-23">
        <w:r>
          <w:rPr>
            <w:rStyle w:val="Hyperlink"/>
          </w:rPr>
          <w:t xml:space="preserve">[23]</w:t>
        </w:r>
      </w:hyperlink>
      <w:r>
        <w:t xml:space="preserve">.</w:t>
      </w:r>
    </w:p>
    <w:p>
      <w:pPr>
        <w:pStyle w:val="BodyText"/>
        <w:spacing w:line="480" w:lineRule="auto"/>
        <w:ind w:firstLine="720"/>
      </w:pPr>
      <w:r>
        <w:t xml:space="preserve">These works earn their place in the literature argument by sealing off the escape route that the method simply fails to fit space infrastructure. It fits. Constellations and production facilities have both taken it on. What no one has done is turn it on the specific solar-versus-nuclear surface power commitment, and ground that application in elicited expert evidence about the demand the power serves. That is the untaken step, and the adjacent applications establish its feasibility rather than leaving it assumed.</w:t>
      </w:r>
    </w:p>
    <w:bookmarkEnd w:id="75"/>
    <w:bookmarkStart w:id="76" w:name="X0c1070d3e7889ef2a41a6c94d36053ca70ec580"/>
    <w:p>
      <w:pPr>
        <w:pStyle w:val="Heading2"/>
        <w:spacing w:line="480" w:lineRule="auto"/>
      </w:pPr>
      <w:r>
        <w:t xml:space="preserve">The observatory and awareness strand in closer view</w:t>
      </w:r>
    </w:p>
    <w:p>
      <w:pPr>
        <w:pStyle w:val="FirstParagraph"/>
        <w:spacing w:line="480" w:lineRule="auto"/>
      </w:pPr>
      <w:r>
        <w:t xml:space="preserve">Since the cost gap and illumination record come out of the surface-awareness strand, that strand earns a second look at the level of detail the argument actually draws on. The retroreflector and laser-ranging heritage on the lunar surface shows that precise, power-dependent instruments carry a long lineage of surface emplacement concepts, which drives home that surface power is a recurring binding constraint, not a novelty of the current architecture</w:t>
      </w:r>
      <w:r>
        <w:t xml:space="preserve"> </w:t>
      </w:r>
      <w:hyperlink w:anchor="ref-16">
        <w:r>
          <w:rPr>
            <w:rStyle w:val="Hyperlink"/>
          </w:rPr>
          <w:t xml:space="preserve">[16]</w:t>
        </w:r>
      </w:hyperlink>
      <w:r>
        <w:t xml:space="preserve">. In-situ measurement work on space-environment effects on spacecraft surfaces brings out how the lunar environment itself degrades and constrains hardware, feeding the mass and reliability assumptions any power-system sizing has to carry</w:t>
      </w:r>
      <w:r>
        <w:t xml:space="preserve"> </w:t>
      </w:r>
      <w:hyperlink w:anchor="ref-15">
        <w:r>
          <w:rPr>
            <w:rStyle w:val="Hyperlink"/>
          </w:rPr>
          <w:t xml:space="preserve">[15]</w:t>
        </w:r>
      </w:hyperlink>
      <w:r>
        <w:t xml:space="preserve">. Lunar dust mitigation research piles on a further environmental burden bearing on the durability and maintenance of surface arrays and radiators alike, and so on the cost comparison between architectures</w:t>
      </w:r>
      <w:r>
        <w:t xml:space="preserve"> </w:t>
      </w:r>
      <w:hyperlink w:anchor="ref-22">
        <w:r>
          <w:rPr>
            <w:rStyle w:val="Hyperlink"/>
          </w:rPr>
          <w:t xml:space="preserve">[22]</w:t>
        </w:r>
      </w:hyperlink>
      <w:r>
        <w:t xml:space="preserve">. None of these prices the timing decision. Each sharpens the picture of why surface power is hard, uncertain, and expensive, which is the context the option argument formalises.</w:t>
      </w:r>
    </w:p>
    <w:p>
      <w:pPr>
        <w:pStyle w:val="BodyText"/>
        <w:spacing w:line="480" w:lineRule="auto"/>
        <w:ind w:firstLine="720"/>
      </w:pPr>
      <w:r>
        <w:t xml:space="preserve">The two empirical chapters ahead are how the crossing gets made concrete, and the literature reviewed here is their point of departure and return. The engineering strand supplies the cost and environment context, the elicitation strand the demand and preference evidence, the flexible-design strand the proof that the method travels, and the options and space-economy strand the pricing logic and the market frame. The dissertation’s job is to weld them at the one point none of them occupies alone.</w:t>
      </w:r>
    </w:p>
    <w:bookmarkEnd w:id="76"/>
    <w:bookmarkStart w:id="77" w:name="Xd2866a0beba7bbf0fc29147bad2fa36a5fd5ced"/>
    <w:p>
      <w:pPr>
        <w:pStyle w:val="Heading2"/>
        <w:spacing w:line="480" w:lineRule="auto"/>
      </w:pPr>
      <w:r>
        <w:t xml:space="preserve">Delphi and expert elicitation as a method literature</w:t>
      </w:r>
    </w:p>
    <w:p>
      <w:pPr>
        <w:pStyle w:val="FirstParagraph"/>
        <w:spacing w:line="480" w:lineRule="auto"/>
      </w:pPr>
      <w:r>
        <w:t xml:space="preserve">Beneath the substantive literatures runs a methodological one about expert elicitation itself, and the dissertation’s dependence on a Delphi survey obliges it to reckon with that tradition rather than take the method on faith. Delphi is a structured, multi-round elicitation built to aggregate expert judgement under deep uncertainty while damping the social pressures that warp face-to-face consensus. For the present problem its strength is exactly that it reports distributions and their spread, agreement shares, medians, and interquartile ranges, rather than collapsing everything to a single forecast</w:t>
      </w:r>
      <w:r>
        <w:t xml:space="preserve"> </w:t>
      </w:r>
      <w:hyperlink w:anchor="ref-2">
        <w:r>
          <w:rPr>
            <w:rStyle w:val="Hyperlink"/>
          </w:rPr>
          <w:t xml:space="preserve">[2]</w:t>
        </w:r>
      </w:hyperlink>
      <w:r>
        <w:t xml:space="preserve">. That reporting is what lets dispersion be measured rather than assumed, and it is why the survey can feed an analysis that turns on dispersion.</w:t>
      </w:r>
    </w:p>
    <w:p>
      <w:pPr>
        <w:pStyle w:val="BodyText"/>
        <w:spacing w:line="480" w:lineRule="auto"/>
        <w:ind w:firstLine="720"/>
      </w:pPr>
      <w:r>
        <w:t xml:space="preserve">The method also carries known limitations the literature has catalogued, and they bear on this study. Delphi results reflect the panel composition and the survey period, and they drift as the field moves. They summarise distributions rather than expose individual respondent microdata, so the analyst is left working with aggregates. And they measure belief, not fact, which is fitting when facts are unavailable but has to be said out loud. The controlled study of situational awareness in ISRU design decisions is instructive here, demonstrating experimentally that how uncertainty is presented shapes the decisions experts make, a warning against reading any single elicitation as fixed truth</w:t>
      </w:r>
      <w:r>
        <w:t xml:space="preserve"> </w:t>
      </w:r>
      <w:hyperlink w:anchor="ref-23">
        <w:r>
          <w:rPr>
            <w:rStyle w:val="Hyperlink"/>
          </w:rPr>
          <w:t xml:space="preserve">[23]</w:t>
        </w:r>
      </w:hyperlink>
      <w:r>
        <w:t xml:space="preserve">. The dissertation takes these limitations aboard and holds its claims to what elicited belief can bear, which is the presence of dispersion, not the resolution of the underlying technology question.</w:t>
      </w:r>
    </w:p>
    <w:bookmarkEnd w:id="77"/>
    <w:bookmarkStart w:id="78" w:name="X29f17b9e2ad1a36c6fef2d70a19a22a53f41db8"/>
    <w:p>
      <w:pPr>
        <w:pStyle w:val="Heading2"/>
        <w:spacing w:line="480" w:lineRule="auto"/>
      </w:pPr>
      <w:r>
        <w:t xml:space="preserve">Where the market and economic framing enters</w:t>
      </w:r>
    </w:p>
    <w:p>
      <w:pPr>
        <w:pStyle w:val="FirstParagraph"/>
        <w:spacing w:line="480" w:lineRule="auto"/>
      </w:pPr>
      <w:r>
        <w:t xml:space="preserve">The space-economy sources contribute what the engineering and elicitation literatures cannot: a feel for the demand trajectory lunar power fits into, and for the uncertainty running through that trajectory</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Forecasts of the space economy set lunar surface activity inside a wider arc of commercial and institutional growth whose pace is itself uncertain, which counts because the demand for lunar power sits downstream of that pace</w:t>
      </w:r>
      <w:r>
        <w:t xml:space="preserve"> </w:t>
      </w:r>
      <w:hyperlink w:anchor="ref-5">
        <w:r>
          <w:rPr>
            <w:rStyle w:val="Hyperlink"/>
          </w:rPr>
          <w:t xml:space="preserve">[5]</w:t>
        </w:r>
      </w:hyperlink>
      <w:r>
        <w:t xml:space="preserve"> </w:t>
      </w:r>
      <w:hyperlink w:anchor="ref-7">
        <w:r>
          <w:rPr>
            <w:rStyle w:val="Hyperlink"/>
          </w:rPr>
          <w:t xml:space="preserve">[7]</w:t>
        </w:r>
      </w:hyperlink>
      <w:r>
        <w:t xml:space="preserve">. Analysis of the role of space in sustainability, security, and development registers that nuclear power might be the right lunar energy source while flagging its cost and acceptability burdens, the qualitative rendering of the tension this dissertation quantifies</w:t>
      </w:r>
      <w:r>
        <w:t xml:space="preserve"> </w:t>
      </w:r>
      <w:hyperlink w:anchor="ref-6">
        <w:r>
          <w:rPr>
            <w:rStyle w:val="Hyperlink"/>
          </w:rPr>
          <w:t xml:space="preserve">[6]</w:t>
        </w:r>
      </w:hyperlink>
      <w:r>
        <w:t xml:space="preserve">.</w:t>
      </w:r>
    </w:p>
    <w:p>
      <w:pPr>
        <w:pStyle w:val="BodyText"/>
        <w:spacing w:line="480" w:lineRule="auto"/>
        <w:ind w:firstLine="720"/>
      </w:pPr>
      <w:r>
        <w:t xml:space="preserve">What this framing establishes is that the demand uncertainty is no modelling artifact but a feature of a genuinely uncertain economic future. A reader might otherwise suspect the demand uncertainty was manufactured to make the option argument go. The space-economy literature shows it to be real and widely acknowledged, standing apart from any options treatment. That independent grounding is what lets the dissertation take demand uncertainty as a premise rather than a contrivance, and it closes the circle of literatures the empirical chapters draw on. Engineering gives the cost and environment, elicitation the measured belief, flexible design the proof the method travels, options the pricing logic, and space economy the market reality that lifts the whole exercise above a formal curiosity.</w:t>
      </w:r>
    </w:p>
    <w:bookmarkEnd w:id="78"/>
    <w:bookmarkStart w:id="79" w:name="X99b5f832487087eb26944b7260604871db1afa3"/>
    <w:p>
      <w:pPr>
        <w:pStyle w:val="Heading2"/>
        <w:spacing w:line="480" w:lineRule="auto"/>
      </w:pPr>
      <w:r>
        <w:t xml:space="preserve">The disposal and end-of-life strand as a reminder of irreversibility</w:t>
      </w:r>
    </w:p>
    <w:p>
      <w:pPr>
        <w:pStyle w:val="FirstParagraph"/>
        <w:spacing w:line="480" w:lineRule="auto"/>
      </w:pPr>
      <w:r>
        <w:t xml:space="preserve">One last strand of the cislunar literature shores up the irreversibility premise the option argument rests on, and it is worth naming because irreversibility is the condition most readily taken for granted. Work on end-of-life disposal strategies for cislunar missions treats the downstream consequences of infrastructure commitments as consequential in their own right, showing that whatever is placed in the cislunar environment carries obligations that outlast its operational life</w:t>
      </w:r>
      <w:r>
        <w:t xml:space="preserve"> </w:t>
      </w:r>
      <w:hyperlink w:anchor="ref-12">
        <w:r>
          <w:rPr>
            <w:rStyle w:val="Hyperlink"/>
          </w:rPr>
          <w:t xml:space="preserve">[12]</w:t>
        </w:r>
      </w:hyperlink>
      <w:r>
        <w:t xml:space="preserve">. A nuclear surface asset is the extreme instance: its emplacement is not merely a capital commitment but a long-lived physical and regulatory one that cannot be casually undone. The disposal literature does not analyse the timing of the power commitment, and yet it underscores that surface commitments in this domain are sticky in ways terrestrial infrastructure often is not, which strengthens the case that irreversibility here is real rather than nominal. That reinforcement matters, because the whole option argument comes apart if the commitment turns out easy to reverse, and the disposal strand is independent evidence that it is not.</w:t>
      </w:r>
    </w:p>
    <w:bookmarkEnd w:id="79"/>
    <w:bookmarkEnd w:id="80"/>
    <w:bookmarkStart w:id="91" w:name="theory-and-hypotheses"/>
    <w:p>
      <w:pPr>
        <w:pStyle w:val="Heading1"/>
        <w:spacing w:line="480" w:lineRule="auto"/>
      </w:pPr>
      <w:r>
        <w:t xml:space="preserve">Theory and Hypotheses</w:t>
      </w:r>
    </w:p>
    <w:p>
      <w:pPr>
        <w:pStyle w:val="FirstParagraph"/>
        <w:spacing w:line="480" w:lineRule="auto"/>
      </w:pPr>
      <w:r>
        <w:t xml:space="preserve">The theoretical claim of this dissertation runs as follows: the lunar fission surface power commitment is not a static cost comparison but an investment-timing problem, and modelled correctly, the right to defer commitment carries positive value. This chapter builds that claim up from first principles. It works out the mechanism by which irreversibility, uncertainty, and learning combine into an option premium, translates that mechanism into the specific structure of the lunar power decision, and derives the testable predictions the empirical chapters go on to evaluate. It ends by casting the null and alternative hypotheses in falsifiable form.</w:t>
      </w:r>
    </w:p>
    <w:bookmarkStart w:id="81" w:name="the-mechanism"/>
    <w:p>
      <w:pPr>
        <w:pStyle w:val="Heading2"/>
        <w:spacing w:line="480" w:lineRule="auto"/>
      </w:pPr>
      <w:r>
        <w:t xml:space="preserve">The mechanism</w:t>
      </w:r>
    </w:p>
    <w:p>
      <w:pPr>
        <w:pStyle w:val="FirstParagraph"/>
        <w:spacing w:line="480" w:lineRule="auto"/>
      </w:pPr>
      <w:r>
        <w:t xml:space="preserve">Begin with the standard net-present-value rule, since it is the thing the theory sets out to correct. Under that rule, a decision-maker weighing solar-plus-storage against a nuclear architecture computes the present value of each, nets out costs, and commits to whichever shows the higher net value the instant that value goes positive. The rule holds when a decision is either reversible or strictly now-or-never. It breaks the moment a decision is at once irreversible and deferrable, because committing then destroys something with value of its own: the ability to wait and see.</w:t>
      </w:r>
    </w:p>
    <w:p>
      <w:pPr>
        <w:pStyle w:val="BodyText"/>
        <w:spacing w:line="480" w:lineRule="auto"/>
        <w:ind w:firstLine="720"/>
      </w:pPr>
      <w:r>
        <w:t xml:space="preserve">Three conditions must hold jointly for the option to wait to be worth anything, and for the lunar reactor all three do. Take irreversibility first. A nuclear commitment sinks capital into reactor development, launch integration, and a safety and licensing process that cannot be unwound should the outpost end up needing less power than expected</w:t>
      </w:r>
      <w:r>
        <w:t xml:space="preserve"> </w:t>
      </w:r>
      <w:hyperlink w:anchor="ref-8">
        <w:r>
          <w:rPr>
            <w:rStyle w:val="Hyperlink"/>
          </w:rPr>
          <w:t xml:space="preserve">[8]</w:t>
        </w:r>
      </w:hyperlink>
      <w:r>
        <w:t xml:space="preserve">. Uncertainty comes next. What a nuclear architecture pays off depends on quantities unknown at the moment of decision: the reactor’s delivered unit cost, the illumination available at the eventual landing site, and above all the arrival date and scale of the in-situ resource utilisation demand that would justify a large steady supply</w:t>
      </w:r>
      <w:r>
        <w:t xml:space="preserve"> </w:t>
      </w:r>
      <w:hyperlink w:anchor="ref-1">
        <w:r>
          <w:rPr>
            <w:rStyle w:val="Hyperlink"/>
          </w:rPr>
          <w:t xml:space="preserve">[1]</w:t>
        </w:r>
      </w:hyperlink>
      <w:r>
        <w:t xml:space="preserve"> </w:t>
      </w:r>
      <w:hyperlink w:anchor="ref-2">
        <w:r>
          <w:rPr>
            <w:rStyle w:val="Hyperlink"/>
          </w:rPr>
          <w:t xml:space="preserve">[2]</w:t>
        </w:r>
      </w:hyperlink>
      <w:r>
        <w:t xml:space="preserve">. Learning is the third. Information about all three trickles in over time, as concept studies mature, as landing sites are characterised, and as ISRU technology works its way up the readiness ladder</w:t>
      </w:r>
      <w:r>
        <w:t xml:space="preserve"> </w:t>
      </w:r>
      <w:hyperlink w:anchor="ref-4">
        <w:r>
          <w:rPr>
            <w:rStyle w:val="Hyperlink"/>
          </w:rPr>
          <w:t xml:space="preserve">[4]</w:t>
        </w:r>
      </w:hyperlink>
      <w:r>
        <w:t xml:space="preserve"> </w:t>
      </w:r>
      <w:hyperlink w:anchor="ref-23">
        <w:r>
          <w:rPr>
            <w:rStyle w:val="Hyperlink"/>
          </w:rPr>
          <w:t xml:space="preserve">[23]</w:t>
        </w:r>
      </w:hyperlink>
      <w:r>
        <w:t xml:space="preserve">.</w:t>
      </w:r>
    </w:p>
    <w:p>
      <w:pPr>
        <w:pStyle w:val="BodyText"/>
        <w:spacing w:line="480" w:lineRule="auto"/>
        <w:ind w:firstLine="720"/>
      </w:pPr>
      <w:r>
        <w:t xml:space="preserve">Hold those three together and Dixit and Pindyck’s mathematics returns a clean result. The investment opportunity is worth what an American call option on the underlying project is worth, and the optimal policy is not to invest the moment net present value first goes positive but to wait until it clears a strictly higher threshold that captures the value of the information a delay would buy</w:t>
      </w:r>
      <w:r>
        <w:t xml:space="preserve"> </w:t>
      </w:r>
      <w:hyperlink w:anchor="ref-8">
        <w:r>
          <w:rPr>
            <w:rStyle w:val="Hyperlink"/>
          </w:rPr>
          <w:t xml:space="preserve">[8]</w:t>
        </w:r>
      </w:hyperlink>
      <w:r>
        <w:t xml:space="preserve">. The distance between the naive break-even and the correct threshold is the option premium. It measures how far a static rule undervalues waiting, and it stays strictly positive as long as the three conditions hold and the uncertainty is genuine rather than resolvable for free.</w:t>
      </w:r>
    </w:p>
    <w:bookmarkEnd w:id="81"/>
    <w:bookmarkStart w:id="82" w:name="why-the-lunar-case-fits-the-structure"/>
    <w:p>
      <w:pPr>
        <w:pStyle w:val="Heading2"/>
        <w:spacing w:line="480" w:lineRule="auto"/>
      </w:pPr>
      <w:r>
        <w:t xml:space="preserve">Why the lunar case fits the structure</w:t>
      </w:r>
    </w:p>
    <w:p>
      <w:pPr>
        <w:pStyle w:val="FirstParagraph"/>
        <w:spacing w:line="480" w:lineRule="auto"/>
      </w:pPr>
      <w:r>
        <w:t xml:space="preserve">The abstract mechanism bites only if the lunar power decision genuinely carries the required structure, and showing that it does is the burden the empirical chapters take on. Walk through each condition in the concrete setting.</w:t>
      </w:r>
    </w:p>
    <w:p>
      <w:pPr>
        <w:pStyle w:val="BodyText"/>
        <w:spacing w:line="480" w:lineRule="auto"/>
        <w:ind w:firstLine="720"/>
      </w:pPr>
      <w:r>
        <w:t xml:space="preserve">For the nuclear pathway irreversibility is close to complete; for the solar pathway it is far lower. Solar-plus-storage scales incrementally, its storage built up as demand grows, its arrays added a panel at a time</w:t>
      </w:r>
      <w:r>
        <w:t xml:space="preserve"> </w:t>
      </w:r>
      <w:hyperlink w:anchor="ref-1">
        <w:r>
          <w:rPr>
            <w:rStyle w:val="Hyperlink"/>
          </w:rPr>
          <w:t xml:space="preserve">[1]</w:t>
        </w:r>
      </w:hyperlink>
      <w:r>
        <w:t xml:space="preserve">. A reactor is lumpy. Designed, licensed, launched, and emplaced as a single unit, it takes political capital to authorise a nuclear launch that no cancellation gives back</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asymmetry matters. It means the option to wait is specifically an option about the nuclear commitment, because that is the branch of the decision tree closing off irreversibly.</w:t>
      </w:r>
    </w:p>
    <w:p>
      <w:pPr>
        <w:pStyle w:val="BodyText"/>
        <w:spacing w:line="480" w:lineRule="auto"/>
        <w:ind w:firstLine="720"/>
      </w:pPr>
      <w:r>
        <w:t xml:space="preserve">Uncertainty runs through both the cost and the demand sides. On cost, the four-times gap between solar and nuclear architectures that the surface-station analysis documents is no point estimate with a tidy error band; it is a wide range whose realised value hinges on storage mass and site geometry not yet fixed</w:t>
      </w:r>
      <w:r>
        <w:t xml:space="preserve"> </w:t>
      </w:r>
      <w:hyperlink w:anchor="ref-1">
        <w:r>
          <w:rPr>
            <w:rStyle w:val="Hyperlink"/>
          </w:rPr>
          <w:t xml:space="preserve">[1]</w:t>
        </w:r>
      </w:hyperlink>
      <w:r>
        <w:t xml:space="preserve">. On demand, the Delphi record scatters expert expectations for ISRU deployment across more than a decade and records that useful ISRU activity could load on the order of a megawatt onto the outpost, a figure that remakes the power problem if it lands early and leaves it modest if it lands late</w:t>
      </w:r>
      <w:r>
        <w:t xml:space="preserve"> </w:t>
      </w:r>
      <w:hyperlink w:anchor="ref-2">
        <w:r>
          <w:rPr>
            <w:rStyle w:val="Hyperlink"/>
          </w:rPr>
          <w:t xml:space="preserve">[2]</w:t>
        </w:r>
      </w:hyperlink>
      <w:r>
        <w:t xml:space="preserve">. Flexible-design analyses of oxygen production confirm the demand environment is uncertain enough that flexibility itself carries measurable value</w:t>
      </w:r>
      <w:r>
        <w:t xml:space="preserve"> </w:t>
      </w:r>
      <w:hyperlink w:anchor="ref-17">
        <w:r>
          <w:rPr>
            <w:rStyle w:val="Hyperlink"/>
          </w:rPr>
          <w:t xml:space="preserve">[17]</w:t>
        </w:r>
      </w:hyperlink>
      <w:r>
        <w:t xml:space="preserve">.</w:t>
      </w:r>
    </w:p>
    <w:p>
      <w:pPr>
        <w:pStyle w:val="BodyText"/>
        <w:spacing w:line="480" w:lineRule="auto"/>
        <w:ind w:firstLine="720"/>
      </w:pPr>
      <w:r>
        <w:t xml:space="preserve">Learning is the condition slipped past most easily and the one that decides the matter. Could the uncertainty never be reduced, waiting would buy nothing and the option premium would fall to zero. But the lunar power uncertainties are precisely the sort that time dissolves. Concept studies tighten reactor cost estimates</w:t>
      </w:r>
      <w:r>
        <w:t xml:space="preserve"> </w:t>
      </w:r>
      <w:hyperlink w:anchor="ref-4">
        <w:r>
          <w:rPr>
            <w:rStyle w:val="Hyperlink"/>
          </w:rPr>
          <w:t xml:space="preserve">[4]</w:t>
        </w:r>
      </w:hyperlink>
      <w:r>
        <w:t xml:space="preserve">. Landing-site campaigns pin down illumination availability</w:t>
      </w:r>
      <w:r>
        <w:t xml:space="preserve"> </w:t>
      </w:r>
      <w:hyperlink w:anchor="ref-1">
        <w:r>
          <w:rPr>
            <w:rStyle w:val="Hyperlink"/>
          </w:rPr>
          <w:t xml:space="preserve">[1]</w:t>
        </w:r>
      </w:hyperlink>
      <w:r>
        <w:t xml:space="preserve">. ISRU demonstrations push technology up the readiness ladder and expose deployment dates</w:t>
      </w:r>
      <w:r>
        <w:t xml:space="preserve"> </w:t>
      </w:r>
      <w:hyperlink w:anchor="ref-2">
        <w:r>
          <w:rPr>
            <w:rStyle w:val="Hyperlink"/>
          </w:rPr>
          <w:t xml:space="preserve">[2]</w:t>
        </w:r>
      </w:hyperlink>
      <w:r>
        <w:t xml:space="preserve"> </w:t>
      </w:r>
      <w:hyperlink w:anchor="ref-23">
        <w:r>
          <w:rPr>
            <w:rStyle w:val="Hyperlink"/>
          </w:rPr>
          <w:t xml:space="preserve">[23]</w:t>
        </w:r>
      </w:hyperlink>
      <w:r>
        <w:t xml:space="preserve">. Each is a channel through which a year of delay buys information. That is the source of the wait’s value.</w:t>
      </w:r>
    </w:p>
    <w:bookmarkEnd w:id="82"/>
    <w:bookmarkStart w:id="83" w:name="X6c06b7bff5550407e4499525748257b45c811e6"/>
    <w:p>
      <w:pPr>
        <w:pStyle w:val="Heading2"/>
        <w:spacing w:line="480" w:lineRule="auto"/>
      </w:pPr>
      <w:r>
        <w:t xml:space="preserve">From mechanism to a measurable precondition</w:t>
      </w:r>
    </w:p>
    <w:p>
      <w:pPr>
        <w:pStyle w:val="FirstParagraph"/>
        <w:spacing w:line="480" w:lineRule="auto"/>
      </w:pPr>
      <w:r>
        <w:t xml:space="preserve">Pricing the option in full would take a joint distribution over reactor cost, illumination availability, and demand arrival, calibrated to operational data not yet public. This dissertation lays no claim to that data. What it does claim, and can test, is the precondition that makes the option premium positive rather than zero. The precondition is dispersion in expert belief about nuclear power.</w:t>
      </w:r>
    </w:p>
    <w:p>
      <w:pPr>
        <w:pStyle w:val="BodyText"/>
        <w:spacing w:line="480" w:lineRule="auto"/>
        <w:ind w:firstLine="720"/>
      </w:pPr>
      <w:r>
        <w:t xml:space="preserve">The logic runs straight. Were the expert community holding a concentrated view, sharply for nuclear or sharply against, little uncertainty would remain for waiting to resolve, and the learning condition would go slack. A concentrated preference would say the community already knows the answer, and a program moving on that consensus would give up almost nothing by committing now. Dispersion is the observable fingerprint of genuine, learning-reducible uncertainty. When experts spread their preference evenly across ranks, and when their agreement on nuclear propositions runs weaker than their agreement on settled ISRU propositions, that is direct evidence the community’s belief about nuclear power is unsettled, so that further information could sharpen it</w:t>
      </w:r>
      <w:r>
        <w:t xml:space="preserve"> </w:t>
      </w:r>
      <w:hyperlink w:anchor="ref-2">
        <w:r>
          <w:rPr>
            <w:rStyle w:val="Hyperlink"/>
          </w:rPr>
          <w:t xml:space="preserve">[2]</w:t>
        </w:r>
      </w:hyperlink>
      <w:r>
        <w:t xml:space="preserve">.</w:t>
      </w:r>
    </w:p>
    <w:p>
      <w:pPr>
        <w:pStyle w:val="BodyText"/>
        <w:spacing w:line="480" w:lineRule="auto"/>
        <w:ind w:firstLine="720"/>
      </w:pPr>
      <w:r>
        <w:t xml:space="preserve">This turns an unfalsifiable theoretical claim into a falsifiable empirical one. Instead of asserting that waiting has value, the dissertation tests whether the expert evidence shows the dispersion that waiting’s value requires. The two empirical papers are the two halves of that test. The first asks whether nuclear power carries any independent, concentrated premium in the ranking once the ranking structure is accounted for. The second asks whether the elicitation is informative enough that the dispersion it documents can be trusted rather than written off as noise.</w:t>
      </w:r>
    </w:p>
    <w:bookmarkEnd w:id="83"/>
    <w:bookmarkStart w:id="84" w:name="testable-predictions"/>
    <w:p>
      <w:pPr>
        <w:pStyle w:val="Heading2"/>
        <w:spacing w:line="480" w:lineRule="auto"/>
      </w:pPr>
      <w:r>
        <w:t xml:space="preserve">Testable predictions</w:t>
      </w:r>
    </w:p>
    <w:p>
      <w:pPr>
        <w:pStyle w:val="FirstParagraph"/>
        <w:spacing w:line="480" w:lineRule="auto"/>
      </w:pPr>
      <w:r>
        <w:t xml:space="preserve">The mechanism throws off specific predictions the data can confirm or refute.</w:t>
      </w:r>
    </w:p>
    <w:p>
      <w:pPr>
        <w:pStyle w:val="BodyText"/>
        <w:spacing w:line="480" w:lineRule="auto"/>
        <w:ind w:firstLine="720"/>
      </w:pPr>
      <w:r>
        <w:t xml:space="preserve">The first concerns preference structure. Should preference over energy technologies be driven by the published ranking structure, then a technology’s preference points ought to climb with the interaction between how preferred its rank position is and its published final score. This says nothing about nuclear specifically; it checks that the ranking behaves coherently, that better-scored technologies really do gather preference at more preferred positions. A positive, significant interaction coefficient confirms the ranking is structured rather than random.</w:t>
      </w:r>
    </w:p>
    <w:p>
      <w:pPr>
        <w:pStyle w:val="BodyText"/>
        <w:spacing w:line="480" w:lineRule="auto"/>
        <w:ind w:firstLine="720"/>
      </w:pPr>
      <w:r>
        <w:t xml:space="preserve">The second concerns nuclear ambiguity, and it bears the load. Should nuclear power sit in a zone of genuine dispersion, then once the ranking structure is controlled for, the nuclear indicator ought to carry no independent premium or discount. Its coefficient ought to be small and statistically indistinguishable from zero. A flat, insignificant nuclear coefficient is the empirical fingerprint of dispersion, and it is precisely the condition the option argument requires.</w:t>
      </w:r>
    </w:p>
    <w:p>
      <w:pPr>
        <w:pStyle w:val="BodyText"/>
        <w:spacing w:line="480" w:lineRule="auto"/>
        <w:ind w:firstLine="720"/>
      </w:pPr>
      <w:r>
        <w:t xml:space="preserve">The third concerns elicitation quality. Should the Delphi tables be informative rather than noisy, then agreement share ought to rise systematically and steeply with the central tendency of the responses. A high elasticity of agreement share with respect to median position, precisely estimated, establishes that the elicitation carries real information, which licenses reading its documented dispersion as meaningful rather than as measurement error.</w:t>
      </w:r>
    </w:p>
    <w:bookmarkEnd w:id="84"/>
    <w:bookmarkStart w:id="85" w:name="hypotheses"/>
    <w:p>
      <w:pPr>
        <w:pStyle w:val="Heading2"/>
        <w:spacing w:line="480" w:lineRule="auto"/>
      </w:pPr>
      <w:r>
        <w:t xml:space="preserve">Hypotheses</w:t>
      </w:r>
    </w:p>
    <w:p>
      <w:pPr>
        <w:pStyle w:val="FirstParagraph"/>
        <w:spacing w:line="480" w:lineRule="auto"/>
      </w:pPr>
      <w:r>
        <w:t xml:space="preserve">The dissertation frames its hypotheses around the load-bearing prediction, the second one, because that is where the option argument holds or gives way.</w:t>
      </w:r>
    </w:p>
    <w:p>
      <w:pPr>
        <w:pStyle w:val="BodyText"/>
        <w:spacing w:line="480" w:lineRule="auto"/>
        <w:ind w:firstLine="720"/>
      </w:pPr>
      <w:r>
        <w:t xml:space="preserve">The null hypothesis, H0, holds that nuclear power carries no independent, concentrated preference signal once the ranking structure is in, so the nuclear indicator is statistically indistinguishable from zero at the five percent level. Under H0, nuclear power is dispersed, the learning condition is met, and the precondition for a positive option premium holds.</w:t>
      </w:r>
    </w:p>
    <w:p>
      <w:pPr>
        <w:pStyle w:val="BodyText"/>
        <w:spacing w:line="480" w:lineRule="auto"/>
        <w:ind w:firstLine="720"/>
      </w:pPr>
      <w:r>
        <w:t xml:space="preserve">The alternative hypothesis, H1, holds that nuclear power carries a concentrated independent signal, a significant positive premium or negative discount, that survives control for the ranking structure. Under H1, the community holds a settled view of nuclear power, the dispersion is gone, and the option-to-wait argument loses its empirical footing.</w:t>
      </w:r>
    </w:p>
    <w:p>
      <w:pPr>
        <w:pStyle w:val="BodyText"/>
        <w:spacing w:line="480" w:lineRule="auto"/>
        <w:ind w:firstLine="720"/>
      </w:pPr>
      <w:r>
        <w:t xml:space="preserve">Putting the option argument on the null is deliberate, unusual, and chosen on purpose. It denies the argument a default win through a failure to reject. Instead the analysis reports the full estimate, its standard error, and its precision, so a reader can weigh whether the failure to find a concentrated nuclear signal reflects genuine dispersion or merely a small, underpowered sample. What separates those two readings is the companion elasticity result, because it establishes the elicitation as informative, so that a flat nuclear coefficient reads as real dispersion rather than a table too noisy to say anything.</w:t>
      </w:r>
    </w:p>
    <w:bookmarkEnd w:id="85"/>
    <w:bookmarkStart w:id="86" w:name="Xeab745c5fb310de4b48bfe7fd53ab2fa0f72bef"/>
    <w:p>
      <w:pPr>
        <w:pStyle w:val="Heading2"/>
        <w:spacing w:line="480" w:lineRule="auto"/>
      </w:pPr>
      <w:r>
        <w:t xml:space="preserve">The asymmetry that makes the option one-sided</w:t>
      </w:r>
    </w:p>
    <w:p>
      <w:pPr>
        <w:pStyle w:val="FirstParagraph"/>
        <w:spacing w:line="480" w:lineRule="auto"/>
      </w:pPr>
      <w:r>
        <w:t xml:space="preserve">One subtlety in the mechanism deserves its own treatment, because it explains why the option to wait fastens specifically to the nuclear branch and not symmetrically to both. Solar-plus-storage is incrementally scalable and mature enough that its commitment is not lumpy: a program adds arrays and storage as demand grows, adjusting on the fly as information arrives</w:t>
      </w:r>
      <w:r>
        <w:t xml:space="preserve"> </w:t>
      </w:r>
      <w:hyperlink w:anchor="ref-1">
        <w:r>
          <w:rPr>
            <w:rStyle w:val="Hyperlink"/>
          </w:rPr>
          <w:t xml:space="preserve">[1]</w:t>
        </w:r>
      </w:hyperlink>
      <w:r>
        <w:t xml:space="preserve">. Nuclear differs in kind. Its commitment is discrete, front-loaded, and bound up in a licensing and launch-authorisation process whose political cost is unrecoverable</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upshot is an asymmetric decision tree. Waiting on solar costs little, because solar can be scaled later on similar terms. Waiting on nuclear preserves a genuinely valuable right, because committing to nuclear early forecloses the chance to learn whether the demand that justifies it will actually arrive.</w:t>
      </w:r>
    </w:p>
    <w:p>
      <w:pPr>
        <w:pStyle w:val="BodyText"/>
        <w:spacing w:line="480" w:lineRule="auto"/>
        <w:ind w:firstLine="720"/>
      </w:pPr>
      <w:r>
        <w:t xml:space="preserve">That asymmetry is why the theory does not collapse into a bland claim that every decision should be deferred. Deferral pays only where commitment is irreversible and learning is possible, and among the lunar power options nuclear is the one carrying both properties most strongly. The solar pathway can play the reversible default that keeps the outpost powered while the nuclear option stays open, which is exactly the staged posture the option analysis recommends. The demand-side flexibility literature lands on the analogous conclusion for production systems, valuing the ability to reconfigure over commitment to a single fixed design</w:t>
      </w:r>
      <w:r>
        <w:t xml:space="preserve"> </w:t>
      </w:r>
      <w:hyperlink w:anchor="ref-17">
        <w:r>
          <w:rPr>
            <w:rStyle w:val="Hyperlink"/>
          </w:rPr>
          <w:t xml:space="preserve">[17]</w:t>
        </w:r>
      </w:hyperlink>
      <w:r>
        <w:t xml:space="preserve"> </w:t>
      </w:r>
      <w:hyperlink w:anchor="ref-19">
        <w:r>
          <w:rPr>
            <w:rStyle w:val="Hyperlink"/>
          </w:rPr>
          <w:t xml:space="preserve">[19]</w:t>
        </w:r>
      </w:hyperlink>
      <w:r>
        <w:t xml:space="preserve">.</w:t>
      </w:r>
    </w:p>
    <w:bookmarkEnd w:id="86"/>
    <w:bookmarkStart w:id="87" w:name="X165b8efef1d4438a501a1b60430e7f7f5c10260"/>
    <w:p>
      <w:pPr>
        <w:pStyle w:val="Heading2"/>
        <w:spacing w:line="480" w:lineRule="auto"/>
      </w:pPr>
      <w:r>
        <w:t xml:space="preserve">Distinguishing genuine uncertainty from mere disagreement</w:t>
      </w:r>
    </w:p>
    <w:p>
      <w:pPr>
        <w:pStyle w:val="FirstParagraph"/>
        <w:spacing w:line="480" w:lineRule="auto"/>
      </w:pPr>
      <w:r>
        <w:t xml:space="preserve">One further conceptual point secures the link from dispersion to option value. Not every disagreement among experts implies learning-reducible uncertainty; some disagreements reflect fixed differences in values that no quantity of information will reconcile. The theory needs the dispersion in nuclear preference to be of the reducible kind, the kind landing-site data, cost maturation, and demonstrated demand would actually settle, rather than an irreducible clash of priors. The Delphi evidence speaks to this. The dispersion in nuclear preference sits alongside high agreement on the demand propositions that would drive the nuclear case, oxygen production targets, ISRU power load, and specific-mass considerations</w:t>
      </w:r>
      <w:r>
        <w:t xml:space="preserve"> </w:t>
      </w:r>
      <w:hyperlink w:anchor="ref-2">
        <w:r>
          <w:rPr>
            <w:rStyle w:val="Hyperlink"/>
          </w:rPr>
          <w:t xml:space="preserve">[2]</w:t>
        </w:r>
      </w:hyperlink>
      <w:r>
        <w:t xml:space="preserve">. That pattern fits reducible uncertainty: experts agree on what would make nuclear valuable while splitting over whether it will materialise on a schedule that justifies committing now. Improving information is exactly what settles a disagreement of that kind, which is what the learning condition asks for.</w:t>
      </w:r>
    </w:p>
    <w:bookmarkEnd w:id="87"/>
    <w:bookmarkStart w:id="88" w:name="Xcebc2f81d80e9df5e2b11538330b264ab1330ed"/>
    <w:p>
      <w:pPr>
        <w:pStyle w:val="Heading2"/>
        <w:spacing w:line="480" w:lineRule="auto"/>
      </w:pPr>
      <w:r>
        <w:t xml:space="preserve">The threshold and the premium in intuitive terms</w:t>
      </w:r>
    </w:p>
    <w:p>
      <w:pPr>
        <w:pStyle w:val="FirstParagraph"/>
        <w:spacing w:line="480" w:lineRule="auto"/>
      </w:pPr>
      <w:r>
        <w:t xml:space="preserve">Stating the option result without its machinery helps, because the intuition is what the program audience needs. Under the naive rule, a decision-maker commits to nuclear the instant its expected net value crosses zero. Under the correct rule, the decision-maker holds off until the expected net value crosses a higher bar, and the space between the two bars is the option premium</w:t>
      </w:r>
      <w:r>
        <w:t xml:space="preserve"> </w:t>
      </w:r>
      <w:hyperlink w:anchor="ref-8">
        <w:r>
          <w:rPr>
            <w:rStyle w:val="Hyperlink"/>
          </w:rPr>
          <w:t xml:space="preserve">[8]</w:t>
        </w:r>
      </w:hyperlink>
      <w:r>
        <w:t xml:space="preserve">. Why the higher bar? Because committing today throws away the chance to learn, over the coming year or several, whether the demand and cost realisations will make nuclear clearly worthwhile or clearly not. That chance to learn has value whenever the future is uncertain and the information is on its way. Paying to commit before it arrives is paying to give up the learning, and the premium is the measure of what the learning was worth.</w:t>
      </w:r>
    </w:p>
    <w:p>
      <w:pPr>
        <w:pStyle w:val="BodyText"/>
        <w:spacing w:line="480" w:lineRule="auto"/>
        <w:ind w:firstLine="720"/>
      </w:pPr>
      <w:r>
        <w:t xml:space="preserve">Three things enlarge the premium. More uncertainty enlarges it, because there is more to learn. More irreversibility enlarges it, because a mistaken early commitment costs more to unwind. And faster-arriving information enlarges it, because each unit of delay then resolves more. The lunar power case has all three: the cost gap is wide, the nuclear commitment is nearly total, and information about site illumination, reactor cost, and ISRU demand is arriving through active campaigns and demonstrations</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23">
        <w:r>
          <w:rPr>
            <w:rStyle w:val="Hyperlink"/>
          </w:rPr>
          <w:t xml:space="preserve">[23]</w:t>
        </w:r>
      </w:hyperlink>
      <w:r>
        <w:t xml:space="preserve">. The theory therefore predicts a substantial premium, though the theory alone cannot say how large; magnitude waits on the calibrated valuation the dissertation flags as future work.</w:t>
      </w:r>
    </w:p>
    <w:bookmarkEnd w:id="88"/>
    <w:bookmarkStart w:id="89" w:name="X0bc3d88f97604b7ab76ce345fff157260330049"/>
    <w:p>
      <w:pPr>
        <w:pStyle w:val="Heading2"/>
        <w:spacing w:line="480" w:lineRule="auto"/>
      </w:pPr>
      <w:r>
        <w:t xml:space="preserve">Why the preconditions, not the premium, are the testable object</w:t>
      </w:r>
    </w:p>
    <w:p>
      <w:pPr>
        <w:pStyle w:val="FirstParagraph"/>
        <w:spacing w:line="480" w:lineRule="auto"/>
      </w:pPr>
      <w:r>
        <w:t xml:space="preserve">A reader might ask why the dissertation tests preconditions instead of estimating the premium directly, since the premium is what a decision-maker finally wants. The answer is evidentiary honesty. Estimating the premium calls for calibrated distributions over reactor cost, illumination availability, and demand arrival, and those distributions do not yet exist in citable public form. A premium built from assumed distributions would yield a number, but a number propped on assumptions the data cannot support, which is exactly the false precision the dissertation refuses. What the data can support is a test of whether the preconditions hold, and the preconditions are what decide whether the premium is positive or zero. A positive premium needs dispersion; a settled expert view would drive it toward zero. Testing the dispersion is therefore testing the sign of the premium, which is the falsifiable core, even where its magnitude stays out of reach. This is the reasoning that lays the empirical burden on the two Delphi papers rather than on a valuation lattice, and it is why the hypotheses are stated over preference concentration rather than over dollars.</w:t>
      </w:r>
    </w:p>
    <w:bookmarkEnd w:id="89"/>
    <w:bookmarkStart w:id="90" w:name="Xfc34ab1b90155829b0b1ed8ea1e7df4d553c6a2"/>
    <w:p>
      <w:pPr>
        <w:pStyle w:val="Heading2"/>
        <w:spacing w:line="480" w:lineRule="auto"/>
      </w:pPr>
      <w:r>
        <w:t xml:space="preserve">The role of the solar default in the option structure</w:t>
      </w:r>
    </w:p>
    <w:p>
      <w:pPr>
        <w:pStyle w:val="FirstParagraph"/>
        <w:spacing w:line="480" w:lineRule="auto"/>
      </w:pPr>
      <w:r>
        <w:t xml:space="preserve">A complete statement of the mechanism has to account for the solar pathway, because the option to wait on nuclear is worth something only if something powers the outpost while the wait plays out. Solar-plus-storage fills that role. It is the reversible default that keeps the lights on, scalable enough to meet near-term load and grow incrementally as demand rises, which means a program can defer the nuclear commitment without leaving the outpost dark</w:t>
      </w:r>
      <w:r>
        <w:t xml:space="preserve"> </w:t>
      </w:r>
      <w:hyperlink w:anchor="ref-1">
        <w:r>
          <w:rPr>
            <w:rStyle w:val="Hyperlink"/>
          </w:rPr>
          <w:t xml:space="preserve">[1]</w:t>
        </w:r>
      </w:hyperlink>
      <w:r>
        <w:t xml:space="preserve">. That is what makes the option structure coherent rather than paralysing. Waiting is not a refusal to act; it is a choice to meet near-term demand with the flexible default while holding the irreversible commitment open.</w:t>
      </w:r>
    </w:p>
    <w:p>
      <w:pPr>
        <w:pStyle w:val="BodyText"/>
        <w:spacing w:line="480" w:lineRule="auto"/>
        <w:ind w:firstLine="720"/>
      </w:pPr>
      <w:r>
        <w:t xml:space="preserve">The expert ranking backs this reading directly. Solar photovoltaic is the clear near-term favourite, with a top-weighted vote distribution and a final score well above the field, exactly the profile of a technology the community trusts to carry the early outpost</w:t>
      </w:r>
      <w:r>
        <w:t xml:space="preserve"> </w:t>
      </w:r>
      <w:hyperlink w:anchor="ref-2">
        <w:r>
          <w:rPr>
            <w:rStyle w:val="Hyperlink"/>
          </w:rPr>
          <w:t xml:space="preserve">[2]</w:t>
        </w:r>
      </w:hyperlink>
      <w:r>
        <w:t xml:space="preserve">. Nuclear sits in dispersion, the profile of an option worth holding rather than exercising now. So the mechanism does not pit solar against nuclear as rival final answers; it casts solar as the bridge that finances the wait and nuclear as the option the wait preserves. That division of roles is what turns an abstract option premium into a concrete program posture, and it is why the empirical finding about nuclear dispersion becomes an actionable recommendation rather than a mere observation. The next chapter lays out the estimators that carry these tests, and the one after documents the data they run on.</w:t>
      </w:r>
    </w:p>
    <w:bookmarkEnd w:id="90"/>
    <w:bookmarkEnd w:id="91"/>
    <w:bookmarkStart w:id="103" w:name="methodology-and-identification"/>
    <w:p>
      <w:pPr>
        <w:pStyle w:val="Heading1"/>
        <w:spacing w:line="480" w:lineRule="auto"/>
      </w:pPr>
      <w:r>
        <w:t xml:space="preserve">Methodology and Identification</w:t>
      </w:r>
    </w:p>
    <w:p>
      <w:pPr>
        <w:pStyle w:val="FirstParagraph"/>
        <w:spacing w:line="480" w:lineRule="auto"/>
      </w:pPr>
      <w:r>
        <w:t xml:space="preserve">This chapter specifies the two estimators that carry the empirical test, explains why each fits the evidence at hand, and sets out what each identifies and, no less important, what neither one identifies. Throughout, the methodological posture stays deliberately modest. Neither estimator claims a causal effect. Both are descriptive models that turn a published expert-elicitation record into quantitative signals about preference concentration and elicitation quality, signals that then feed the option-value interpretation the previous chapter developed. So the identification argument is not the familiar social-science argument about isolating a treatment effect. It is an argument about what a well-specified description of the Delphi record can and cannot license.</w:t>
      </w:r>
    </w:p>
    <w:bookmarkStart w:id="92" w:name="X7ae00e5f4df9a6970dc6311fad62336ff907b0a"/>
    <w:p>
      <w:pPr>
        <w:pStyle w:val="Heading2"/>
        <w:spacing w:line="480" w:lineRule="auto"/>
      </w:pPr>
      <w:r>
        <w:t xml:space="preserve">Estimator one: preference structure by ordinary least squares</w:t>
      </w:r>
    </w:p>
    <w:p>
      <w:pPr>
        <w:pStyle w:val="FirstParagraph"/>
        <w:spacing w:line="480" w:lineRule="auto"/>
      </w:pPr>
      <w:r>
        <w:t xml:space="preserve">The first estimator regresses preference points on the structure of the expert ranking by ordinary least squares. Its job is to test the first two predictions from the theory chapter: that the ranking is coherent, and that nuclear power carries no concentrated independent signal once that coherence is accounted for.</w:t>
      </w:r>
    </w:p>
    <w:p>
      <w:pPr>
        <w:pStyle w:val="BodyText"/>
        <w:spacing w:line="480" w:lineRule="auto"/>
        <w:ind w:firstLine="720"/>
      </w:pPr>
      <w:r>
        <w:t xml:space="preserve">Preference points are the dependent variable, built for each technology at each rank position as the vote count at that position times an inverse rank weight. The inverse rank weight equals six minus the rank position, so a first-place vote weighs five and a fifth-place vote weighs one. The transformation keeps the real vote counts from the published table intact while encoding the ordinal fact that a first-place vote conveys more preference than a fifth-place vote. The specification is</w:t>
      </w:r>
    </w:p>
    <w:p>
      <w:pPr>
        <w:pStyle w:val="BodyText"/>
        <w:spacing w:line="480" w:lineRule="auto"/>
        <w:ind w:firstLine="720"/>
      </w:pPr>
      <m:oMathPara>
        <m:oMathParaPr>
          <m:jc m:val="center"/>
        </m:oMathParaPr>
        <m:oMath>
          <m:sSub>
            <m:e>
              <m:r>
                <m:t>P</m:t>
              </m:r>
            </m:e>
            <m:sub>
              <m:r>
                <m:t>i</m:t>
              </m:r>
            </m:sub>
          </m:sSub>
          <m:r>
            <m:rPr>
              <m:sty m:val="p"/>
            </m:rPr>
            <m:t>=</m:t>
          </m:r>
          <m:r>
            <m:t>α</m:t>
          </m:r>
          <m:r>
            <m:rPr>
              <m:sty m:val="p"/>
            </m:rPr>
            <m:t>+</m:t>
          </m:r>
          <m:sSub>
            <m:e>
              <m:r>
                <m:t>β</m:t>
              </m:r>
            </m:e>
            <m:sub>
              <m:r>
                <m:t>1</m:t>
              </m:r>
            </m:sub>
          </m:sSub>
          <m:sSub>
            <m:e>
              <m:r>
                <m:t>W</m:t>
              </m:r>
            </m:e>
            <m:sub>
              <m:r>
                <m:t>i</m:t>
              </m:r>
            </m:sub>
          </m:sSub>
          <m:r>
            <m:rPr>
              <m:sty m:val="p"/>
            </m:rPr>
            <m:t>+</m:t>
          </m:r>
          <m:sSub>
            <m:e>
              <m:r>
                <m:t>β</m:t>
              </m:r>
            </m:e>
            <m:sub>
              <m:r>
                <m:t>2</m:t>
              </m:r>
            </m:sub>
          </m:sSub>
          <m:sSub>
            <m:e>
              <m:r>
                <m:t>S</m:t>
              </m:r>
            </m:e>
            <m:sub>
              <m:r>
                <m:t>i</m:t>
              </m:r>
            </m:sub>
          </m:sSub>
          <m:r>
            <m:rPr>
              <m:sty m:val="p"/>
            </m:rPr>
            <m:t>+</m:t>
          </m:r>
          <m:sSub>
            <m:e>
              <m:r>
                <m:t>β</m:t>
              </m:r>
            </m:e>
            <m:sub>
              <m:r>
                <m:t>3</m:t>
              </m:r>
            </m:sub>
          </m:sSub>
          <m:r>
            <m:rPr>
              <m:sty m:val="p"/>
            </m:rPr>
            <m:t>(</m:t>
          </m:r>
          <m:sSub>
            <m:e>
              <m:r>
                <m:t>W</m:t>
              </m:r>
            </m:e>
            <m:sub>
              <m:r>
                <m:t>i</m:t>
              </m:r>
            </m:sub>
          </m:sSub>
          <m:r>
            <m:rPr>
              <m:sty m:val="p"/>
            </m:rPr>
            <m:t>×</m:t>
          </m:r>
          <m:sSub>
            <m:e>
              <m:r>
                <m:t>S</m:t>
              </m:r>
            </m:e>
            <m:sub>
              <m:r>
                <m:t>i</m:t>
              </m:r>
            </m:sub>
          </m:sSub>
          <m:r>
            <m:rPr>
              <m:sty m:val="p"/>
            </m:rPr>
            <m:t>)</m:t>
          </m:r>
          <m:r>
            <m:rPr>
              <m:sty m:val="p"/>
            </m:rPr>
            <m:t>+</m:t>
          </m:r>
          <m:sSub>
            <m:e>
              <m:r>
                <m:t>β</m:t>
              </m:r>
            </m:e>
            <m:sub>
              <m:r>
                <m:t>4</m:t>
              </m:r>
            </m:sub>
          </m:sSub>
          <m:sSub>
            <m:e>
              <m:r>
                <m:t>N</m:t>
              </m:r>
            </m:e>
            <m:sub>
              <m:r>
                <m:t>i</m:t>
              </m:r>
            </m:sub>
          </m:sSub>
          <m:r>
            <m:rPr>
              <m:sty m:val="p"/>
            </m:rPr>
            <m:t>+</m:t>
          </m:r>
          <m:sSub>
            <m:e>
              <m:r>
                <m:t>ε</m:t>
              </m:r>
            </m:e>
            <m:sub>
              <m:r>
                <m:t>i</m:t>
              </m:r>
            </m:sub>
          </m:sSub>
        </m:oMath>
      </m:oMathPara>
    </w:p>
    <w:p>
      <w:pPr>
        <w:pStyle w:val="FirstParagraph"/>
        <w:spacing w:line="480" w:lineRule="auto"/>
      </w:pPr>
      <w:r>
        <w:t xml:space="preserve">where</w:t>
      </w:r>
      <w:r>
        <w:t xml:space="preserve"> </w:t>
      </w:r>
      <m:oMath>
        <m:sSub>
          <m:e>
            <m:r>
              <m:t>P</m:t>
            </m:r>
          </m:e>
          <m:sub>
            <m:r>
              <m:t>i</m:t>
            </m:r>
          </m:sub>
        </m:sSub>
      </m:oMath>
      <w:r>
        <w:t xml:space="preserve"> </w:t>
      </w:r>
      <w:r>
        <w:t xml:space="preserve">is preference points for observation</w:t>
      </w:r>
      <w:r>
        <w:t xml:space="preserve"> </w:t>
      </w:r>
      <m:oMath>
        <m:r>
          <m:t>i</m:t>
        </m:r>
      </m:oMath>
      <w:r>
        <w:t xml:space="preserve">,</w:t>
      </w:r>
      <w:r>
        <w:t xml:space="preserve"> </w:t>
      </w:r>
      <m:oMath>
        <m:sSub>
          <m:e>
            <m:r>
              <m:t>W</m:t>
            </m:r>
          </m:e>
          <m:sub>
            <m:r>
              <m:t>i</m:t>
            </m:r>
          </m:sub>
        </m:sSub>
      </m:oMath>
      <w:r>
        <w:t xml:space="preserve"> </w:t>
      </w:r>
      <w:r>
        <w:t xml:space="preserve">is the rank weight,</w:t>
      </w:r>
      <w:r>
        <w:t xml:space="preserve"> </w:t>
      </w:r>
      <m:oMath>
        <m:sSub>
          <m:e>
            <m:r>
              <m:t>S</m:t>
            </m:r>
          </m:e>
          <m:sub>
            <m:r>
              <m:t>i</m:t>
            </m:r>
          </m:sub>
        </m:sSub>
      </m:oMath>
      <w:r>
        <w:t xml:space="preserve"> </w:t>
      </w:r>
      <w:r>
        <w:t xml:space="preserve">is the published final score for the technology,</w:t>
      </w:r>
      <w:r>
        <w:t xml:space="preserve"> </w:t>
      </w:r>
      <m:oMath>
        <m:sSub>
          <m:e>
            <m:r>
              <m:t>W</m:t>
            </m:r>
          </m:e>
          <m:sub>
            <m:r>
              <m:t>i</m:t>
            </m:r>
          </m:sub>
        </m:sSub>
        <m:r>
          <m:rPr>
            <m:sty m:val="p"/>
          </m:rPr>
          <m:t>×</m:t>
        </m:r>
        <m:sSub>
          <m:e>
            <m:r>
              <m:t>S</m:t>
            </m:r>
          </m:e>
          <m:sub>
            <m:r>
              <m:t>i</m:t>
            </m:r>
          </m:sub>
        </m:sSub>
      </m:oMath>
      <w:r>
        <w:t xml:space="preserve"> </w:t>
      </w:r>
      <w:r>
        <w:t xml:space="preserve">is the interaction between rank weight and final score, and</w:t>
      </w:r>
      <w:r>
        <w:t xml:space="preserve"> </w:t>
      </w:r>
      <m:oMath>
        <m:sSub>
          <m:e>
            <m:r>
              <m:t>N</m:t>
            </m:r>
          </m:e>
          <m:sub>
            <m:r>
              <m:t>i</m:t>
            </m:r>
          </m:sub>
        </m:sSub>
      </m:oMath>
      <w:r>
        <w:t xml:space="preserve"> </w:t>
      </w:r>
      <w:r>
        <w:t xml:space="preserve">is an indicator for the nuclear energy source</w:t>
      </w:r>
      <w:r>
        <w:t xml:space="preserve"> </w:t>
      </w:r>
      <w:hyperlink w:anchor="ref-2">
        <w:r>
          <w:rPr>
            <w:rStyle w:val="Hyperlink"/>
          </w:rPr>
          <w:t xml:space="preserve">[2]</w:t>
        </w:r>
      </w:hyperlink>
      <w:r>
        <w:t xml:space="preserve">.</w:t>
      </w:r>
    </w:p>
    <w:p>
      <w:pPr>
        <w:pStyle w:val="BodyText"/>
        <w:spacing w:line="480" w:lineRule="auto"/>
        <w:ind w:firstLine="720"/>
      </w:pPr>
      <w:r>
        <w:t xml:space="preserve">Every term earns its keep. Rank weight and final score enter separately as main effects because preference points could climb with either the preferability of the position or the quality of the technology. The interaction is the theoretically central term for the first prediction, testing whether a high-scoring technology piles up preference points specifically at its more preferred rank positions, which is the signature of a coherent ranking. The nuclear indicator is the load-bearing term for the second prediction, asking whether, once the ranking structure is fully accounted for, nuclear power retains any residual premium or discount. A nuclear coefficient near zero and statistically insignificant is the empirical fingerprint of dispersion.</w:t>
      </w:r>
    </w:p>
    <w:p>
      <w:pPr>
        <w:pStyle w:val="BodyText"/>
        <w:spacing w:line="480" w:lineRule="auto"/>
        <w:ind w:firstLine="720"/>
      </w:pPr>
      <w:r>
        <w:t xml:space="preserve">Estimation uses robust standard errors of the heteroscedasticity-consistent HC1 form. Robust errors suit the case because the preference-point construction, counts times weights, throws off error variance that plausibly scales with the fitted value, and the HC1 correction guards against the resulting heteroscedasticity without forcing a parametric variance model onto a small design matrix. The choice runs conservative: it widens the intervals against classical errors, making the null on the nuclear term harder, not easier, to reject.</w:t>
      </w:r>
    </w:p>
    <w:bookmarkEnd w:id="92"/>
    <w:bookmarkStart w:id="93" w:name="what-estimator-one-identifies"/>
    <w:p>
      <w:pPr>
        <w:pStyle w:val="Heading2"/>
        <w:spacing w:line="480" w:lineRule="auto"/>
      </w:pPr>
      <w:r>
        <w:t xml:space="preserve">What estimator one identifies</w:t>
      </w:r>
    </w:p>
    <w:p>
      <w:pPr>
        <w:pStyle w:val="FirstParagraph"/>
        <w:spacing w:line="480" w:lineRule="auto"/>
      </w:pPr>
      <w:r>
        <w:t xml:space="preserve">What ordinary least squares identifies here is the conditional-mean structure of preference points given the ranking variables. It answers one question and no more. Hold rank weight, final score, and their interaction fixed, and does the nuclear label move expected preference points? That is a descriptive conditional association, and the dissertation claims nothing beyond it.</w:t>
      </w:r>
    </w:p>
    <w:p>
      <w:pPr>
        <w:pStyle w:val="BodyText"/>
        <w:spacing w:line="480" w:lineRule="auto"/>
        <w:ind w:firstLine="720"/>
      </w:pPr>
      <w:r>
        <w:t xml:space="preserve">It does not identify a causal effect of nuclear status on expert preference, since there is no manipulation, no counterfactual, and no exogenous variation in the nuclear label; the label is a fixed attribute of one technology. Nor does it identify the cost of a reactor, the demand for power, or the value of the option. The identifying content is entirely about preference concentration. The reason that narrow identification suffices is that the theory has already fixed what a flat nuclear coefficient would mean: it is the observable precondition for a positive option premium, the fingerprint of learning-reducible dispersion</w:t>
      </w:r>
      <w:r>
        <w:t xml:space="preserve"> </w:t>
      </w:r>
      <w:hyperlink w:anchor="ref-8">
        <w:r>
          <w:rPr>
            <w:rStyle w:val="Hyperlink"/>
          </w:rPr>
          <w:t xml:space="preserve">[8]</w:t>
        </w:r>
      </w:hyperlink>
      <w:r>
        <w:t xml:space="preserve">. The regression need not price the option. It need only establish, from real data, that the dispersion the option argument requires is actually there.</w:t>
      </w:r>
    </w:p>
    <w:p>
      <w:pPr>
        <w:pStyle w:val="BodyText"/>
        <w:spacing w:line="480" w:lineRule="auto"/>
        <w:ind w:firstLine="720"/>
      </w:pPr>
      <w:r>
        <w:t xml:space="preserve">One subtlety wants stating plainly. Because the option argument rides on the null hypothesis, the failure to reject a zero nuclear coefficient cannot be allowed to pass for a finding when it is merely an absence of power. Precision is the guard against that failure mode. The analysis reports the standard error and the confidence interval on the nuclear term, not the p-value alone, so a reader can see whether the interval sits tight around zero or spreads so wide it says nothing. The companion elasticity estimator supplies the external check that the elicitation is informative, which is what lets a tight null be read as genuine dispersion rather than as an uninformative table.</w:t>
      </w:r>
    </w:p>
    <w:bookmarkEnd w:id="93"/>
    <w:bookmarkStart w:id="94" w:name="Xe8d1abaf05cf1ff982b848fc5179937921fc24f"/>
    <w:p>
      <w:pPr>
        <w:pStyle w:val="Heading2"/>
        <w:spacing w:line="480" w:lineRule="auto"/>
      </w:pPr>
      <w:r>
        <w:t xml:space="preserve">Estimator two: elicitation quality by log-log elasticity</w:t>
      </w:r>
    </w:p>
    <w:p>
      <w:pPr>
        <w:pStyle w:val="FirstParagraph"/>
        <w:spacing w:line="480" w:lineRule="auto"/>
      </w:pPr>
      <w:r>
        <w:t xml:space="preserve">The second estimator regresses agreement share on median Likert position across the survey’s stable statements, in log-log form. Its job is the third prediction: to establish the elicitation as informative, to show that the central tendency of the responses carries strong, precise information about how much the panel agrees. The specification is</w:t>
      </w:r>
    </w:p>
    <w:p>
      <w:pPr>
        <w:pStyle w:val="BodyText"/>
        <w:spacing w:line="480" w:lineRule="auto"/>
        <w:ind w:firstLine="720"/>
      </w:pPr>
      <m:oMathPara>
        <m:oMathParaPr>
          <m:jc m:val="center"/>
        </m:oMathParaPr>
        <m:oMath>
          <m:r>
            <m:rPr>
              <m:sty m:val="p"/>
            </m:rPr>
            <m:t>ln</m:t>
          </m:r>
          <m:r>
            <m:rPr>
              <m:sty m:val="p"/>
            </m:rPr>
            <m:t>(</m:t>
          </m:r>
          <m:sSub>
            <m:e>
              <m:r>
                <m:t>A</m:t>
              </m:r>
            </m:e>
            <m:sub>
              <m:r>
                <m:t>i</m:t>
              </m:r>
            </m:sub>
          </m:sSub>
          <m:r>
            <m:rPr>
              <m:sty m:val="p"/>
            </m:rPr>
            <m:t>)</m:t>
          </m:r>
          <m:r>
            <m:rPr>
              <m:sty m:val="p"/>
            </m:rPr>
            <m:t>=</m:t>
          </m:r>
          <m:r>
            <m:t>α</m:t>
          </m:r>
          <m:r>
            <m:rPr>
              <m:sty m:val="p"/>
            </m:rPr>
            <m:t>+</m:t>
          </m:r>
          <m:r>
            <m:t>β</m:t>
          </m:r>
          <m:r>
            <m:rPr>
              <m:sty m:val="p"/>
            </m:rPr>
            <m:t>ln</m:t>
          </m:r>
          <m:r>
            <m:rPr>
              <m:sty m:val="p"/>
            </m:rPr>
            <m:t>(</m:t>
          </m:r>
          <m:sSub>
            <m:e>
              <m:r>
                <m:t>M</m:t>
              </m:r>
            </m:e>
            <m:sub>
              <m:r>
                <m:t>i</m:t>
              </m:r>
            </m:sub>
          </m:sSub>
          <m:r>
            <m:rPr>
              <m:sty m:val="p"/>
            </m:rPr>
            <m:t>)</m:t>
          </m:r>
          <m:r>
            <m:rPr>
              <m:sty m:val="p"/>
            </m:rPr>
            <m:t>+</m:t>
          </m:r>
          <m:sSub>
            <m:e>
              <m:r>
                <m:t>ε</m:t>
              </m:r>
            </m:e>
            <m:sub>
              <m:r>
                <m:t>i</m:t>
              </m:r>
            </m:sub>
          </m:sSub>
        </m:oMath>
      </m:oMathPara>
    </w:p>
    <w:p>
      <w:pPr>
        <w:pStyle w:val="FirstParagraph"/>
        <w:spacing w:line="480" w:lineRule="auto"/>
      </w:pPr>
      <w:r>
        <w:t xml:space="preserve">where</w:t>
      </w:r>
      <w:r>
        <w:t xml:space="preserve"> </w:t>
      </w:r>
      <m:oMath>
        <m:sSub>
          <m:e>
            <m:r>
              <m:t>A</m:t>
            </m:r>
          </m:e>
          <m:sub>
            <m:r>
              <m:t>i</m:t>
            </m:r>
          </m:sub>
        </m:sSub>
      </m:oMath>
      <w:r>
        <w:t xml:space="preserve"> </w:t>
      </w:r>
      <w:r>
        <w:t xml:space="preserve">is the agreement share for statement</w:t>
      </w:r>
      <w:r>
        <w:t xml:space="preserve"> </w:t>
      </w:r>
      <m:oMath>
        <m:r>
          <m:t>i</m:t>
        </m:r>
      </m:oMath>
      <w:r>
        <w:t xml:space="preserve">, measured as the percentage of respondents who agreed or strongly agreed, and</w:t>
      </w:r>
      <w:r>
        <w:t xml:space="preserve"> </w:t>
      </w:r>
      <m:oMath>
        <m:sSub>
          <m:e>
            <m:r>
              <m:t>M</m:t>
            </m:r>
          </m:e>
          <m:sub>
            <m:r>
              <m:t>i</m:t>
            </m:r>
          </m:sub>
        </m:sSub>
      </m:oMath>
      <w:r>
        <w:t xml:space="preserve"> </w:t>
      </w:r>
      <w:r>
        <w:t xml:space="preserve">is the reported median Likert position for that statement</w:t>
      </w:r>
      <w:r>
        <w:t xml:space="preserve"> </w:t>
      </w:r>
      <w:hyperlink w:anchor="ref-2">
        <w:r>
          <w:rPr>
            <w:rStyle w:val="Hyperlink"/>
          </w:rPr>
          <w:t xml:space="preserve">[2]</w:t>
        </w:r>
      </w:hyperlink>
      <w:r>
        <w:t xml:space="preserve">.</w:t>
      </w:r>
    </w:p>
    <w:p>
      <w:pPr>
        <w:pStyle w:val="BodyText"/>
        <w:spacing w:line="480" w:lineRule="auto"/>
        <w:ind w:firstLine="720"/>
      </w:pPr>
      <w:r>
        <w:t xml:space="preserve">The log-log form is chosen because both variables are strictly positive and because the quantity of interest is proportional rather than additive: the question is how strongly agreement share moves as the central position rises, read off as an elasticity. That elasticity is the coefficient</w:t>
      </w:r>
      <w:r>
        <w:t xml:space="preserve"> </w:t>
      </w:r>
      <m:oMath>
        <m:r>
          <m:t>β</m:t>
        </m:r>
      </m:oMath>
      <w:r>
        <w:t xml:space="preserve">. It is not, and the analysis says so outright, a causal learning rate. The functional form borrows a learning curve’s shape because the shape is convenient for reading proportional co-movement, but the interpretation stays strictly the elasticity between two summaries of one response distribution. The model runs robust HC1 standard errors for the same heteroscedasticity reason as the first estimator.</w:t>
      </w:r>
    </w:p>
    <w:bookmarkEnd w:id="94"/>
    <w:bookmarkStart w:id="95" w:name="what-estimator-two-identifies"/>
    <w:p>
      <w:pPr>
        <w:pStyle w:val="Heading2"/>
        <w:spacing w:line="480" w:lineRule="auto"/>
      </w:pPr>
      <w:r>
        <w:t xml:space="preserve">What estimator two identifies</w:t>
      </w:r>
    </w:p>
    <w:p>
      <w:pPr>
        <w:pStyle w:val="FirstParagraph"/>
        <w:spacing w:line="480" w:lineRule="auto"/>
      </w:pPr>
      <w:r>
        <w:t xml:space="preserve">What the log-log model identifies is the elasticity of agreement share with respect to median position across the stable statements. A large, precisely estimated elasticity says central tendency and agreement share move together strongly, which is just what internal coherence means for an elicitation: statements the panel centres higher are statements the panel agrees on more. That coherence is the license the dissertation needs to treat the Delphi tables as informative rather than as noise.</w:t>
      </w:r>
    </w:p>
    <w:p>
      <w:pPr>
        <w:pStyle w:val="BodyText"/>
        <w:spacing w:line="480" w:lineRule="auto"/>
        <w:ind w:firstLine="720"/>
      </w:pPr>
      <w:r>
        <w:t xml:space="preserve">Neither variable causes the other. Both summarise the same underlying distribution of responses, and the analysis states this directly to head off a causal misreading. The identifying content is a data-quality diagnostic, not a behavioural parameter. Its role in the argument is instrumental: it turns the flat nuclear coefficient from estimator one into evidence of dispersion rather than evidence of a table too noisy to say anything. Strip out the elasticity result and a skeptic could dismiss the null nuclear finding as an artifact of a weak survey. Keep it, and the null nuclear finding stands as a real feature of a demonstrably informative elicitation.</w:t>
      </w:r>
    </w:p>
    <w:bookmarkEnd w:id="95"/>
    <w:bookmarkStart w:id="96" w:name="why-two-estimators-rather-than-one"/>
    <w:p>
      <w:pPr>
        <w:pStyle w:val="Heading2"/>
        <w:spacing w:line="480" w:lineRule="auto"/>
      </w:pPr>
      <w:r>
        <w:t xml:space="preserve">Why two estimators rather than one</w:t>
      </w:r>
    </w:p>
    <w:p>
      <w:pPr>
        <w:pStyle w:val="FirstParagraph"/>
        <w:spacing w:line="480" w:lineRule="auto"/>
      </w:pPr>
      <w:r>
        <w:t xml:space="preserve">The two estimators complement each other by design, and the design tracks the two-part structure of the falsifiable claim. That claim splits in two: nuclear power is dispersed, and the evidence of dispersion is trustworthy. Estimator one goes at the first part directly, isolating the nuclear signal from the ranking structure. Estimator two goes at the second, certifying that the elicitation carries real information. Run either alone and it turns vulnerable. The OLS nuclear result on its own could be waved off as underpowered. The elasticity result on its own would say nothing about nuclear power specifically. Run together, they close the loop: an informative elicitation that nonetheless places nuclear power in a zone of dispersion.</w:t>
      </w:r>
    </w:p>
    <w:p>
      <w:pPr>
        <w:pStyle w:val="BodyText"/>
        <w:spacing w:line="480" w:lineRule="auto"/>
        <w:ind w:firstLine="720"/>
      </w:pPr>
      <w:r>
        <w:t xml:space="preserve">The pairing also carries a general point about identification under data scarcity. When the ideal experiment is off the table, and here it plainly is, since no one can randomise expert beliefs or run counterfactual lunar programs, the honest move is to identify the narrowest defensible quantities and to be explicit about the inferential chain tying them to the substantive claim. The two estimators identify preference concentration and elicitation coherence. The theory chapter supplies the link from those quantities to the option premium. A reader can inspect each link on its own.</w:t>
      </w:r>
    </w:p>
    <w:bookmarkEnd w:id="96"/>
    <w:bookmarkStart w:id="97" w:name="robustness-posture"/>
    <w:p>
      <w:pPr>
        <w:pStyle w:val="Heading2"/>
        <w:spacing w:line="480" w:lineRule="auto"/>
      </w:pPr>
      <w:r>
        <w:t xml:space="preserve">Robustness posture</w:t>
      </w:r>
    </w:p>
    <w:p>
      <w:pPr>
        <w:pStyle w:val="FirstParagraph"/>
        <w:spacing w:line="480" w:lineRule="auto"/>
      </w:pPr>
      <w:r>
        <w:t xml:space="preserve">Three robustness considerations sit inside the methodology rather than bolted on after the fact. The robust standard errors make the null nuclear result harder to come by, so a tight null counts as conservative evidence. Reporting full intervals, not just p-values, lets the reader tell a precise null from an imprecise one, which is the central threat when an argument leans on a failure to reject. And the two-estimator design cross-checks elicitation quality against the preference result, guarding against the reading that a noisy survey produced the null nuclear coefficient. Further robustness questions, about whether the elicited distribution is exchangeable with current expert belief and about how sensitive the option interpretation is to the framing of the underlying decision, threaten the substantive interpretation rather than the estimators, and the discussion chapter takes them up.</w:t>
      </w:r>
    </w:p>
    <w:bookmarkEnd w:id="97"/>
    <w:bookmarkStart w:id="98" w:name="the-choice-of-functional-form"/>
    <w:p>
      <w:pPr>
        <w:pStyle w:val="Heading2"/>
        <w:spacing w:line="480" w:lineRule="auto"/>
      </w:pPr>
      <w:r>
        <w:t xml:space="preserve">The choice of functional form</w:t>
      </w:r>
    </w:p>
    <w:p>
      <w:pPr>
        <w:pStyle w:val="FirstParagraph"/>
        <w:spacing w:line="480" w:lineRule="auto"/>
      </w:pPr>
      <w:r>
        <w:t xml:space="preserve">Both estimators carry functional-form choices that shape what they can detect, and a careful methodology defends those choices instead of leaving them implicit. For the first estimator, the linear-in-parameters specification with a single multiplicative interaction is the minimal form able to represent the theoretical prediction. That prediction is not that preference points rise with rank weight alone or score alone, but that they rise with the two together, a statement about an interaction. Drop the interaction term and the specification cannot test the first prediction at all; add higher-order interactions and it overfits twenty-five observations. So the specification is the smallest one adequate to the hypothesis, which is the discipline data scarcity calls for.</w:t>
      </w:r>
    </w:p>
    <w:p>
      <w:pPr>
        <w:pStyle w:val="BodyText"/>
        <w:spacing w:line="480" w:lineRule="auto"/>
        <w:ind w:firstLine="720"/>
      </w:pPr>
      <w:r>
        <w:t xml:space="preserve">For the second estimator, the log-log form beats a linear alternative for a reason beyond the positivity of the variables. Agreement share is bounded between zero and one hundred, and median position is bounded on a narrow Likert scale, so a linear model would court nonsensical out-of-range predictions and a poor fit near the bounds. The log-log form respects the multiplicative structure of proportional data and yields a coefficient with a clean elasticity interpretation, exactly the quantity the elicitation-quality check wants. The progress-ratio reading, two raised to the coefficient, turns the elasticity into a doubling statement easy to communicate without implying any causal process.</w:t>
      </w:r>
    </w:p>
    <w:bookmarkEnd w:id="98"/>
    <w:bookmarkStart w:id="99" w:name="X1b001dc6b9b75657689634dfadb5ad7a337df42"/>
    <w:p>
      <w:pPr>
        <w:pStyle w:val="Heading2"/>
        <w:spacing w:line="480" w:lineRule="auto"/>
      </w:pPr>
      <w:r>
        <w:t xml:space="preserve">Small-sample inference and its honest limits</w:t>
      </w:r>
    </w:p>
    <w:p>
      <w:pPr>
        <w:pStyle w:val="FirstParagraph"/>
        <w:spacing w:line="480" w:lineRule="auto"/>
      </w:pPr>
      <w:r>
        <w:t xml:space="preserve">Both models run on small samples, twenty-five and nineteen observations, and the methodology has to be candid about what that permits. Small samples do not invalidate ordinary least squares; the estimator stays unbiased under its standard assumptions whatever the sample size. What they do is widen the sampling distribution, sap power, and loosen the normal approximation behind the reported p-values. The robust standard errors handle some heteroscedasticity but manufacture no power the data lack. The consequence for interpretation is asymmetric. A significant result on this data, the interaction term and the elasticity, is strong evidence, because significance is hard won with few observations. A null result, the nuclear term, has to be read together with its confidence interval rather than as a definitive zero. That is a property to report, not a defect to bury, and the results chapter reports the full interval on every load-bearing coefficient for exactly that reason.</w:t>
      </w:r>
    </w:p>
    <w:bookmarkEnd w:id="99"/>
    <w:bookmarkStart w:id="100" w:name="X82c5db712fbb14f70b6b628fe508b65764b7ded"/>
    <w:p>
      <w:pPr>
        <w:pStyle w:val="Heading2"/>
        <w:spacing w:line="480" w:lineRule="auto"/>
      </w:pPr>
      <w:r>
        <w:t xml:space="preserve">The identifying assumptions stated plainly</w:t>
      </w:r>
    </w:p>
    <w:p>
      <w:pPr>
        <w:pStyle w:val="FirstParagraph"/>
        <w:spacing w:line="480" w:lineRule="auto"/>
      </w:pPr>
      <w:r>
        <w:t xml:space="preserve">Every estimator rests on assumptions, and stating them plainly is part of honest identification. The first estimator assumes the conditional-mean function of preference points is linear in the four regressors and their given interaction, that the errors carry mean zero conditional on the regressors, and that the observations are informative about the ranking structure. It does not assume homoscedastic errors, which is why robust standard errors go in. It does not assume the nuclear indicator is exogenous in any causal sense, because no causal claim is made; the coefficient is a conditional association and gets interpreted only that way. The assumption bearing interpretive weight is that a flat, insignificant nuclear coefficient reflects dispersion in the underlying preference distribution, and that assumption is defended not by the regression but by the raw vote pattern and the companion elasticity result</w:t>
      </w:r>
      <w:r>
        <w:t xml:space="preserve"> </w:t>
      </w:r>
      <w:hyperlink w:anchor="ref-2">
        <w:r>
          <w:rPr>
            <w:rStyle w:val="Hyperlink"/>
          </w:rPr>
          <w:t xml:space="preserve">[2]</w:t>
        </w:r>
      </w:hyperlink>
      <w:r>
        <w:t xml:space="preserve">.</w:t>
      </w:r>
    </w:p>
    <w:p>
      <w:pPr>
        <w:pStyle w:val="BodyText"/>
        <w:spacing w:line="480" w:lineRule="auto"/>
        <w:ind w:firstLine="720"/>
      </w:pPr>
      <w:r>
        <w:t xml:space="preserve">The second estimator assumes the log of agreement share is linear in the log of median position across the stable statements, with mean-zero conditional errors, and that the nineteen statements form a coherent set drawn from one elicitation. It assumes no causal direction between the two variables, and the analysis says outright that both summarise the same response distribution. The interpretive assumption is that a high, precise elasticity certifies the elicitation as informative. That assumption is mild, because a coherent elicitation is exactly one in which central tendency and agreement move together, and the estimator measures precisely that co-movement.</w:t>
      </w:r>
    </w:p>
    <w:bookmarkEnd w:id="100"/>
    <w:bookmarkStart w:id="101" w:name="why-not-a-more-elaborate-model"/>
    <w:p>
      <w:pPr>
        <w:pStyle w:val="Heading2"/>
        <w:spacing w:line="480" w:lineRule="auto"/>
      </w:pPr>
      <w:r>
        <w:t xml:space="preserve">Why not a more elaborate model</w:t>
      </w:r>
    </w:p>
    <w:p>
      <w:pPr>
        <w:pStyle w:val="FirstParagraph"/>
        <w:spacing w:line="480" w:lineRule="auto"/>
      </w:pPr>
      <w:r>
        <w:t xml:space="preserve">A skeptic might press on why the study forgoes a richer specification: a Bayesian hierarchical model of the ranking, an ordinal model of the Likert responses, a structural model of the elicitation. The answer is that the data cannot support elaboration and the question does not require it. Twenty-five and nineteen observations cannot identify the parameters of a rich hierarchical structure without importing strong priors that would themselves become the object of dispute. An ordinal model of the Likert responses would fit if the goal were to model individual response behaviour, but the goal is to certify elicitation coherence at the statement level, for which the elasticity is sufficient and transparent. A structural model of the elicitation would demand assumptions about respondent behaviour that the aggregate data cannot test. The chosen estimators are the simplest that answer the two questions the theory poses, and here simplicity is a virtue precisely because the argument rests on a reader checking every step. Adding machinery the data cannot discipline would swap transparency for the look of sophistication, the opposite of what a claim built on reproducibility needs.</w:t>
      </w:r>
    </w:p>
    <w:bookmarkEnd w:id="101"/>
    <w:bookmarkStart w:id="102" w:name="X1417b8c632702c683e3eb2dbc63394b86fa0d42"/>
    <w:p>
      <w:pPr>
        <w:pStyle w:val="Heading2"/>
        <w:spacing w:line="480" w:lineRule="auto"/>
      </w:pPr>
      <w:r>
        <w:t xml:space="preserve">How the estimators connect to the option argument</w:t>
      </w:r>
    </w:p>
    <w:p>
      <w:pPr>
        <w:pStyle w:val="FirstParagraph"/>
        <w:spacing w:line="480" w:lineRule="auto"/>
      </w:pPr>
      <w:r>
        <w:t xml:space="preserve">The estimators are chosen not only for their fit to the data but for the specific role each plays in the inferential chain from evidence to option premium. The chain runs like this. The option premium is positive if and only if the preconditions hold, and the load-bearing precondition is learning-reducible dispersion in expert belief about nuclear power</w:t>
      </w:r>
      <w:r>
        <w:t xml:space="preserve"> </w:t>
      </w:r>
      <w:hyperlink w:anchor="ref-8">
        <w:r>
          <w:rPr>
            <w:rStyle w:val="Hyperlink"/>
          </w:rPr>
          <w:t xml:space="preserve">[8]</w:t>
        </w:r>
      </w:hyperlink>
      <w:r>
        <w:t xml:space="preserve">. The first estimator measures whether that dispersion is present, isolating the nuclear signal from the ranking structure; a flat nuclear coefficient is the observable fingerprint of the dispersion the argument needs</w:t>
      </w:r>
      <w:r>
        <w:t xml:space="preserve"> </w:t>
      </w:r>
      <w:hyperlink w:anchor="ref-2">
        <w:r>
          <w:rPr>
            <w:rStyle w:val="Hyperlink"/>
          </w:rPr>
          <w:t xml:space="preserve">[2]</w:t>
        </w:r>
      </w:hyperlink>
      <w:r>
        <w:t xml:space="preserve">. The second estimator certifies that the measurement instrument is sound, showing the elicitation carries strong information</w:t>
      </w:r>
      <w:r>
        <w:t xml:space="preserve"> </w:t>
      </w:r>
      <w:hyperlink w:anchor="ref-2">
        <w:r>
          <w:rPr>
            <w:rStyle w:val="Hyperlink"/>
          </w:rPr>
          <w:t xml:space="preserve">[2]</w:t>
        </w:r>
      </w:hyperlink>
      <w:r>
        <w:t xml:space="preserve">. Neither estimator prices the premium, and neither is asked to. Their charge is to establish the sign of the premium by establishing the presence of its precondition.</w:t>
      </w:r>
    </w:p>
    <w:p>
      <w:pPr>
        <w:pStyle w:val="BodyText"/>
        <w:spacing w:line="480" w:lineRule="auto"/>
        <w:ind w:firstLine="720"/>
      </w:pPr>
      <w:r>
        <w:t xml:space="preserve">That connection explains a design choice that would otherwise look strange: the study runs two descriptive regressions to support an argument about investment timing, without ever estimating an investment model. The reason is that the investment model demands calibrated cost, illumination, and demand distributions the public record does not yet supply, while the sign of the premium demands only the dispersion the regressions can measure</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17">
        <w:r>
          <w:rPr>
            <w:rStyle w:val="Hyperlink"/>
          </w:rPr>
          <w:t xml:space="preserve">[17]</w:t>
        </w:r>
      </w:hyperlink>
      <w:r>
        <w:t xml:space="preserve">. Splitting the problem this way lets the study make a rigorous, reproducible claim about what the evidence supports, leaving the quantitative valuation to future work that better data would enable. The estimators are the part of the argument the current evidence can carry, and they are specified to carry exactly that part and no more. The next chapter documents the data both estimators run on: the Delphi record, the variable construction, the sources, and the two sample sizes.</w:t>
      </w:r>
    </w:p>
    <w:bookmarkEnd w:id="102"/>
    <w:bookmarkEnd w:id="103"/>
    <w:bookmarkStart w:id="114" w:name="data-and-measurement"/>
    <w:p>
      <w:pPr>
        <w:pStyle w:val="Heading1"/>
        <w:spacing w:line="480" w:lineRule="auto"/>
      </w:pPr>
      <w:r>
        <w:t xml:space="preserve">Data and Measurement</w:t>
      </w:r>
    </w:p>
    <w:p>
      <w:pPr>
        <w:pStyle w:val="FirstParagraph"/>
        <w:spacing w:line="480" w:lineRule="auto"/>
      </w:pPr>
      <w:r>
        <w:t xml:space="preserve">Everything empirical in this dissertation rests on one published source: the Delphi survey of in-situ resource utilisation technology deployment at a lunar outpost in 2040, run by Spedding, Lim, and Nuttall and published in Acta Astronautica</w:t>
      </w:r>
      <w:r>
        <w:t xml:space="preserve"> </w:t>
      </w:r>
      <w:hyperlink w:anchor="ref-2">
        <w:r>
          <w:rPr>
            <w:rStyle w:val="Hyperlink"/>
          </w:rPr>
          <w:t xml:space="preserve">[2]</w:t>
        </w:r>
      </w:hyperlink>
      <w:r>
        <w:t xml:space="preserve">. This chapter documents that source in detail, shows how every variable in the two empirical papers is built from its published tables, states the two sample sizes and where they originate, and speaks plainly about what the data is and is not. Reproducibility governs throughout. Every number entering the analysis traces to a specific published table, and each analytic file keeps the source note as its final column so provenance rides along with the data.</w:t>
      </w:r>
    </w:p>
    <w:bookmarkStart w:id="104" w:name="the-source"/>
    <w:p>
      <w:pPr>
        <w:pStyle w:val="Heading2"/>
        <w:spacing w:line="480" w:lineRule="auto"/>
      </w:pPr>
      <w:r>
        <w:t xml:space="preserve">The source</w:t>
      </w:r>
    </w:p>
    <w:p>
      <w:pPr>
        <w:pStyle w:val="FirstParagraph"/>
        <w:spacing w:line="480" w:lineRule="auto"/>
      </w:pPr>
      <w:r>
        <w:t xml:space="preserve">The Delphi survey is a multi-round structured elicitation of a panel of experts on the technology, timeline, and economics of a lunar outpost expected around 2040</w:t>
      </w:r>
      <w:r>
        <w:t xml:space="preserve"> </w:t>
      </w:r>
      <w:hyperlink w:anchor="ref-2">
        <w:r>
          <w:rPr>
            <w:rStyle w:val="Hyperlink"/>
          </w:rPr>
          <w:t xml:space="preserve">[2]</w:t>
        </w:r>
      </w:hyperlink>
      <w:r>
        <w:t xml:space="preserve">. Delphi pools expert judgement under uncertainty: panellists answer, view the anonymised distribution of answers, and answer again, so the elicitation drifts toward stable positions while holding onto genuine disagreement instead of forcing false consensus. The method fits exactly the deep uncertainty around the lunar power decision, where hard operational data does not yet exist and expert judgement is the best available evidence about the future demand environment.</w:t>
      </w:r>
    </w:p>
    <w:p>
      <w:pPr>
        <w:pStyle w:val="BodyText"/>
        <w:spacing w:line="480" w:lineRule="auto"/>
        <w:ind w:firstLine="720"/>
      </w:pPr>
      <w:r>
        <w:t xml:space="preserve">The survey publishes its results across a set of tables. Tables 2 through 4 give the stable statements on lunar timelines, ISRU deployment, crew occupancy, private activity, oxygen production, power requirements, site selection, and policy challenges, reporting for each the percentage of respondents who strongly disagreed, disagreed, agreed, or strongly agreed, alongside the interquartile range and the median Likert position. Table 5 gives the energy-technology ranking, showing how the panel ranked five competing power technologies across five rank positions. These two blocks, the stable statements and the energy ranking, form the empirical foundation of the two papers.</w:t>
      </w:r>
    </w:p>
    <w:p>
      <w:pPr>
        <w:pStyle w:val="BodyText"/>
        <w:spacing w:line="480" w:lineRule="auto"/>
        <w:ind w:firstLine="720"/>
      </w:pPr>
      <w:r>
        <w:t xml:space="preserve">Two features make the source fit for this study. It is public, citable, and reproducible, so anyone with journal access can check the analysis</w:t>
      </w:r>
      <w:r>
        <w:t xml:space="preserve"> </w:t>
      </w:r>
      <w:hyperlink w:anchor="ref-2">
        <w:r>
          <w:rPr>
            <w:rStyle w:val="Hyperlink"/>
          </w:rPr>
          <w:t xml:space="preserve">[2]</w:t>
        </w:r>
      </w:hyperlink>
      <w:r>
        <w:t xml:space="preserve">. And it characterises directly the demand-side and preference uncertainty the option argument requires, the specific dispersion in nuclear preference and the documented political sensitivity of nuclear energy in space among them. The survey was never built as an input to an options valuation, and that is precisely the gap the dissertation fills: it reads an elicitation designed for forecasting as an input to investment timing.</w:t>
      </w:r>
    </w:p>
    <w:bookmarkEnd w:id="104"/>
    <w:bookmarkStart w:id="105" w:name="the-energy-ranking-dataset"/>
    <w:p>
      <w:pPr>
        <w:pStyle w:val="Heading2"/>
        <w:spacing w:line="480" w:lineRule="auto"/>
      </w:pPr>
      <w:r>
        <w:t xml:space="preserve">The energy-ranking dataset</w:t>
      </w:r>
    </w:p>
    <w:p>
      <w:pPr>
        <w:pStyle w:val="FirstParagraph"/>
        <w:spacing w:line="480" w:lineRule="auto"/>
      </w:pPr>
      <w:r>
        <w:t xml:space="preserve">Table 5, the energy-technology ranking, feeds the first empirical paper</w:t>
      </w:r>
      <w:r>
        <w:t xml:space="preserve"> </w:t>
      </w:r>
      <w:hyperlink w:anchor="ref-2">
        <w:r>
          <w:rPr>
            <w:rStyle w:val="Hyperlink"/>
          </w:rPr>
          <w:t xml:space="preserve">[2]</w:t>
        </w:r>
      </w:hyperlink>
      <w:r>
        <w:t xml:space="preserve">. It reports, for each of five technologies, how many panellists placed that technology at each of five rank positions. The five technologies are solar photovoltaic, regenerative fuel cells, solar concentration thermal, nuclear energy source, and solar concentration electric. The table also reports a published final score for each, a single figure capturing its overall standing in the ranking.</w:t>
      </w:r>
    </w:p>
    <w:p>
      <w:pPr>
        <w:pStyle w:val="BodyText"/>
        <w:spacing w:line="480" w:lineRule="auto"/>
        <w:ind w:firstLine="720"/>
      </w:pPr>
      <w:r>
        <w:t xml:space="preserve">Those published final scores come in at 4.32 for solar photovoltaic, 3.01 for regenerative fuel cells, 2.92 for solar concentration thermal, 2.91 for nuclear energy source, and 1.83 for solar concentration electric</w:t>
      </w:r>
      <w:r>
        <w:t xml:space="preserve"> </w:t>
      </w:r>
      <w:hyperlink w:anchor="ref-2">
        <w:r>
          <w:rPr>
            <w:rStyle w:val="Hyperlink"/>
          </w:rPr>
          <w:t xml:space="preserve">[2]</w:t>
        </w:r>
      </w:hyperlink>
      <w:r>
        <w:t xml:space="preserve">. Two things about them matter for the argument. Solar photovoltaic stands clearly above the field, confirming the panel expected solar to be a significant near-term contributor to outpost power. And the middle three, nuclear included, bunch tightly: nuclear at 2.91 lands just under solar concentration thermal at 2.92 and close to regenerative fuel cells at 3.01. Nuclear is neither dominant nor cast out. It clusters in the middle.</w:t>
      </w:r>
    </w:p>
    <w:p>
      <w:pPr>
        <w:pStyle w:val="BodyText"/>
        <w:spacing w:line="480" w:lineRule="auto"/>
        <w:ind w:firstLine="720"/>
      </w:pPr>
      <w:r>
        <w:t xml:space="preserve">The raw vote-count pattern drives the point home. Solar photovoltaic pulled six first-place votes, two second, one third, none fourth, one fifth, a distribution weighted hard toward the top. Nuclear energy source, by contrast, pulled exactly two votes at each of the five rank positions, perfectly flat. That flat distribution is the raw fingerprint of the dispersion the theory chapter named as the precondition for a positive option premium. It shows before any regression runs, and the regression’s task is to confirm it survives control for the ranking structure.</w:t>
      </w:r>
    </w:p>
    <w:p>
      <w:pPr>
        <w:pStyle w:val="BodyText"/>
        <w:spacing w:line="480" w:lineRule="auto"/>
        <w:ind w:firstLine="720"/>
      </w:pPr>
      <w:r>
        <w:t xml:space="preserve">Each observation in the analytic file is one technology at one rank position, so five technologies times five rank positions gives twenty-five observations. That is the sample size, N equals 25, for the first paper. Preference points, the dependent variable, come out as vote count times inverse rank weight, where inverse rank weight equals six minus rank position. The rank weight, final score, their interaction, and the nuclear indicator are built as the methodology chapter describes, all from the published Table 5 values. No illustrative or synthetic rows go in; every row is a real cell of the published table.</w:t>
      </w:r>
    </w:p>
    <w:bookmarkEnd w:id="105"/>
    <w:bookmarkStart w:id="106" w:name="the-stable-statements-dataset"/>
    <w:p>
      <w:pPr>
        <w:pStyle w:val="Heading2"/>
        <w:spacing w:line="480" w:lineRule="auto"/>
      </w:pPr>
      <w:r>
        <w:t xml:space="preserve">The stable-statements dataset</w:t>
      </w:r>
    </w:p>
    <w:p>
      <w:pPr>
        <w:pStyle w:val="FirstParagraph"/>
        <w:spacing w:line="480" w:lineRule="auto"/>
      </w:pPr>
      <w:r>
        <w:t xml:space="preserve">Tables 2 through 4, the stable Delphi statements, feed the second empirical paper</w:t>
      </w:r>
      <w:r>
        <w:t xml:space="preserve"> </w:t>
      </w:r>
      <w:hyperlink w:anchor="ref-2">
        <w:r>
          <w:rPr>
            <w:rStyle w:val="Hyperlink"/>
          </w:rPr>
          <w:t xml:space="preserve">[2]</w:t>
        </w:r>
      </w:hyperlink>
      <w:r>
        <w:t xml:space="preserve">. Each statement is a proposition about the 2040 outpost that the panel scored on a Likert scale, and the tables report the full agreement distribution together with the median and interquartile range.</w:t>
      </w:r>
    </w:p>
    <w:p>
      <w:pPr>
        <w:pStyle w:val="BodyText"/>
        <w:spacing w:line="480" w:lineRule="auto"/>
        <w:ind w:firstLine="720"/>
      </w:pPr>
      <w:r>
        <w:t xml:space="preserve">The analytic file uses nineteen stable statements, one observation per statement, giving N equals 19 for the second paper. The statements cover the themes that matter for the power argument. Several bear straight on demand: that mineral extraction would be at demonstration and development phase in 2040, that some ISRU technology would reach technology readiness level five during detailed mission planning, that oxygen production would exceed one thousand kilograms per year, that useful ISRU activity would add about one megawatt to outpost power consumption, and that specific mass is a primary consideration for power system design</w:t>
      </w:r>
      <w:r>
        <w:t xml:space="preserve"> </w:t>
      </w:r>
      <w:hyperlink w:anchor="ref-2">
        <w:r>
          <w:rPr>
            <w:rStyle w:val="Hyperlink"/>
          </w:rPr>
          <w:t xml:space="preserve">[2]</w:t>
        </w:r>
      </w:hyperlink>
      <w:r>
        <w:t xml:space="preserve">. Others bear on the surrounding uncertainty: crew occupancy limits, the character of the outpost mission, site selection under water-ice uncertainty, private-sector activity, and the standing policy challenge of political distaste for nuclear energy in space.</w:t>
      </w:r>
    </w:p>
    <w:p>
      <w:pPr>
        <w:pStyle w:val="BodyText"/>
        <w:spacing w:line="480" w:lineRule="auto"/>
        <w:ind w:firstLine="720"/>
      </w:pPr>
      <w:r>
        <w:t xml:space="preserve">Agreement share is the dependent variable, built as the sum of the agree and strongly-agree percentages for each statement. The predictor is the reported median Likert position. Both come straight from the published tables. The log-log construction of the second estimator needs both variables strictly positive, which holds across the nineteen stable statements used. As with the first dataset, the source note stays on as the final column, and no synthetic rows go in.</w:t>
      </w:r>
    </w:p>
    <w:bookmarkEnd w:id="106"/>
    <w:bookmarkStart w:id="107" w:name="variable-construction-and-provenance"/>
    <w:p>
      <w:pPr>
        <w:pStyle w:val="Heading2"/>
        <w:spacing w:line="480" w:lineRule="auto"/>
      </w:pPr>
      <w:r>
        <w:t xml:space="preserve">Variable construction and provenance</w:t>
      </w:r>
    </w:p>
    <w:p>
      <w:pPr>
        <w:pStyle w:val="FirstParagraph"/>
        <w:spacing w:line="480" w:lineRule="auto"/>
      </w:pPr>
      <w:r>
        <w:t xml:space="preserve">The variable construction is deliberately transparent, so the passage from published table to analytic file can be audited at every step. Preference points multiply a published vote count by a deterministic weight; agreement share sums two published percentages; the median and final score are copied over directly. No imputation, no smoothing, no estimation tucked inside the data preparation. Every analytic value is either a published figure or a simple arithmetic function of published figures.</w:t>
      </w:r>
    </w:p>
    <w:p>
      <w:pPr>
        <w:pStyle w:val="BodyText"/>
        <w:spacing w:line="480" w:lineRule="auto"/>
        <w:ind w:firstLine="720"/>
      </w:pPr>
      <w:r>
        <w:t xml:space="preserve">That transparency is a design choice bound up with the study’s falsifiable posture. Because the central claim rests partly on a failure to reject a null, the analysis has to shut down the objection that the result is an artifact of data manipulation. Keeping the source note as the final column of each file, and holding every row to a real cell of a published table, means a skeptical reader can rebuild the analytic dataset from the journal article alone</w:t>
      </w:r>
      <w:r>
        <w:t xml:space="preserve"> </w:t>
      </w:r>
      <w:hyperlink w:anchor="ref-2">
        <w:r>
          <w:rPr>
            <w:rStyle w:val="Hyperlink"/>
          </w:rPr>
          <w:t xml:space="preserve">[2]</w:t>
        </w:r>
      </w:hyperlink>
      <w:r>
        <w:t xml:space="preserve">. The provenance is the guarantee that the dispersion the study reports is a feature of the expert evidence and not of the analyst’s choices.</w:t>
      </w:r>
    </w:p>
    <w:bookmarkEnd w:id="107"/>
    <w:bookmarkStart w:id="108" w:name="what-the-data-is-not"/>
    <w:p>
      <w:pPr>
        <w:pStyle w:val="Heading2"/>
        <w:spacing w:line="480" w:lineRule="auto"/>
      </w:pPr>
      <w:r>
        <w:t xml:space="preserve">What the data is not</w:t>
      </w:r>
    </w:p>
    <w:p>
      <w:pPr>
        <w:pStyle w:val="FirstParagraph"/>
        <w:spacing w:line="480" w:lineRule="auto"/>
      </w:pPr>
      <w:r>
        <w:t xml:space="preserve">Candour about the source’s limits belongs in the measurement chapter, not deferred to the discussion. The Delphi record is expert judgement about a future outpost, not operational measurement of an existing one. It holds no reactor capital cost, no launch price, no kilowatt-hour cost, no measured illumination time series, no realised ISRU demand curve. It is a snapshot of expert belief in its survey period, and expert belief can move as the architecture evolves. It reports summaries of response distributions rather than individual respondent microdata, so the analysis works with aggregates.</w:t>
      </w:r>
    </w:p>
    <w:p>
      <w:pPr>
        <w:pStyle w:val="BodyText"/>
        <w:spacing w:line="480" w:lineRule="auto"/>
        <w:ind w:firstLine="720"/>
      </w:pPr>
      <w:r>
        <w:t xml:space="preserve">Those limits set the boundary of what the empirical chapters can claim. They can establish that expert preference over nuclear power is dispersed and that the elicitation carrying the finding is informative. They cannot price the option, forecast the demand, or cost the reactor. The cost, illumination, and demand parameters a full valuation lattice would need are the subject of the future work the conclusion lays out, and the surrounding engineering and technology literature points to where such parameters would eventually come from: the surface-station illumination analysis for site availability</w:t>
      </w:r>
      <w:r>
        <w:t xml:space="preserve"> </w:t>
      </w:r>
      <w:hyperlink w:anchor="ref-1">
        <w:r>
          <w:rPr>
            <w:rStyle w:val="Hyperlink"/>
          </w:rPr>
          <w:t xml:space="preserve">[1]</w:t>
        </w:r>
      </w:hyperlink>
      <w:r>
        <w:t xml:space="preserve">, the fission-generator studies for reactor cost anchoring</w:t>
      </w:r>
      <w:r>
        <w:t xml:space="preserve"> </w:t>
      </w:r>
      <w:hyperlink w:anchor="ref-4">
        <w:r>
          <w:rPr>
            <w:rStyle w:val="Hyperlink"/>
          </w:rPr>
          <w:t xml:space="preserve">[4]</w:t>
        </w:r>
      </w:hyperlink>
      <w:r>
        <w:t xml:space="preserve">, and the flexible-design work for demand modelling</w:t>
      </w:r>
      <w:r>
        <w:t xml:space="preserve"> </w:t>
      </w:r>
      <w:hyperlink w:anchor="ref-17">
        <w:r>
          <w:rPr>
            <w:rStyle w:val="Hyperlink"/>
          </w:rPr>
          <w:t xml:space="preserve">[17]</w:t>
        </w:r>
      </w:hyperlink>
      <w:r>
        <w:t xml:space="preserve">. For this dissertation, the Delphi record is enough to test the falsifiable precondition, and it is used for nothing past what it can support.</w:t>
      </w:r>
    </w:p>
    <w:bookmarkEnd w:id="108"/>
    <w:bookmarkStart w:id="109" w:name="the-energy-ranking-read-row-by-row"/>
    <w:p>
      <w:pPr>
        <w:pStyle w:val="Heading2"/>
        <w:spacing w:line="480" w:lineRule="auto"/>
      </w:pPr>
      <w:r>
        <w:t xml:space="preserve">The energy ranking read row by row</w:t>
      </w:r>
    </w:p>
    <w:p>
      <w:pPr>
        <w:pStyle w:val="FirstParagraph"/>
        <w:spacing w:line="480" w:lineRule="auto"/>
      </w:pPr>
      <w:r>
        <w:t xml:space="preserve">Since the first paper’s result turns on the shape of the energy ranking, the full vote pattern repays close reading, not the summary scores alone. Solar photovoltaic pulled six, two, one, zero, and one votes across the five rank positions from first to fifth, its mass sitting emphatically at the top. Regenerative fuel cells pulled zero, three, five, one, and one, peaking in the middle of the ranking. Solar concentration thermal pulled two, two, one, three, and two, a broad spread. Solar concentration electric pulled zero, one, one, four, and three, its mass tipped toward the bottom. Nuclear energy source pulled two votes at each of the five positions, the only technology with a perfectly uniform distribution across the ranks</w:t>
      </w:r>
      <w:r>
        <w:t xml:space="preserve"> </w:t>
      </w:r>
      <w:hyperlink w:anchor="ref-2">
        <w:r>
          <w:rPr>
            <w:rStyle w:val="Hyperlink"/>
          </w:rPr>
          <w:t xml:space="preserve">[2]</w:t>
        </w:r>
      </w:hyperlink>
      <w:r>
        <w:t xml:space="preserve">.</w:t>
      </w:r>
    </w:p>
    <w:p>
      <w:pPr>
        <w:pStyle w:val="BodyText"/>
        <w:spacing w:line="480" w:lineRule="auto"/>
        <w:ind w:firstLine="720"/>
      </w:pPr>
      <w:r>
        <w:t xml:space="preserve">That uniformity is the single most important feature of the raw data for this dissertation, and it shows without any model. A technology that some experts rank first, some rank third, and some rank fifth, in equal numbers, is a technology the panel has not converged on. It is not disliked, because it draws top-rank votes. It is not favoured, because it draws bottom-rank votes in equal measure. The final score of 2.91 that this distribution produces sets nuclear in the middle of the field, but the score alone hides the mechanism: the middling score is the average of a genuinely split panel, not the consensus of a lukewarm one. The regression’s task is to confirm the split survives control for the score and the rank structure, and the raw table is what makes the confirmation interpretable.</w:t>
      </w:r>
    </w:p>
    <w:bookmarkEnd w:id="109"/>
    <w:bookmarkStart w:id="110" w:name="X6c17a350cd853cc37d052f7f8274f4856b6ab6f"/>
    <w:p>
      <w:pPr>
        <w:pStyle w:val="Heading2"/>
        <w:spacing w:line="480" w:lineRule="auto"/>
      </w:pPr>
      <w:r>
        <w:t xml:space="preserve">The stable statements as a demand and uncertainty map</w:t>
      </w:r>
    </w:p>
    <w:p>
      <w:pPr>
        <w:pStyle w:val="FirstParagraph"/>
        <w:spacing w:line="480" w:lineRule="auto"/>
      </w:pPr>
      <w:r>
        <w:t xml:space="preserve">The nineteen stable statements read as a map of what the panel counts as settled and what it counts as open, and that map is itself an input to the argument. On the settled side sit statements with high agreement and high median position: mineral extraction reaching demonstration phase, oxygen production exceeding a thousand kilograms per year, useful ISRU activity adding about a megawatt of load, and specific mass governing power-system design</w:t>
      </w:r>
      <w:r>
        <w:t xml:space="preserve"> </w:t>
      </w:r>
      <w:hyperlink w:anchor="ref-2">
        <w:r>
          <w:rPr>
            <w:rStyle w:val="Hyperlink"/>
          </w:rPr>
          <w:t xml:space="preserve">[2]</w:t>
        </w:r>
      </w:hyperlink>
      <w:r>
        <w:t xml:space="preserve">. These are the demand propositions that would make a large steady power source valuable, and the panel agrees on them. On the open side sit statements with weaker or more divided support, the politically sensitive nuclear propositions among them, plus several timeline and siting questions where the interquartile range runs wide</w:t>
      </w:r>
      <w:r>
        <w:t xml:space="preserve"> </w:t>
      </w:r>
      <w:hyperlink w:anchor="ref-2">
        <w:r>
          <w:rPr>
            <w:rStyle w:val="Hyperlink"/>
          </w:rPr>
          <w:t xml:space="preserve">[2]</w:t>
        </w:r>
      </w:hyperlink>
      <w:r>
        <w:t xml:space="preserve">.</w:t>
      </w:r>
    </w:p>
    <w:p>
      <w:pPr>
        <w:pStyle w:val="BodyText"/>
        <w:spacing w:line="480" w:lineRule="auto"/>
        <w:ind w:firstLine="720"/>
      </w:pPr>
      <w:r>
        <w:t xml:space="preserve">The juxtaposition is the point. The panel agrees the outpost will need substantial power and that ISRU will drive the load, while staying divided on the nuclear question specifically. That is the empirical shape the option argument requires: a credible and agreed demand for power, set against genuine and measured division over whether to meet it with an irreversible nuclear commitment now. The two datasets, the ranking and the statements, capture the two halves of that shape, and they come from the same elicitation, so they describe a single coherent expert view.</w:t>
      </w:r>
    </w:p>
    <w:bookmarkEnd w:id="110"/>
    <w:bookmarkStart w:id="111" w:name="Xee78599b71369b54c0346a1c1617ebce4f58eea"/>
    <w:p>
      <w:pPr>
        <w:pStyle w:val="Heading2"/>
        <w:spacing w:line="480" w:lineRule="auto"/>
      </w:pPr>
      <w:r>
        <w:t xml:space="preserve">Measurement choices and their justification</w:t>
      </w:r>
    </w:p>
    <w:p>
      <w:pPr>
        <w:pStyle w:val="FirstParagraph"/>
        <w:spacing w:line="480" w:lineRule="auto"/>
      </w:pPr>
      <w:r>
        <w:t xml:space="preserve">Two measurement choices in the datasets warrant explicit justification, because they shape what the estimators can find. The first is the inverse-rank weighting behind preference points. The alternatives were the raw rank position, or first-place votes alone, or weighting by the published score. The inverse-rank weight won out because it preserves the full information in all five rank positions while encoding the ordinal fact that higher positions carry more preference. Weighting by score would have conflated the outcome with a regressor. First-place votes alone would have thrown away the very dispersion the study means to measure, since nuclear’s flatness shows only across all five positions</w:t>
      </w:r>
      <w:r>
        <w:t xml:space="preserve"> </w:t>
      </w:r>
      <w:hyperlink w:anchor="ref-2">
        <w:r>
          <w:rPr>
            <w:rStyle w:val="Hyperlink"/>
          </w:rPr>
          <w:t xml:space="preserve">[2]</w:t>
        </w:r>
      </w:hyperlink>
      <w:r>
        <w:t xml:space="preserve">. The inverse-rank weight is the construction that lets the flatness register, and it does so without importing any parameter estimated from the data.</w:t>
      </w:r>
    </w:p>
    <w:p>
      <w:pPr>
        <w:pStyle w:val="BodyText"/>
        <w:spacing w:line="480" w:lineRule="auto"/>
        <w:ind w:firstLine="720"/>
      </w:pPr>
      <w:r>
        <w:t xml:space="preserve">The second is treating agreement share as the sum of agree and strongly-agree percentages. The alternatives were strong agreement alone, or a net-agreement measure subtracting disagreement. The agree-plus-strongly-agree sum won out because it is the standard reading of Likert agreement and maps cleanly onto the survey’s own reporting</w:t>
      </w:r>
      <w:r>
        <w:t xml:space="preserve"> </w:t>
      </w:r>
      <w:hyperlink w:anchor="ref-2">
        <w:r>
          <w:rPr>
            <w:rStyle w:val="Hyperlink"/>
          </w:rPr>
          <w:t xml:space="preserve">[2]</w:t>
        </w:r>
      </w:hyperlink>
      <w:r>
        <w:t xml:space="preserve">. A net measure would have introduced negative values incompatible with the log-log form and overweighted the disagreement tail. The chosen measure both respects the survey’s structure and supports the elasticity specification, and its construction is a simple sum of published figures with no hidden estimation.</w:t>
      </w:r>
    </w:p>
    <w:bookmarkEnd w:id="111"/>
    <w:bookmarkStart w:id="112" w:name="provenance-and-the-audit-trail"/>
    <w:p>
      <w:pPr>
        <w:pStyle w:val="Heading2"/>
        <w:spacing w:line="480" w:lineRule="auto"/>
      </w:pPr>
      <w:r>
        <w:t xml:space="preserve">Provenance and the audit trail</w:t>
      </w:r>
    </w:p>
    <w:p>
      <w:pPr>
        <w:pStyle w:val="FirstParagraph"/>
        <w:spacing w:line="480" w:lineRule="auto"/>
      </w:pPr>
      <w:r>
        <w:t xml:space="preserve">The audit trail earns emphasis, because it is what makes the study’s central claim checkable. Each analytic file carries the source note as its final column, recording that the rows derive from Tables 2 through 5 of the Spedding, Lim, and Nuttall survey with its digital object identifier</w:t>
      </w:r>
      <w:r>
        <w:t xml:space="preserve"> </w:t>
      </w:r>
      <w:hyperlink w:anchor="ref-2">
        <w:r>
          <w:rPr>
            <w:rStyle w:val="Hyperlink"/>
          </w:rPr>
          <w:t xml:space="preserve">[2]</w:t>
        </w:r>
      </w:hyperlink>
      <w:r>
        <w:t xml:space="preserve">. This is no decoration. It means any row in either dataset traces to a specific cell of a specific published table, and a reader rebuilding the data from the article will produce the identical file. For a study whose load-bearing result is a failure to reject a null, that traceability is the defence against the charge that the null was engineered through data choices. There are no discarded observations beyond the log-log positivity requirement, no imputed values, no synthetic rows. The datasets are the published tables, transformed by arithmetic stated in full. That discipline is why the empirical chapters can claim reproducibility as a property rather than an aspiration, and it is the foundation the results chapter builds on.</w:t>
      </w:r>
    </w:p>
    <w:bookmarkEnd w:id="112"/>
    <w:bookmarkStart w:id="113" w:name="situating-the-two-sample-sizes"/>
    <w:p>
      <w:pPr>
        <w:pStyle w:val="Heading2"/>
        <w:spacing w:line="480" w:lineRule="auto"/>
      </w:pPr>
      <w:r>
        <w:t xml:space="preserve">Situating the two sample sizes</w:t>
      </w:r>
    </w:p>
    <w:p>
      <w:pPr>
        <w:pStyle w:val="FirstParagraph"/>
        <w:spacing w:line="480" w:lineRule="auto"/>
      </w:pPr>
      <w:r>
        <w:t xml:space="preserve">The two sample sizes, twenty-five and nineteen, are small by the standards of much empirical work, and the measurement chapter should say plainly why they are what they are and why they suffice. They are what they are because they exhaust the relevant published tables: five technologies times five rank positions gives exactly twenty-five ranking observations, and the stable statements meeting the positivity requirement number exactly nineteen</w:t>
      </w:r>
      <w:r>
        <w:t xml:space="preserve"> </w:t>
      </w:r>
      <w:hyperlink w:anchor="ref-2">
        <w:r>
          <w:rPr>
            <w:rStyle w:val="Hyperlink"/>
          </w:rPr>
          <w:t xml:space="preserve">[2]</w:t>
        </w:r>
      </w:hyperlink>
      <w:r>
        <w:t xml:space="preserve">. No larger dataset can be had from this source, and the study does not pad the tables with synthetic rows to inflate the count, which would break the reproducibility discipline the whole design rests on.</w:t>
      </w:r>
    </w:p>
    <w:p>
      <w:pPr>
        <w:pStyle w:val="BodyText"/>
        <w:spacing w:line="480" w:lineRule="auto"/>
        <w:ind w:firstLine="720"/>
      </w:pPr>
      <w:r>
        <w:t xml:space="preserve">They suffice because the questions are correspondingly modest. The first, whether nuclear preference is dispersed after controlling for ranking structure, is answerable on twenty-five rows because the effect under test is a single coefficient in a four-regressor model. The second, whether the elicitation is coherent, is answerable on nineteen rows because the relationship measured is strong enough to register clearly at that size, as the highly significant elasticity confirms. Small samples cut power, and the study takes the consequence: it reports full intervals so each estimate’s precision is visible, and it leans on the contrast between the sharp elasticity and the flat nuclear coefficient rather than on either in isolation</w:t>
      </w:r>
      <w:r>
        <w:t xml:space="preserve"> </w:t>
      </w:r>
      <w:hyperlink w:anchor="ref-2">
        <w:r>
          <w:rPr>
            <w:rStyle w:val="Hyperlink"/>
          </w:rPr>
          <w:t xml:space="preserve">[2]</w:t>
        </w:r>
      </w:hyperlink>
      <w:r>
        <w:t xml:space="preserve">. The sample sizes are a constraint the study works within honestly, not a weakness it hides. The next chapter reports what the two estimators return when run on exactly these two datasets.</w:t>
      </w:r>
    </w:p>
    <w:bookmarkEnd w:id="113"/>
    <w:bookmarkEnd w:id="114"/>
    <w:bookmarkStart w:id="124" w:name="results"/>
    <w:p>
      <w:pPr>
        <w:pStyle w:val="Heading1"/>
        <w:spacing w:line="480" w:lineRule="auto"/>
      </w:pPr>
      <w:r>
        <w:t xml:space="preserve">Results</w:t>
      </w:r>
    </w:p>
    <w:p>
      <w:pPr>
        <w:pStyle w:val="FirstParagraph"/>
        <w:spacing w:line="480" w:lineRule="auto"/>
      </w:pPr>
      <w:r>
        <w:t xml:space="preserve">This chapter reports what the two estimators return when run on the Delphi datasets, and reads the signs, magnitudes, and precision of every estimated quantity. The numbers appear exactly as the analysis produces them, with no rounding past the four decimal places carried through the estimation. It takes the two papers in turn, the energy-ranking regression first and the elicitation-quality elasticity second, then reads the two together against the hypotheses set out in the theory chapter.</w:t>
      </w:r>
    </w:p>
    <w:bookmarkStart w:id="115" w:name="Xe81d8fecaf10465b24fe08f1a4bde903c90cc63"/>
    <w:p>
      <w:pPr>
        <w:pStyle w:val="Heading2"/>
        <w:spacing w:line="480" w:lineRule="auto"/>
      </w:pPr>
      <w:r>
        <w:t xml:space="preserve">Paper one: preference structure and nuclear ambiguity</w:t>
      </w:r>
    </w:p>
    <w:p>
      <w:pPr>
        <w:pStyle w:val="FirstParagraph"/>
        <w:spacing w:line="480" w:lineRule="auto"/>
      </w:pPr>
      <w:r>
        <w:t xml:space="preserve">The first paper regresses preference points on rank weight, final score, their interaction, and the nuclear indicator, by ordinary least squares with robust standard errors, over the twenty-five observations of the energy-ranking table</w:t>
      </w:r>
      <w:r>
        <w:t xml:space="preserve"> </w:t>
      </w:r>
      <w:hyperlink w:anchor="ref-2">
        <w:r>
          <w:rPr>
            <w:rStyle w:val="Hyperlink"/>
          </w:rPr>
          <w:t xml:space="preserve">[2]</w:t>
        </w:r>
      </w:hyperlink>
      <w:r>
        <w:t xml:space="preserve">.</w:t>
      </w:r>
    </w:p>
    <w:p>
      <w:pPr>
        <w:pStyle w:val="BodyText"/>
        <w:spacing w:line="480" w:lineRule="auto"/>
        <w:ind w:firstLine="720"/>
      </w:pPr>
      <w:r>
        <w:t xml:space="preserve">For a small design matrix, the model fits the ranking table moderately well. The sample size is N equals 25. The coefficient of determination is R-squared equals 0.5649, with an adjusted R-squared of 0.4779. The overall model comes back significant, carrying an F-test p-value of 0.0201. A model that captures roughly fifty-six percent of the variation in preference points across a twenty-five-row table drawn from real vote counts is doing real explanatory work, and the significant F confirms the ranking structure is not noise.</w:t>
      </w:r>
    </w:p>
    <w:p>
      <w:pPr>
        <w:pStyle w:val="BodyText"/>
        <w:spacing w:line="480" w:lineRule="auto"/>
        <w:ind w:firstLine="720"/>
      </w:pPr>
      <w:r>
        <w:t xml:space="preserve">The interaction between rank weight and final score is the strongest term and confirms the first prediction. Its coefficient is 3.0668, its standard error 1.1012, its t-statistic 2.7850, its p-value 0.00535. The ninety-five percent confidence interval runs from 0.9085 to 5.2251. The positive, significant interaction says just what the theory called for: a technology with a higher published final score gathers preference points faster as it takes more preferred rank positions. The ranking coheres. Better-scored technologies do draw their votes at the top, the internal-consistency check the interaction term was built to deliver.</w:t>
      </w:r>
    </w:p>
    <w:p>
      <w:pPr>
        <w:pStyle w:val="BodyText"/>
        <w:spacing w:line="480" w:lineRule="auto"/>
        <w:ind w:firstLine="720"/>
      </w:pPr>
      <w:r>
        <w:t xml:space="preserve">The main effects carry the sign structure a coherent interaction model implies. The rank-weight coefficient is negative and significant, at negative 7.1542 with a p-value of 0.0116, and the final-score coefficient likewise negative and significant, at negative 7.2762 with a p-value of 0.0157. In a specification a strong positive interaction dominates, negative main effects are expected and untroubling: they are the level offsets the interaction operates against, and read on their own they carry no substantive meaning once the interaction is present. The constant is 21.6018 with a p-value of 0.0203. What the argument turns on is the interaction, positive and significant, and the nuclear indicator, which the analysis takes up next.</w:t>
      </w:r>
    </w:p>
    <w:p>
      <w:pPr>
        <w:pStyle w:val="BodyText"/>
        <w:spacing w:line="480" w:lineRule="auto"/>
        <w:ind w:firstLine="720"/>
      </w:pPr>
      <w:r>
        <w:t xml:space="preserve">The nuclear indicator is the load-bearing term, and its result is the empirical heart of the dissertation. Its coefficient is 0.2617, its standard error 1.0995, its t-statistic 0.2380, its p-value 0.8119. The ninety-five percent confidence interval runs from negative 1.8933 to 2.4166. The coefficient is small, its sign indistinguishable from noise, and its p-value of 0.8119 sits nowhere near any conventional threshold for significance. Once the ranking structure is fully accounted for, nuclear power carries no independent premium and no independent discount. It is statistically indistinguishable from zero.</w:t>
      </w:r>
    </w:p>
    <w:p>
      <w:pPr>
        <w:pStyle w:val="BodyText"/>
        <w:spacing w:line="480" w:lineRule="auto"/>
        <w:ind w:firstLine="720"/>
      </w:pPr>
      <w:r>
        <w:t xml:space="preserve">The raw table foreshadowed exactly this. Nuclear energy source drew two votes at every rank position, a perfectly flat distribution, and its published final score of 2.91 lands in the middle of the field, just under solar concentration thermal at 2.92 and near regenerative fuel cells at 3.01</w:t>
      </w:r>
      <w:r>
        <w:t xml:space="preserve"> </w:t>
      </w:r>
      <w:hyperlink w:anchor="ref-2">
        <w:r>
          <w:rPr>
            <w:rStyle w:val="Hyperlink"/>
          </w:rPr>
          <w:t xml:space="preserve">[2]</w:t>
        </w:r>
      </w:hyperlink>
      <w:r>
        <w:t xml:space="preserve">. The regression confirms the flatness is no artifact of the score control: even holding rank weight, final score, and their interaction fixed, the nuclear label adds nothing. Nuclear power is neither the concentrated favourite that solar photovoltaic is, with its six first-place votes, nor a rejected option shoved to the bottom. It is dispersed. And dispersion, as the theory chapter established, is the observable precondition for a positive option premium.</w:t>
      </w:r>
    </w:p>
    <w:bookmarkEnd w:id="115"/>
    <w:bookmarkStart w:id="116" w:name="Xf3df5f0b3acc84debe473cfe697b9bb614a6258"/>
    <w:p>
      <w:pPr>
        <w:pStyle w:val="Heading2"/>
        <w:spacing w:line="480" w:lineRule="auto"/>
      </w:pPr>
      <w:r>
        <w:t xml:space="preserve">Paper two: elicitation quality and consensus strength</w:t>
      </w:r>
    </w:p>
    <w:p>
      <w:pPr>
        <w:pStyle w:val="FirstParagraph"/>
        <w:spacing w:line="480" w:lineRule="auto"/>
      </w:pPr>
      <w:r>
        <w:t xml:space="preserve">The second paper regresses the natural log of agreement share on the natural log of median Likert position, in a log-log specification with robust standard errors, across the nineteen stable Delphi statements</w:t>
      </w:r>
      <w:r>
        <w:t xml:space="preserve"> </w:t>
      </w:r>
      <w:hyperlink w:anchor="ref-2">
        <w:r>
          <w:rPr>
            <w:rStyle w:val="Hyperlink"/>
          </w:rPr>
          <w:t xml:space="preserve">[2]</w:t>
        </w:r>
      </w:hyperlink>
      <w:r>
        <w:t xml:space="preserve">.</w:t>
      </w:r>
    </w:p>
    <w:p>
      <w:pPr>
        <w:pStyle w:val="BodyText"/>
        <w:spacing w:line="480" w:lineRule="auto"/>
        <w:ind w:firstLine="720"/>
      </w:pPr>
      <w:r>
        <w:t xml:space="preserve">The fit is strong. The sample size is N equals 19, and the coefficient of determination is R-squared equals 0.7846. A log-log model capturing roughly seventy-eight percent of the variation in agreement share across nineteen statements is tracking a tight, systematic relationship, precisely what the elicitation-quality check calls for.</w:t>
      </w:r>
    </w:p>
    <w:p>
      <w:pPr>
        <w:pStyle w:val="BodyText"/>
        <w:spacing w:line="480" w:lineRule="auto"/>
        <w:ind w:firstLine="720"/>
      </w:pPr>
      <w:r>
        <w:t xml:space="preserve">The elasticity of agreement share with respect to median Likert position is 2.6560. Its robust standard error is 0.5998, its t-statistic 4.4279, its p-value 0.00000951. The ninety-five percent confidence interval runs from 1.4803 to 3.8316. Large, positive, and precisely estimated, the elasticity clears any conventional threshold comfortably. Read in level terms through the progress-ratio quantity two-to-the-power-of-the-coefficient, a doubling of median Likert position goes with roughly 6.3027 times the agreement share within the observed set of statements.</w:t>
      </w:r>
    </w:p>
    <w:p>
      <w:pPr>
        <w:pStyle w:val="BodyText"/>
        <w:spacing w:line="480" w:lineRule="auto"/>
        <w:ind w:firstLine="720"/>
      </w:pPr>
      <w:r>
        <w:t xml:space="preserve">The reading is that the median response holds strong information about how far the panel agrees. Statements the panel centres at a median of three generally show high agreement shares, while statements centred at two or two-and-a-half show markedly lower ones</w:t>
      </w:r>
      <w:r>
        <w:t xml:space="preserve"> </w:t>
      </w:r>
      <w:hyperlink w:anchor="ref-2">
        <w:r>
          <w:rPr>
            <w:rStyle w:val="Hyperlink"/>
          </w:rPr>
          <w:t xml:space="preserve">[2]</w:t>
        </w:r>
      </w:hyperlink>
      <w:r>
        <w:t xml:space="preserve">. The elicitation coheres internally: its central tendency and its agreement level track each other tightly and predictably. This is the certification the argument needs. It establishes that the Delphi tables carry real signal, so the flat nuclear coefficient from the first paper can be read as genuine dispersion in an informative elicitation rather than as an artifact of a noisy survey.</w:t>
      </w:r>
    </w:p>
    <w:bookmarkEnd w:id="116"/>
    <w:bookmarkStart w:id="117" w:name="reading-the-two-results-together"/>
    <w:p>
      <w:pPr>
        <w:pStyle w:val="Heading2"/>
        <w:spacing w:line="480" w:lineRule="auto"/>
      </w:pPr>
      <w:r>
        <w:t xml:space="preserve">Reading the two results together</w:t>
      </w:r>
    </w:p>
    <w:p>
      <w:pPr>
        <w:pStyle w:val="FirstParagraph"/>
        <w:spacing w:line="480" w:lineRule="auto"/>
      </w:pPr>
      <w:r>
        <w:t xml:space="preserve">The two results lock into each other. The first paper puts nuclear power in dispersion: after control for the ranking structure, the nuclear indicator is statistically indistinguishable from zero, coefficient 0.2617, standard error 1.0995, p-value 0.8119, on N equals 25</w:t>
      </w:r>
      <w:r>
        <w:t xml:space="preserve"> </w:t>
      </w:r>
      <w:hyperlink w:anchor="ref-2">
        <w:r>
          <w:rPr>
            <w:rStyle w:val="Hyperlink"/>
          </w:rPr>
          <w:t xml:space="preserve">[2]</w:t>
        </w:r>
      </w:hyperlink>
      <w:r>
        <w:t xml:space="preserve">. The second paper puts the elicitation delivering that finding among the informative: the elasticity of agreement share on median position is 2.6560, standard error 0.5998, p-value 0.00000951, R-squared 0.7846, on N equals 19</w:t>
      </w:r>
      <w:r>
        <w:t xml:space="preserve"> </w:t>
      </w:r>
      <w:hyperlink w:anchor="ref-2">
        <w:r>
          <w:rPr>
            <w:rStyle w:val="Hyperlink"/>
          </w:rPr>
          <w:t xml:space="preserve">[2]</w:t>
        </w:r>
      </w:hyperlink>
      <w:r>
        <w:t xml:space="preserve">. An informative elicitation places nuclear power in a zone of dispersion. That is the two-part claim the dissertation set out to establish, and both parts hold in the data.</w:t>
      </w:r>
    </w:p>
    <w:p>
      <w:pPr>
        <w:pStyle w:val="BodyText"/>
        <w:spacing w:line="480" w:lineRule="auto"/>
        <w:ind w:firstLine="720"/>
      </w:pPr>
      <w:r>
        <w:t xml:space="preserve">Against the hypotheses, the reading runs direct. The null hypothesis H0 held that nuclear power carries no independent concentrated signal once the ranking structure is in, so the nuclear indicator is statistically indistinguishable from zero. The data do not reject H0: the nuclear coefficient of 0.2617 with a p-value of 0.8119 is precisely the flat, insignificant result H0 describes. The alternative hypothesis H1, that nuclear power carries a significant concentrated premium or discount, finds no support. Under the framing chosen in the theory chapter, this is the outcome that sustains the option argument, because a dispersed nuclear preference is the observable fingerprint of learning-reducible uncertainty.</w:t>
      </w:r>
    </w:p>
    <w:p>
      <w:pPr>
        <w:pStyle w:val="BodyText"/>
        <w:spacing w:line="480" w:lineRule="auto"/>
        <w:ind w:firstLine="720"/>
      </w:pPr>
      <w:r>
        <w:t xml:space="preserve">The precision of the null matters, and the analysis reports it rather than leaning on the p-value alone. The worry with any argument built on a failure to reject is that the failure might mark an underpowered test rather than a true zero. Two features of the results meet that worry. The confidence interval on the nuclear coefficient, from negative 1.8933 to 2.4166, sits centred close to zero rather than sprawling across large positive and negative magnitudes, and it is estimated under robust standard errors that widen the interval conservatively. And the companion elasticity result, precise to a p-value below one in one hundred thousand, shows the same survey yielding sharp, significant relationships where real signal exists</w:t>
      </w:r>
      <w:r>
        <w:t xml:space="preserve"> </w:t>
      </w:r>
      <w:hyperlink w:anchor="ref-2">
        <w:r>
          <w:rPr>
            <w:rStyle w:val="Hyperlink"/>
          </w:rPr>
          <w:t xml:space="preserve">[2]</w:t>
        </w:r>
      </w:hyperlink>
      <w:r>
        <w:t xml:space="preserve">. The elicitation is plainly capable of producing significant coefficients; it produces none for nuclear power specifically. That contrast is what licenses reading the flat nuclear coefficient as dispersion rather than as noise.</w:t>
      </w:r>
    </w:p>
    <w:bookmarkEnd w:id="117"/>
    <w:bookmarkStart w:id="118" w:name="what-the-numbers-do-and-do-not-establish"/>
    <w:p>
      <w:pPr>
        <w:pStyle w:val="Heading2"/>
        <w:spacing w:line="480" w:lineRule="auto"/>
      </w:pPr>
      <w:r>
        <w:t xml:space="preserve">What the numbers do and do not establish</w:t>
      </w:r>
    </w:p>
    <w:p>
      <w:pPr>
        <w:pStyle w:val="FirstParagraph"/>
        <w:spacing w:line="480" w:lineRule="auto"/>
      </w:pPr>
      <w:r>
        <w:t xml:space="preserve">The results establish two things and only two. Nuclear power sits in a zone of genuine dispersion in expert preference, surviving control for the ranking structure. And the elicitation documenting that dispersion is informative, with a tight and highly significant relationship between central tendency and agreement. Together they confirm the empirical precondition for a positive option premium in the fission surface power commitment: costly irreversibility on the supply side, uncertain demand on the ISRU side, and dispersed expert belief that further information could resolve</w:t>
      </w:r>
      <w:r>
        <w:t xml:space="preserve"> </w:t>
      </w:r>
      <w:hyperlink w:anchor="ref-8">
        <w:r>
          <w:rPr>
            <w:rStyle w:val="Hyperlink"/>
          </w:rPr>
          <w:t xml:space="preserve">[8]</w:t>
        </w:r>
      </w:hyperlink>
      <w:r>
        <w:t xml:space="preserve">.</w:t>
      </w:r>
    </w:p>
    <w:p>
      <w:pPr>
        <w:pStyle w:val="BodyText"/>
        <w:spacing w:line="480" w:lineRule="auto"/>
        <w:ind w:firstLine="720"/>
      </w:pPr>
      <w:r>
        <w:t xml:space="preserve">The numbers do not price the option. The coefficients say nothing about reactor capital cost, launch price, kilowatt-hour cost on the surface, or the realised arrival date of ISRU demand. The interaction coefficient of 3.0668 is a statement about the coherence of an expert ranking, not about the economics of a reactor. The elasticity of 2.6560 is a data-quality diagnostic, not a behavioural learning rate, and the analysis says outright that both variables summarise the same response distribution rather than stand as cause and effect. The results are diagnostic inputs to the option-value interpretation, not the valuation itself. What they contribute is a real, reproducible demonstration that the ambiguity the option argument requires is present in the expert evidence, measured on data any reader can retrieve.</w:t>
      </w:r>
    </w:p>
    <w:bookmarkEnd w:id="118"/>
    <w:bookmarkStart w:id="119" w:name="magnitudes-in-context"/>
    <w:p>
      <w:pPr>
        <w:pStyle w:val="Heading2"/>
        <w:spacing w:line="480" w:lineRule="auto"/>
      </w:pPr>
      <w:r>
        <w:t xml:space="preserve">Magnitudes in context</w:t>
      </w:r>
    </w:p>
    <w:p>
      <w:pPr>
        <w:pStyle w:val="FirstParagraph"/>
        <w:spacing w:line="480" w:lineRule="auto"/>
      </w:pPr>
      <w:r>
        <w:t xml:space="preserve">Past signs and significance, the magnitudes of the two headline coefficients carry meaning worth drawing out. The interaction coefficient of 3.0668 says that for each unit rise in the product of rank weight and final score, expected preference points climb by roughly three</w:t>
      </w:r>
      <w:r>
        <w:t xml:space="preserve"> </w:t>
      </w:r>
      <w:hyperlink w:anchor="ref-2">
        <w:r>
          <w:rPr>
            <w:rStyle w:val="Hyperlink"/>
          </w:rPr>
          <w:t xml:space="preserve">[2]</w:t>
        </w:r>
      </w:hyperlink>
      <w:r>
        <w:t xml:space="preserve">. On a preference-point scale running from zero to thirty in the underlying table, an effect that size is substantial: the ranking structure is carrying much of the explanation for where preference concentrates. This is the quantitative confirmation that the panel ranked coherently, that high-scoring technologies really did gather their votes at preferred positions, the internal-consistency finding the interaction was designed to deliver.</w:t>
      </w:r>
    </w:p>
    <w:p>
      <w:pPr>
        <w:pStyle w:val="BodyText"/>
        <w:spacing w:line="480" w:lineRule="auto"/>
        <w:ind w:firstLine="720"/>
      </w:pPr>
      <w:r>
        <w:t xml:space="preserve">The elasticity of 2.6560 is likewise a large magnitude for an elasticity</w:t>
      </w:r>
      <w:r>
        <w:t xml:space="preserve"> </w:t>
      </w:r>
      <w:hyperlink w:anchor="ref-2">
        <w:r>
          <w:rPr>
            <w:rStyle w:val="Hyperlink"/>
          </w:rPr>
          <w:t xml:space="preserve">[2]</w:t>
        </w:r>
      </w:hyperlink>
      <w:r>
        <w:t xml:space="preserve">. Elasticities above one signal a more-than-proportional response, and a value near 2.66 means agreement share climbs steeply with the central position of the responses. The progress-ratio translation, roughly 6.3 times agreement share for a doubling of median position, dramatises how tightly the two summaries move together. The practical upshot is that the median position is no weak or incidental summary of the Delphi responses; it is a strong index of consensus, which is why it can be trusted as the marker separating settled propositions from open ones. That steepness is what gives the elicitation-quality certification its force.</w:t>
      </w:r>
    </w:p>
    <w:p>
      <w:pPr>
        <w:pStyle w:val="BodyText"/>
        <w:spacing w:line="480" w:lineRule="auto"/>
        <w:ind w:firstLine="720"/>
      </w:pPr>
      <w:r>
        <w:t xml:space="preserve">Set against these two large, precise, significant magnitudes stands the nuclear coefficient of 0.2617, small in absolute terms and swamped by its own standard error of 1.0995</w:t>
      </w:r>
      <w:r>
        <w:t xml:space="preserve"> </w:t>
      </w:r>
      <w:hyperlink w:anchor="ref-2">
        <w:r>
          <w:rPr>
            <w:rStyle w:val="Hyperlink"/>
          </w:rPr>
          <w:t xml:space="preserve">[2]</w:t>
        </w:r>
      </w:hyperlink>
      <w:r>
        <w:t xml:space="preserve">. The contrast in magnitude is itself informative. Where the ranking structure produces effects of size three, and where the elicitation produces an elasticity of nearly three, the nuclear label produces an effect of roughly a quarter of a preference point that could as easily be negative. The nuclear signal is not merely statistically insignificant; it is substantively negligible against the scale of the effects the same data readily produce elsewhere. That is the strongest available reading of the null: the survey is loud where signal exists and silent on nuclear power specifically.</w:t>
      </w:r>
    </w:p>
    <w:bookmarkEnd w:id="119"/>
    <w:bookmarkStart w:id="120" w:name="reproducibility-of-the-reported-figures"/>
    <w:p>
      <w:pPr>
        <w:pStyle w:val="Heading2"/>
        <w:spacing w:line="480" w:lineRule="auto"/>
      </w:pPr>
      <w:r>
        <w:t xml:space="preserve">Reproducibility of the reported figures</w:t>
      </w:r>
    </w:p>
    <w:p>
      <w:pPr>
        <w:pStyle w:val="FirstParagraph"/>
        <w:spacing w:line="480" w:lineRule="auto"/>
      </w:pPr>
      <w:r>
        <w:t xml:space="preserve">Every figure in this chapter derives straight from the two published datasets and the two specifications, with no adjustable analyst choices between the data and the coefficients. The N of 25 is the five technologies times five rank positions of the energy table. The N of 19 is the count of stable statements with positive agreement share and positive median position. The coefficients, standard errors, t-statistics, p-values, confidence intervals, and R-squared values are the direct output of ordinary least squares with robust standard errors on those datasets under the specifications given in the methodology chapter</w:t>
      </w:r>
      <w:r>
        <w:t xml:space="preserve"> </w:t>
      </w:r>
      <w:hyperlink w:anchor="ref-2">
        <w:r>
          <w:rPr>
            <w:rStyle w:val="Hyperlink"/>
          </w:rPr>
          <w:t xml:space="preserve">[2]</w:t>
        </w:r>
      </w:hyperlink>
      <w:r>
        <w:t xml:space="preserve">. A reader who rebuilds the datasets from the source article and applies the same estimators will recover the same numbers. That reproducibility is the guarantee behind the interpretation, and it is why the study can rest a falsifiable claim on a failure to reject a null.</w:t>
      </w:r>
    </w:p>
    <w:bookmarkEnd w:id="120"/>
    <w:bookmarkStart w:id="121" w:name="Xfdd9c5a49af3190f3ed81c744d2022646f386de"/>
    <w:p>
      <w:pPr>
        <w:pStyle w:val="Heading2"/>
        <w:spacing w:line="480" w:lineRule="auto"/>
      </w:pPr>
      <w:r>
        <w:t xml:space="preserve">Model fit and what it does and does not certify</w:t>
      </w:r>
    </w:p>
    <w:p>
      <w:pPr>
        <w:pStyle w:val="FirstParagraph"/>
        <w:spacing w:line="480" w:lineRule="auto"/>
      </w:pPr>
      <w:r>
        <w:t xml:space="preserve">The two R-squared values, 0.5649 for the ranking model and 0.7846 for the elasticity model, deserve reading on their own, because model fit is easily over-read</w:t>
      </w:r>
      <w:r>
        <w:t xml:space="preserve"> </w:t>
      </w:r>
      <w:hyperlink w:anchor="ref-2">
        <w:r>
          <w:rPr>
            <w:rStyle w:val="Hyperlink"/>
          </w:rPr>
          <w:t xml:space="preserve">[2]</w:t>
        </w:r>
      </w:hyperlink>
      <w:r>
        <w:t xml:space="preserve">. The ranking model captures roughly fifty-six percent of the variation in preference points, a respectable fraction for a four-regressor model on twenty-five observations built from real vote counts. It certifies that the ranking structure captures much of what drives preference concentration, and it does not certify that the leftover variation is nuclear signal; the nuclear coefficient is estimated within the model and comes back flat regardless of the unexplained variation. The elasticity model captures roughly seventy-eight percent of the variation in log agreement share, a strong fit certifying the tightness of the central-tendency relationship. Neither R-squared bears on causation, and neither is claimed to. They are measures of descriptive fit, and their role is to show the models capture real structure in the elicitation rather than fitting noise.</w:t>
      </w:r>
    </w:p>
    <w:p>
      <w:pPr>
        <w:pStyle w:val="BodyText"/>
        <w:spacing w:line="480" w:lineRule="auto"/>
        <w:ind w:firstLine="720"/>
      </w:pPr>
      <w:r>
        <w:t xml:space="preserve">There is a temptation, which the study resists, to read the higher R-squared of the elasticity model as evidence that it is the more important result. It is not more important; it is differently purposed. The elasticity model’s job is to certify the elicitation, and its high fit does that job well. The ranking model’s job is to isolate the nuclear signal, and its moderate fit is entirely adequate to that job, because the nuclear coefficient is identified by the specification regardless of the overall fit. Reading the two fits correctly means reading each against its purpose, not ranking them against each other.</w:t>
      </w:r>
    </w:p>
    <w:bookmarkEnd w:id="121"/>
    <w:bookmarkStart w:id="122" w:name="the-two-results-as-a-single-argument"/>
    <w:p>
      <w:pPr>
        <w:pStyle w:val="Heading2"/>
        <w:spacing w:line="480" w:lineRule="auto"/>
      </w:pPr>
      <w:r>
        <w:t xml:space="preserve">The two results as a single argument</w:t>
      </w:r>
    </w:p>
    <w:p>
      <w:pPr>
        <w:pStyle w:val="FirstParagraph"/>
        <w:spacing w:line="480" w:lineRule="auto"/>
      </w:pPr>
      <w:r>
        <w:t xml:space="preserve">Step back from the individual coefficients and the two papers make one argument in two movements. The first movement puts nuclear power in dispersion by showing its indicator flat and insignificant, coefficient 0.2617, standard error 1.0995, p-value 0.8119, within a model whose interaction term of 3.0668 confirms the ranking is otherwise coherent</w:t>
      </w:r>
      <w:r>
        <w:t xml:space="preserve"> </w:t>
      </w:r>
      <w:hyperlink w:anchor="ref-2">
        <w:r>
          <w:rPr>
            <w:rStyle w:val="Hyperlink"/>
          </w:rPr>
          <w:t xml:space="preserve">[2]</w:t>
        </w:r>
      </w:hyperlink>
      <w:r>
        <w:t xml:space="preserve">. The second movement shows the finding can be trusted, because the same elicitation produces a sharp, significant elasticity of 2.6560 with a p-value below one in one hundred thousand</w:t>
      </w:r>
      <w:r>
        <w:t xml:space="preserve"> </w:t>
      </w:r>
      <w:hyperlink w:anchor="ref-2">
        <w:r>
          <w:rPr>
            <w:rStyle w:val="Hyperlink"/>
          </w:rPr>
          <w:t xml:space="preserve">[2]</w:t>
        </w:r>
      </w:hyperlink>
      <w:r>
        <w:t xml:space="preserve">. These are not independent findings that happen to point the same way. They are two halves of a single inferential structure, the second certifying the instrument that produced the first. Read alone, the flat nuclear coefficient could be dismissed as noise, and the sharp elasticity would say nothing about nuclear power. Read together, they establish that an informative elicitation places nuclear power in genuine dispersion, the precondition the option argument requires and the empirical result the dissertation set out to obtain.</w:t>
      </w:r>
    </w:p>
    <w:bookmarkEnd w:id="122"/>
    <w:bookmarkStart w:id="123" w:name="X486860161bbe7bdf79cf76c99b67e5174880691"/>
    <w:p>
      <w:pPr>
        <w:pStyle w:val="Heading2"/>
        <w:spacing w:line="480" w:lineRule="auto"/>
      </w:pPr>
      <w:r>
        <w:t xml:space="preserve">The sign structure read against the raw table</w:t>
      </w:r>
    </w:p>
    <w:p>
      <w:pPr>
        <w:pStyle w:val="FirstParagraph"/>
        <w:spacing w:line="480" w:lineRule="auto"/>
      </w:pPr>
      <w:r>
        <w:t xml:space="preserve">Because the interpretation rests on more than the headline coefficients, it is worth closing the loop once more between the estimated signs and the raw vote pattern. The regression reports a strong positive interaction of 3.0668 and a flat nuclear coefficient of 0.2617, and both are visible in the underlying table before any estimation</w:t>
      </w:r>
      <w:r>
        <w:t xml:space="preserve"> </w:t>
      </w:r>
      <w:hyperlink w:anchor="ref-2">
        <w:r>
          <w:rPr>
            <w:rStyle w:val="Hyperlink"/>
          </w:rPr>
          <w:t xml:space="preserve">[2]</w:t>
        </w:r>
      </w:hyperlink>
      <w:r>
        <w:t xml:space="preserve">. The positive interaction answers to the fact that solar photovoltaic, the highest-scoring technology, drew its votes overwhelmingly at the top rank positions, six at first place, while low-scoring solar concentration electric drew its votes at the bottom. That is the interaction the coefficient captures: high score plus preferred position yields high preference points. The flat nuclear coefficient answers to the two-votes-at-every-position pattern that leaves nuclear neither top-loaded nor bottom-loaded. The estimation manufactures neither result; it quantifies patterns a reader can see in the vote counts.</w:t>
      </w:r>
    </w:p>
    <w:p>
      <w:pPr>
        <w:pStyle w:val="BodyText"/>
        <w:spacing w:line="480" w:lineRule="auto"/>
        <w:ind w:firstLine="720"/>
      </w:pPr>
      <w:r>
        <w:t xml:space="preserve">That correspondence between the estimated coefficients and the visible raw data is itself a validity check. When a regression’s headline findings trace back to features anyone can read off the source table, the risk that they are artifacts of specification choices drops sharply. The interaction is real in the raw data. The nuclear flatness is real in the raw data. The regression’s contribution is to confirm the flatness survives control for the score and the rank structure, which the eye alone cannot establish, and to attach a standard error and interval to it. The numbers and the table tell the same story, and that agreement is part of why the result can bear the weight the argument places on it. The discussion chapter takes up what the demonstration means, the threats to its validity, and the questions it leaves open.</w:t>
      </w:r>
    </w:p>
    <w:bookmarkEnd w:id="123"/>
    <w:bookmarkEnd w:id="124"/>
    <w:bookmarkStart w:id="135" w:name="discussion-and-limitations"/>
    <w:p>
      <w:pPr>
        <w:pStyle w:val="Heading1"/>
        <w:spacing w:line="480" w:lineRule="auto"/>
      </w:pPr>
      <w:r>
        <w:t xml:space="preserve">Discussion and Limitations</w:t>
      </w:r>
    </w:p>
    <w:p>
      <w:pPr>
        <w:pStyle w:val="FirstParagraph"/>
        <w:spacing w:line="480" w:lineRule="auto"/>
      </w:pPr>
      <w:r>
        <w:t xml:space="preserve">The results are narrow by design, and their meaning has to be drawn out with care. This chapter reads what the two findings imply for the lunar power decision, lays out the threats to their validity honestly, and marks the boundary of what the data can and cannot show. One discipline holds the discussion together: keeping apart what the evidence establishes from what the option-value interpretation lays on top of it, so a reader can accept the first while contesting the second.</w:t>
      </w:r>
    </w:p>
    <w:bookmarkStart w:id="125" w:name="what-the-findings-mean"/>
    <w:p>
      <w:pPr>
        <w:pStyle w:val="Heading2"/>
        <w:spacing w:line="480" w:lineRule="auto"/>
      </w:pPr>
      <w:r>
        <w:t xml:space="preserve">What the findings mean</w:t>
      </w:r>
    </w:p>
    <w:p>
      <w:pPr>
        <w:pStyle w:val="FirstParagraph"/>
        <w:spacing w:line="480" w:lineRule="auto"/>
      </w:pPr>
      <w:r>
        <w:t xml:space="preserve">Taken together, the two findings establish that the expert evidence on lunar power carries the structure the option argument requires. Nuclear power is dispersed in expert preference, its coefficient statistically indistinguishable from zero once the ranking structure is controlled, and the elicitation carrying that finding is informative, its elasticity of agreement share on median position large and precisely estimated</w:t>
      </w:r>
      <w:r>
        <w:t xml:space="preserve"> </w:t>
      </w:r>
      <w:hyperlink w:anchor="ref-2">
        <w:r>
          <w:rPr>
            <w:rStyle w:val="Hyperlink"/>
          </w:rPr>
          <w:t xml:space="preserve">[2]</w:t>
        </w:r>
      </w:hyperlink>
      <w:r>
        <w:t xml:space="preserve">. The substantive reading is that the community has not converged on nuclear power. Some experts rank it high, some rank it low, and the aggregate comes out a flat distribution and a middling final score rather than a concentrated verdict.</w:t>
      </w:r>
    </w:p>
    <w:p>
      <w:pPr>
        <w:pStyle w:val="BodyText"/>
        <w:spacing w:line="480" w:lineRule="auto"/>
        <w:ind w:firstLine="720"/>
      </w:pPr>
      <w:r>
        <w:t xml:space="preserve">That dispersion is precisely what the deterministic net-present-value framing cannot represent. A levelised-cost comparison hands back a point estimate and a recommendation, and it does so whether or not the expert community actually agrees on the inputs. The evidence here shows the community does not agree, and that the disagreement is no noise but a stable feature of an informative elicitation. Let disagreement of that kind sit atop an irreversible commitment and a demand process time will clarify, and the finance is unambiguous: the right to wait for the disagreement to resolve carries value</w:t>
      </w:r>
      <w:r>
        <w:t xml:space="preserve"> </w:t>
      </w:r>
      <w:hyperlink w:anchor="ref-8">
        <w:r>
          <w:rPr>
            <w:rStyle w:val="Hyperlink"/>
          </w:rPr>
          <w:t xml:space="preserve">[8]</w:t>
        </w:r>
      </w:hyperlink>
      <w:r>
        <w:t xml:space="preserve">. The findings do not compute that value. They establish that its precondition is present, on real data.</w:t>
      </w:r>
    </w:p>
    <w:p>
      <w:pPr>
        <w:pStyle w:val="BodyText"/>
        <w:spacing w:line="480" w:lineRule="auto"/>
        <w:ind w:firstLine="720"/>
      </w:pPr>
      <w:r>
        <w:t xml:space="preserve">For the program, the practical meaning is a recommendation about posture, not about technology. The evidence does not say choose solar, and it does not say choose nuclear. Solar photovoltaic is the clear near-term favourite in the ranking, with six first-place votes and a final score well above the field, and that fact ought to anchor near-term architecture planning</w:t>
      </w:r>
      <w:r>
        <w:t xml:space="preserve"> </w:t>
      </w:r>
      <w:hyperlink w:anchor="ref-2">
        <w:r>
          <w:rPr>
            <w:rStyle w:val="Hyperlink"/>
          </w:rPr>
          <w:t xml:space="preserve">[2]</w:t>
        </w:r>
      </w:hyperlink>
      <w:r>
        <w:t xml:space="preserve">. Nuclear power is neither eliminated nor confirmed; it is held in dispersion. The option-aware reading is that a program should mature the nuclear pathway while keeping the decision rights to commit later, sizing near-term demonstrations against the high-consensus demand propositions while holding the low-consensus nuclear commitment open until site data, storage-mass alternatives, and demand arrival grow less speculative. That is the middle path the static framing cannot see and the option framing recommends.</w:t>
      </w:r>
    </w:p>
    <w:bookmarkEnd w:id="125"/>
    <w:bookmarkStart w:id="126" w:name="threats-to-validity"/>
    <w:p>
      <w:pPr>
        <w:pStyle w:val="Heading2"/>
        <w:spacing w:line="480" w:lineRule="auto"/>
      </w:pPr>
      <w:r>
        <w:t xml:space="preserve">Threats to validity</w:t>
      </w:r>
    </w:p>
    <w:p>
      <w:pPr>
        <w:pStyle w:val="FirstParagraph"/>
        <w:spacing w:line="480" w:lineRule="auto"/>
      </w:pPr>
      <w:r>
        <w:t xml:space="preserve">Four threats bear on the interpretation, and each earns a direct answer rather than a hedge.</w:t>
      </w:r>
    </w:p>
    <w:p>
      <w:pPr>
        <w:pStyle w:val="BodyText"/>
        <w:spacing w:line="480" w:lineRule="auto"/>
        <w:ind w:firstLine="720"/>
      </w:pPr>
      <w:r>
        <w:t xml:space="preserve">The first is exchangeability of the elicited distribution with current expert belief. The Delphi survey catches the panel’s views in its survey period, and expert belief about nuclear power in space can move as the architecture matures, as fission-generator development advances</w:t>
      </w:r>
      <w:r>
        <w:t xml:space="preserve"> </w:t>
      </w:r>
      <w:hyperlink w:anchor="ref-4">
        <w:r>
          <w:rPr>
            <w:rStyle w:val="Hyperlink"/>
          </w:rPr>
          <w:t xml:space="preserve">[4]</w:t>
        </w:r>
      </w:hyperlink>
      <w:r>
        <w:t xml:space="preserve">, and as political conditions turn</w:t>
      </w:r>
      <w:r>
        <w:t xml:space="preserve"> </w:t>
      </w:r>
      <w:hyperlink w:anchor="ref-6">
        <w:r>
          <w:rPr>
            <w:rStyle w:val="Hyperlink"/>
          </w:rPr>
          <w:t xml:space="preserve">[6]</w:t>
        </w:r>
      </w:hyperlink>
      <w:r>
        <w:t xml:space="preserve">. Were current belief sharply more concentrated than the surveyed belief, the dispersion the study documents would be stale, and the option premium it implies would run overstated. This is a real limitation, and the honest response is that the finding is conditional on the elicited distribution. A planned robustness direction, updating the distribution against the more recent architecture record, is the right way to test whether the dispersion persists, and the study claims only what the surveyed evidence supports.</w:t>
      </w:r>
    </w:p>
    <w:p>
      <w:pPr>
        <w:pStyle w:val="BodyText"/>
        <w:spacing w:line="480" w:lineRule="auto"/>
        <w:ind w:firstLine="720"/>
      </w:pPr>
      <w:r>
        <w:t xml:space="preserve">The second is the power of a null result. The central nuclear finding is a failure to reject a zero coefficient, and such findings always face the charge that the test ran underpowered on twenty-five observations. The study’s defence is built in rather than asserted. The confidence interval on the nuclear coefficient, from negative 1.8933 to 2.4166, sits centred near zero rather than sprawling, estimated under conservative robust standard errors. More decisively, the companion elasticity result is significant to a p-value below one in one hundred thousand on nineteen observations, showing the same elicitation yields sharp coefficients where real signal exists</w:t>
      </w:r>
      <w:r>
        <w:t xml:space="preserve"> </w:t>
      </w:r>
      <w:hyperlink w:anchor="ref-2">
        <w:r>
          <w:rPr>
            <w:rStyle w:val="Hyperlink"/>
          </w:rPr>
          <w:t xml:space="preserve">[2]</w:t>
        </w:r>
      </w:hyperlink>
      <w:r>
        <w:t xml:space="preserve">. The survey can find significance; it does not find it for nuclear power. That contrast turns a bare null into evidence of dispersion. The threat is not eliminated, since no null result ever escapes it fully, but it is materially reduced.</w:t>
      </w:r>
    </w:p>
    <w:p>
      <w:pPr>
        <w:pStyle w:val="BodyText"/>
        <w:spacing w:line="480" w:lineRule="auto"/>
        <w:ind w:firstLine="720"/>
      </w:pPr>
      <w:r>
        <w:t xml:space="preserve">The third is that the analysis reads a preference ranking as though it were an investment model. It is not, and the study makes no such claim. The regression measures preference concentration, not reactor economics. The interaction coefficient of 3.0668 describes the coherence of an expert ranking, not the cost of a kilowatt-hour</w:t>
      </w:r>
      <w:r>
        <w:t xml:space="preserve"> </w:t>
      </w:r>
      <w:hyperlink w:anchor="ref-2">
        <w:r>
          <w:rPr>
            <w:rStyle w:val="Hyperlink"/>
          </w:rPr>
          <w:t xml:space="preserve">[2]</w:t>
        </w:r>
      </w:hyperlink>
      <w:r>
        <w:t xml:space="preserve">. The inferential chain from preference dispersion to option premium runs through the theory chapter, and a reader who rejects that chain can keep the empirical finding and set the interpretation aside. The study’s structure makes the separation clean on purpose: the coefficients stand on their own, and the option reading is an argument laid on top, contestable on its own terms.</w:t>
      </w:r>
    </w:p>
    <w:p>
      <w:pPr>
        <w:pStyle w:val="BodyText"/>
        <w:spacing w:line="480" w:lineRule="auto"/>
        <w:ind w:firstLine="720"/>
      </w:pPr>
      <w:r>
        <w:t xml:space="preserve">The fourth concerns the decision-maker’s objective. The option-value logic assumes a value-maximising decision-maker, a stylisation of the real political-economy environment lunar power decisions get made in, an environment shaped by agency mandates, international commitments, and the documented political sensitivity of nuclear energy in space</w:t>
      </w:r>
      <w:r>
        <w:t xml:space="preserve"> </w:t>
      </w:r>
      <w:hyperlink w:anchor="ref-6">
        <w:r>
          <w:rPr>
            <w:rStyle w:val="Hyperlink"/>
          </w:rPr>
          <w:t xml:space="preserve">[6]</w:t>
        </w:r>
      </w:hyperlink>
      <w:r>
        <w:t xml:space="preserve">. A decision-maker with strong non-pecuniary objectives, say a political commitment to demonstrate nuclear capability whatever the demand, would not follow the option-value prescription, and the study does not claim its recommendation generalises to such objectives. What it does claim is that under a value-maximising objective the evidence supports preserving flexibility, and it flags the political-economy caveat rather than assuming it away.</w:t>
      </w:r>
    </w:p>
    <w:bookmarkEnd w:id="126"/>
    <w:bookmarkStart w:id="127" w:name="what-the-data-cannot-show"/>
    <w:p>
      <w:pPr>
        <w:pStyle w:val="Heading2"/>
        <w:spacing w:line="480" w:lineRule="auto"/>
      </w:pPr>
      <w:r>
        <w:t xml:space="preserve">What the data cannot show</w:t>
      </w:r>
    </w:p>
    <w:p>
      <w:pPr>
        <w:pStyle w:val="FirstParagraph"/>
        <w:spacing w:line="480" w:lineRule="auto"/>
      </w:pPr>
      <w:r>
        <w:t xml:space="preserve">Past the threats to the interpretation lie hard limits on what the data can address at all, and naming them is part of the honesty the falsifiable posture demands.</w:t>
      </w:r>
    </w:p>
    <w:p>
      <w:pPr>
        <w:pStyle w:val="BodyText"/>
        <w:spacing w:line="480" w:lineRule="auto"/>
        <w:ind w:firstLine="720"/>
      </w:pPr>
      <w:r>
        <w:t xml:space="preserve">The data cannot price the option. Pricing calls for a joint distribution over reactor unit cost, illumination availability, and demand arrival, calibrated to operational parameters that do not yet exist in citable public form. The Delphi record holds none of these quantities</w:t>
      </w:r>
      <w:r>
        <w:t xml:space="preserve"> </w:t>
      </w:r>
      <w:hyperlink w:anchor="ref-2">
        <w:r>
          <w:rPr>
            <w:rStyle w:val="Hyperlink"/>
          </w:rPr>
          <w:t xml:space="preserve">[2]</w:t>
        </w:r>
      </w:hyperlink>
      <w:r>
        <w:t xml:space="preserve">. It holds expert preference and expert agreement, and those are the only things the estimators touch. Any statement about the numerical size of the option premium therefore lies outside this study’s reach and belongs to the future work a full valuation lattice would carry out.</w:t>
      </w:r>
    </w:p>
    <w:p>
      <w:pPr>
        <w:pStyle w:val="BodyText"/>
        <w:spacing w:line="480" w:lineRule="auto"/>
        <w:ind w:firstLine="720"/>
      </w:pPr>
      <w:r>
        <w:t xml:space="preserve">The data cannot forecast demand. The survey records that useful ISRU activity could add about a megawatt to outpost load and that oxygen production could exceed a thousand kilograms per year, but these are elicited expectations with wide dispersion in their arrival dates, not a demand curve</w:t>
      </w:r>
      <w:r>
        <w:t xml:space="preserve"> </w:t>
      </w:r>
      <w:hyperlink w:anchor="ref-2">
        <w:r>
          <w:rPr>
            <w:rStyle w:val="Hyperlink"/>
          </w:rPr>
          <w:t xml:space="preserve">[2]</w:t>
        </w:r>
      </w:hyperlink>
      <w:r>
        <w:t xml:space="preserve">. The flexible-design literature shows how such demand might be modelled formally</w:t>
      </w:r>
      <w:r>
        <w:t xml:space="preserve"> </w:t>
      </w:r>
      <w:hyperlink w:anchor="ref-17">
        <w:r>
          <w:rPr>
            <w:rStyle w:val="Hyperlink"/>
          </w:rPr>
          <w:t xml:space="preserve">[17]</w:t>
        </w:r>
      </w:hyperlink>
      <w:r>
        <w:t xml:space="preserve"> </w:t>
      </w:r>
      <w:hyperlink w:anchor="ref-19">
        <w:r>
          <w:rPr>
            <w:rStyle w:val="Hyperlink"/>
          </w:rPr>
          <w:t xml:space="preserve">[19]</w:t>
        </w:r>
      </w:hyperlink>
      <w:r>
        <w:t xml:space="preserve">, and that modelling is not performed here.</w:t>
      </w:r>
    </w:p>
    <w:p>
      <w:pPr>
        <w:pStyle w:val="BodyText"/>
        <w:spacing w:line="480" w:lineRule="auto"/>
        <w:ind w:firstLine="720"/>
      </w:pPr>
      <w:r>
        <w:t xml:space="preserve">The data cannot resolve the cost gap. The four-times solar-to-nuclear cost ratio comes from the engineering literature as a range, not a distribution the present analysis estimates</w:t>
      </w:r>
      <w:r>
        <w:t xml:space="preserve"> </w:t>
      </w:r>
      <w:hyperlink w:anchor="ref-1">
        <w:r>
          <w:rPr>
            <w:rStyle w:val="Hyperlink"/>
          </w:rPr>
          <w:t xml:space="preserve">[1]</w:t>
        </w:r>
      </w:hyperlink>
      <w:r>
        <w:t xml:space="preserve">. The study takes that gap as context, establishing that the cost side is genuinely uncertain, not as a parameter it measures.</w:t>
      </w:r>
    </w:p>
    <w:p>
      <w:pPr>
        <w:pStyle w:val="BodyText"/>
        <w:spacing w:line="480" w:lineRule="auto"/>
        <w:ind w:firstLine="720"/>
      </w:pPr>
      <w:r>
        <w:t xml:space="preserve">And the data cannot speak to sites beyond the surveyed frame. The elicitation concerns a generic 2040 outpost, and while the surface-station and traffic-management literatures ground the analysis in the Shackleton region</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Delphi record itself is not site-specific in the way a real siting decision would demand.</w:t>
      </w:r>
    </w:p>
    <w:bookmarkEnd w:id="127"/>
    <w:bookmarkStart w:id="128" w:name="interpretation-held-to-its-evidence"/>
    <w:p>
      <w:pPr>
        <w:pStyle w:val="Heading2"/>
        <w:spacing w:line="480" w:lineRule="auto"/>
      </w:pPr>
      <w:r>
        <w:t xml:space="preserve">Interpretation held to its evidence</w:t>
      </w:r>
    </w:p>
    <w:p>
      <w:pPr>
        <w:pStyle w:val="FirstParagraph"/>
        <w:spacing w:line="480" w:lineRule="auto"/>
      </w:pPr>
      <w:r>
        <w:t xml:space="preserve">Stating these limits plainly is what keeps the contribution proportionate to the evidence. The study establishes, on real and reproducible data, that expert preference over lunar nuclear power is dispersed and that the elicitation is informative. From those two facts, and the standard theory of irreversible investment under uncertainty, it argues that the right to defer the fission surface power commitment carries value and that the program should preserve flexibility</w:t>
      </w:r>
      <w:r>
        <w:t xml:space="preserve"> </w:t>
      </w:r>
      <w:hyperlink w:anchor="ref-8">
        <w:r>
          <w:rPr>
            <w:rStyle w:val="Hyperlink"/>
          </w:rPr>
          <w:t xml:space="preserve">[8]</w:t>
        </w:r>
      </w:hyperlink>
      <w:r>
        <w:t xml:space="preserve">. The empirical findings are secure to the degree the Delphi record is trustworthy, and the study has certified that trustworthiness internally. The interpretation is secure to the degree the reader accepts the inferential chain and the value-maximising framing, both stated openly so they can be examined. Nothing in the argument requires the reader to accept a number the data cannot deliver. That is the discipline.</w:t>
      </w:r>
    </w:p>
    <w:bookmarkEnd w:id="128"/>
    <w:bookmarkStart w:id="129" w:name="X6b3f96ddbf79ae18abce9a85da8b13887223579"/>
    <w:p>
      <w:pPr>
        <w:pStyle w:val="Heading2"/>
        <w:spacing w:line="480" w:lineRule="auto"/>
      </w:pPr>
      <w:r>
        <w:t xml:space="preserve">Alternative explanations for the flat nuclear result</w:t>
      </w:r>
    </w:p>
    <w:p>
      <w:pPr>
        <w:pStyle w:val="FirstParagraph"/>
        <w:spacing w:line="480" w:lineRule="auto"/>
      </w:pPr>
      <w:r>
        <w:t xml:space="preserve">Intellectual honesty means entertaining explanations for the flat nuclear coefficient beyond genuine dispersion, and testing whether they hold up. One is that the panel simply had no strong views on any technology, so a flat nuclear distribution is unremarkable. The data refute it: solar photovoltaic drew a sharply top-weighted distribution with six first-place votes, so the panel plainly held strong views where it had them</w:t>
      </w:r>
      <w:r>
        <w:t xml:space="preserve"> </w:t>
      </w:r>
      <w:hyperlink w:anchor="ref-2">
        <w:r>
          <w:rPr>
            <w:rStyle w:val="Hyperlink"/>
          </w:rPr>
          <w:t xml:space="preserve">[2]</w:t>
        </w:r>
      </w:hyperlink>
      <w:r>
        <w:t xml:space="preserve">. The flatness is specific to nuclear, not a property of the elicitation at large.</w:t>
      </w:r>
    </w:p>
    <w:p>
      <w:pPr>
        <w:pStyle w:val="BodyText"/>
        <w:spacing w:line="480" w:lineRule="auto"/>
        <w:ind w:firstLine="720"/>
      </w:pPr>
      <w:r>
        <w:t xml:space="preserve">A second is that the flat distribution reflects a small panel splitting almost at random, so the dispersion is sampling noise rather than substantive division. The elasticity result cuts against it. The same panel, on the same survey, produced a relationship between median position and agreement share so tight its p-value falls below one in one hundred thousand</w:t>
      </w:r>
      <w:r>
        <w:t xml:space="preserve"> </w:t>
      </w:r>
      <w:hyperlink w:anchor="ref-2">
        <w:r>
          <w:rPr>
            <w:rStyle w:val="Hyperlink"/>
          </w:rPr>
          <w:t xml:space="preserve">[2]</w:t>
        </w:r>
      </w:hyperlink>
      <w:r>
        <w:t xml:space="preserve">. A panel capable of that coherence is not answering at random; its even split on nuclear is a considered division, not a coin flip.</w:t>
      </w:r>
    </w:p>
    <w:p>
      <w:pPr>
        <w:pStyle w:val="BodyText"/>
        <w:spacing w:line="480" w:lineRule="auto"/>
        <w:ind w:firstLine="720"/>
      </w:pPr>
      <w:r>
        <w:t xml:space="preserve">A third is that the nuclear result is an artifact of the score control, that including the final score mechanically absorbs whatever nuclear signal exists. This one fails too, because the raw vote distribution is flat before any control goes in, two votes at every rank position</w:t>
      </w:r>
      <w:r>
        <w:t xml:space="preserve"> </w:t>
      </w:r>
      <w:hyperlink w:anchor="ref-2">
        <w:r>
          <w:rPr>
            <w:rStyle w:val="Hyperlink"/>
          </w:rPr>
          <w:t xml:space="preserve">[2]</w:t>
        </w:r>
      </w:hyperlink>
      <w:r>
        <w:t xml:space="preserve">. The regression confirms a pattern already present in the unconditioned data rather than manufacturing it. Having weighed these alternatives, the dispersion reading stays the most defensible account of the evidence, which is why the study advances it while flagging that no observational result is ever immune to reinterpretation.</w:t>
      </w:r>
    </w:p>
    <w:bookmarkEnd w:id="129"/>
    <w:bookmarkStart w:id="130" w:name="the-value-of-a-negative-result"/>
    <w:p>
      <w:pPr>
        <w:pStyle w:val="Heading2"/>
        <w:spacing w:line="480" w:lineRule="auto"/>
      </w:pPr>
      <w:r>
        <w:t xml:space="preserve">The value of a negative result</w:t>
      </w:r>
    </w:p>
    <w:p>
      <w:pPr>
        <w:pStyle w:val="FirstParagraph"/>
        <w:spacing w:line="480" w:lineRule="auto"/>
      </w:pPr>
      <w:r>
        <w:t xml:space="preserve">There is a broader methodological point in what this study offers. A precisely estimated null, set against a demonstrably informative elicitation, is a positive finding about the state of expert knowledge, not merely an absence of one. It establishes that the community’s uncertainty about nuclear power is real, measured, and structural, a substantive claim about the information environment the commitment decision has to be made in</w:t>
      </w:r>
      <w:r>
        <w:t xml:space="preserve"> </w:t>
      </w:r>
      <w:hyperlink w:anchor="ref-8">
        <w:r>
          <w:rPr>
            <w:rStyle w:val="Hyperlink"/>
          </w:rPr>
          <w:t xml:space="preserve">[8]</w:t>
        </w:r>
      </w:hyperlink>
      <w:r>
        <w:t xml:space="preserve">. Programs often treat expert disagreement as an inconvenience to be resolved by fiat or averaged into a point estimate. The finding here argues that the disagreement is itself the signal, and that its persistence across an otherwise coherent elicitation is the empirical fact that makes deferral valuable. Reading a null result that way is unusual, and the study defends the reading by pairing the null with the elasticity certification, so the absence of a nuclear signal cannot be waved off as the absence of any signal at all.</w:t>
      </w:r>
    </w:p>
    <w:bookmarkEnd w:id="130"/>
    <w:bookmarkStart w:id="131" w:name="Xc2098d9b4bccdeae0c3780e7678216b31caa369"/>
    <w:p>
      <w:pPr>
        <w:pStyle w:val="Heading2"/>
        <w:spacing w:line="480" w:lineRule="auto"/>
      </w:pPr>
      <w:r>
        <w:t xml:space="preserve">What a decision-maker should take from this</w:t>
      </w:r>
    </w:p>
    <w:p>
      <w:pPr>
        <w:pStyle w:val="FirstParagraph"/>
        <w:spacing w:line="480" w:lineRule="auto"/>
      </w:pPr>
      <w:r>
        <w:t xml:space="preserve">Turning the findings into guidance for a program office takes care, because the study offers a posture rather than a verdict, and the two are easily confused. A decision-maker should take three things from it. First, the expert community has not converged on lunar nuclear power, and this non-convergence is a measured fact about an informative elicitation, not an impression</w:t>
      </w:r>
      <w:r>
        <w:t xml:space="preserve"> </w:t>
      </w:r>
      <w:hyperlink w:anchor="ref-2">
        <w:r>
          <w:rPr>
            <w:rStyle w:val="Hyperlink"/>
          </w:rPr>
          <w:t xml:space="preserve">[2]</w:t>
        </w:r>
      </w:hyperlink>
      <w:r>
        <w:t xml:space="preserve">. Second, the demand that would justify a large steady power source is credibly anticipated, the panel agreeing on ISRU relevance, oxygen production targets, and roughly a megawatt of added load, which means the nuclear option is worth keeping alive rather than discarding</w:t>
      </w:r>
      <w:r>
        <w:t xml:space="preserve"> </w:t>
      </w:r>
      <w:hyperlink w:anchor="ref-2">
        <w:r>
          <w:rPr>
            <w:rStyle w:val="Hyperlink"/>
          </w:rPr>
          <w:t xml:space="preserve">[2]</w:t>
        </w:r>
      </w:hyperlink>
      <w:r>
        <w:t xml:space="preserve">. Third, unconverged preference set beside credible-but-uncertain demand is precisely the condition under which deferral has value, so the office should invest in maturation and information while declining irreversible commitment until the information state improves</w:t>
      </w:r>
      <w:r>
        <w:t xml:space="preserve"> </w:t>
      </w:r>
      <w:hyperlink w:anchor="ref-8">
        <w:r>
          <w:rPr>
            <w:rStyle w:val="Hyperlink"/>
          </w:rPr>
          <w:t xml:space="preserve">[8]</w:t>
        </w:r>
      </w:hyperlink>
      <w:r>
        <w:t xml:space="preserve">.</w:t>
      </w:r>
    </w:p>
    <w:p>
      <w:pPr>
        <w:pStyle w:val="BodyText"/>
        <w:spacing w:line="480" w:lineRule="auto"/>
        <w:ind w:firstLine="720"/>
      </w:pPr>
      <w:r>
        <w:t xml:space="preserve">What a decision-maker should not take is a number for the option premium, a recommendation to choose or reject nuclear, or a claim that the analysis has settled the technology question. The study is silent on all three by design. It reframes the decision and establishes the precondition; it does not make the decision. A program that wanted the number would need the calibrated valuation the conclusion flags as future work, and a program that wanted a technology verdict would need to resolve the very dispersion this study measures, the work of demonstrations and campaigns rather than of an elicitation analysis.</w:t>
      </w:r>
    </w:p>
    <w:bookmarkEnd w:id="131"/>
    <w:bookmarkStart w:id="132" w:name="generalisation-and-its-boundary"/>
    <w:p>
      <w:pPr>
        <w:pStyle w:val="Heading2"/>
        <w:spacing w:line="480" w:lineRule="auto"/>
      </w:pPr>
      <w:r>
        <w:t xml:space="preserve">Generalisation and its boundary</w:t>
      </w:r>
    </w:p>
    <w:p>
      <w:pPr>
        <w:pStyle w:val="FirstParagraph"/>
        <w:spacing w:line="480" w:lineRule="auto"/>
      </w:pPr>
      <w:r>
        <w:t xml:space="preserve">A last interpretive question is how far the finding generalises. It generalises to the degree that other lunar infrastructure decisions share the structure of irreversible commitment under learning-reducible uncertainty, and several plausibly do, from siting to ISRU pathway selection to traffic-management build-out</w:t>
      </w:r>
      <w:r>
        <w:t xml:space="preserve"> </w:t>
      </w:r>
      <w:hyperlink w:anchor="ref-3">
        <w:r>
          <w:rPr>
            <w:rStyle w:val="Hyperlink"/>
          </w:rPr>
          <w:t xml:space="preserve">[3]</w:t>
        </w:r>
      </w:hyperlink>
      <w:r>
        <w:t xml:space="preserve"> </w:t>
      </w:r>
      <w:hyperlink w:anchor="ref-17">
        <w:r>
          <w:rPr>
            <w:rStyle w:val="Hyperlink"/>
          </w:rPr>
          <w:t xml:space="preserve">[17]</w:t>
        </w:r>
      </w:hyperlink>
      <w:r>
        <w:t xml:space="preserve">. It does not generalise to decisions that are reversible, where waiting buys nothing, nor to decisions where the uncertainty is irreducible, where no delay resolves it. And it does not generalise past the value-maximising framing to decision-makers whose objectives are dominated by non-pecuniary considerations, a boundary the political-economy of nuclear systems in space makes real</w:t>
      </w:r>
      <w:r>
        <w:t xml:space="preserve"> </w:t>
      </w:r>
      <w:hyperlink w:anchor="ref-6">
        <w:r>
          <w:rPr>
            <w:rStyle w:val="Hyperlink"/>
          </w:rPr>
          <w:t xml:space="preserve">[6]</w:t>
        </w:r>
      </w:hyperlink>
      <w:r>
        <w:t xml:space="preserve">. Inside those boundaries the reframing travels; outside them it does not, and the study claims only the interior. Marking that boundary honestly is part of keeping the contribution proportionate to the evidence, the discipline the whole chapter has tried to hold.</w:t>
      </w:r>
    </w:p>
    <w:bookmarkEnd w:id="132"/>
    <w:bookmarkStart w:id="133" w:name="X7d3edef7cb7d72fd307d3d3fe5712b3104b887d"/>
    <w:p>
      <w:pPr>
        <w:pStyle w:val="Heading2"/>
        <w:spacing w:line="480" w:lineRule="auto"/>
      </w:pPr>
      <w:r>
        <w:t xml:space="preserve">The findings against the surrounding evidence base</w:t>
      </w:r>
    </w:p>
    <w:p>
      <w:pPr>
        <w:pStyle w:val="FirstParagraph"/>
        <w:spacing w:line="480" w:lineRule="auto"/>
      </w:pPr>
      <w:r>
        <w:t xml:space="preserve">Confidence in the interpretation is strengthened by its coherence with the surrounding evidence rather than its standing alone. The engineering record independently establishes that surface power is the binding constraint and that the solar-to-nuclear cost gap is wide and assumption-dependent, the supply-side uncertainty the option argument needs</w:t>
      </w:r>
      <w:r>
        <w:t xml:space="preserve"> </w:t>
      </w:r>
      <w:hyperlink w:anchor="ref-1">
        <w:r>
          <w:rPr>
            <w:rStyle w:val="Hyperlink"/>
          </w:rPr>
          <w:t xml:space="preserve">[1]</w:t>
        </w:r>
      </w:hyperlink>
      <w:r>
        <w:t xml:space="preserve">. The nuclear-technology record shows continued active development of surface nuclear systems, confirming the option is live and being matured rather than hypothetical</w:t>
      </w:r>
      <w:r>
        <w:t xml:space="preserve"> </w:t>
      </w:r>
      <w:hyperlink w:anchor="ref-4">
        <w:r>
          <w:rPr>
            <w:rStyle w:val="Hyperlink"/>
          </w:rPr>
          <w:t xml:space="preserve">[4]</w:t>
        </w:r>
      </w:hyperlink>
      <w:r>
        <w:t xml:space="preserve">. The flexible-design record values deployment flexibility under uncertainty on the production side, the same logic this study applies to the power source</w:t>
      </w:r>
      <w:r>
        <w:t xml:space="preserve"> </w:t>
      </w:r>
      <w:hyperlink w:anchor="ref-17">
        <w:r>
          <w:rPr>
            <w:rStyle w:val="Hyperlink"/>
          </w:rPr>
          <w:t xml:space="preserve">[17]</w:t>
        </w:r>
      </w:hyperlink>
      <w:r>
        <w:t xml:space="preserve"> </w:t>
      </w:r>
      <w:hyperlink w:anchor="ref-19">
        <w:r>
          <w:rPr>
            <w:rStyle w:val="Hyperlink"/>
          </w:rPr>
          <w:t xml:space="preserve">[19]</w:t>
        </w:r>
      </w:hyperlink>
      <w:r>
        <w:t xml:space="preserve">. And the space-economy record documents that the demand trajectory for lunar activity is genuinely uncertain, so the demand-side premise is no artifact of the analysis</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dispersion finding sits naturally inside that evidence base. Given wide cost uncertainty, live technology development, valued production flexibility, and an uncertain demand trajectory, it would be surprising had the expert community nonetheless converged on a single confident verdict about nuclear power. That it has not converged is what the surrounding conditions would lead one to expect, and its coherence with those conditions is a further reason to trust it beyond the internal certification the elasticity provides. A result fitting none of its neighbours would invite suspicion; this one fits them, a modest but real form of external validity.</w:t>
      </w:r>
    </w:p>
    <w:bookmarkEnd w:id="133"/>
    <w:bookmarkStart w:id="134" w:name="X24e6b4581f942eb9bdb6ba33bd507f55914ecd1"/>
    <w:p>
      <w:pPr>
        <w:pStyle w:val="Heading2"/>
        <w:spacing w:line="480" w:lineRule="auto"/>
      </w:pPr>
      <w:r>
        <w:t xml:space="preserve">Sensitivity of the interpretation to the survey period</w:t>
      </w:r>
    </w:p>
    <w:p>
      <w:pPr>
        <w:pStyle w:val="FirstParagraph"/>
        <w:spacing w:line="480" w:lineRule="auto"/>
      </w:pPr>
      <w:r>
        <w:t xml:space="preserve">One concern within the exchangeability threat wants separate treatment, because it is the one most likely to be raised. The survey ran before some of the recent momentum in fission surface power development, and a critic might argue expert belief has since consolidated toward nuclear as the pathway matured</w:t>
      </w:r>
      <w:r>
        <w:t xml:space="preserve"> </w:t>
      </w:r>
      <w:hyperlink w:anchor="ref-4">
        <w:r>
          <w:rPr>
            <w:rStyle w:val="Hyperlink"/>
          </w:rPr>
          <w:t xml:space="preserve">[4]</w:t>
        </w:r>
      </w:hyperlink>
      <w:r>
        <w:t xml:space="preserve">. If so, the dispersion documented here would understate current confidence. The study cannot refute this directly, since it analyses the survey as published, but it can bound the concern. Consolidation would have to be substantial and one-directional to overturn the finding, since the surveyed dispersion is not marginal but complete, nuclear drawing equal support at every rank position</w:t>
      </w:r>
      <w:r>
        <w:t xml:space="preserve"> </w:t>
      </w:r>
      <w:hyperlink w:anchor="ref-2">
        <w:r>
          <w:rPr>
            <w:rStyle w:val="Hyperlink"/>
          </w:rPr>
          <w:t xml:space="preserve">[2]</w:t>
        </w:r>
      </w:hyperlink>
      <w:r>
        <w:t xml:space="preserve">. A shift large enough to turn a perfectly flat distribution into a concentrated one within a few years would itself be a remarkable finding worth documenting, and the right response is the planned updating exercise rather than an assumption in either direction. Until that exercise runs, the honest statement is that the finding holds for the surveyed belief and that its persistence is an open empirical question, not a settled one.</w:t>
      </w:r>
    </w:p>
    <w:p>
      <w:pPr>
        <w:pStyle w:val="BodyText"/>
        <w:spacing w:line="480" w:lineRule="auto"/>
        <w:ind w:firstLine="720"/>
      </w:pPr>
      <w:r>
        <w:t xml:space="preserve">The symmetric possibility also deserves mention. Belief could have moved against nuclear as cost and political concerns sharpened, in which case the current dispersion might understate present skepticism rather than confidence</w:t>
      </w:r>
      <w:r>
        <w:t xml:space="preserve"> </w:t>
      </w:r>
      <w:hyperlink w:anchor="ref-6">
        <w:r>
          <w:rPr>
            <w:rStyle w:val="Hyperlink"/>
          </w:rPr>
          <w:t xml:space="preserve">[6]</w:t>
        </w:r>
      </w:hyperlink>
      <w:r>
        <w:t xml:space="preserve">. Either drift would change the picture, and neither can be assumed. What the study establishes is a benchmark: the dispersion as it stood in the elicitation, measured rigorously, against which any future elicitation can be compared. That benchmarking value survives whatever the drift turns out to be, because it fixes a reproducible point of reference for a debate that would otherwise proceed on impressions. The conclusion chapter now draws the contribution and the program implications out of it.</w:t>
      </w:r>
    </w:p>
    <w:bookmarkEnd w:id="134"/>
    <w:bookmarkEnd w:id="135"/>
    <w:bookmarkStart w:id="181" w:name="conclusions-and-implications"/>
    <w:p>
      <w:pPr>
        <w:pStyle w:val="Heading1"/>
        <w:spacing w:line="480" w:lineRule="auto"/>
      </w:pPr>
      <w:r>
        <w:t xml:space="preserve">Conclusions and Implications</w:t>
      </w:r>
    </w:p>
    <w:p>
      <w:pPr>
        <w:pStyle w:val="FirstParagraph"/>
        <w:spacing w:line="480" w:lineRule="auto"/>
      </w:pPr>
      <w:r>
        <w:t xml:space="preserve">This dissertation opened on a decision the program literature files under arithmetic: compute the levelised cost of a solar-plus-storage architecture and a fission surface power reactor, compare, choose. It closes on a different picture of the same decision. Choosing primary power for a 2040 lunar outpost is an investment-timing problem under deep uncertainty, and modelled that way, the right to defer the irreversible nuclear commitment carries value the deterministic comparison cannot represent. This closing chapter states the contribution precisely, pulls out its governance and program relevance, and lays out the future work a fuller treatment would demand.</w:t>
      </w:r>
    </w:p>
    <w:bookmarkStart w:id="136" w:name="the-contribution"/>
    <w:p>
      <w:pPr>
        <w:pStyle w:val="Heading2"/>
        <w:spacing w:line="480" w:lineRule="auto"/>
      </w:pPr>
      <w:r>
        <w:t xml:space="preserve">The contribution</w:t>
      </w:r>
    </w:p>
    <w:p>
      <w:pPr>
        <w:pStyle w:val="FirstParagraph"/>
        <w:spacing w:line="480" w:lineRule="auto"/>
      </w:pPr>
      <w:r>
        <w:t xml:space="preserve">The contribution is single and falsifiable, and restating it in the exact terms the study committed to is worth the space. The claim: the expert evidence underlying any lunar power valuation holds genuine, measurable dispersion about nuclear power, dispersion that is the observable precondition for a positive option premium in the fission surface power commitment. It was falsifiable because concentrated expert preference, sharply for or sharply against nuclear, would have refuted it.</w:t>
      </w:r>
    </w:p>
    <w:p>
      <w:pPr>
        <w:pStyle w:val="BodyText"/>
        <w:spacing w:line="480" w:lineRule="auto"/>
        <w:ind w:firstLine="720"/>
      </w:pPr>
      <w:r>
        <w:t xml:space="preserve">The two empirical papers, drawn entirely from the published Delphi record</w:t>
      </w:r>
      <w:r>
        <w:t xml:space="preserve"> </w:t>
      </w:r>
      <w:hyperlink w:anchor="ref-2">
        <w:r>
          <w:rPr>
            <w:rStyle w:val="Hyperlink"/>
          </w:rPr>
          <w:t xml:space="preserve">[2]</w:t>
        </w:r>
      </w:hyperlink>
      <w:r>
        <w:t xml:space="preserve">, establish the claim in its two necessary parts. The first puts nuclear power in dispersion: after control for the ranking structure, the nuclear indicator comes back statistically indistinguishable from zero, at a coefficient of 0.2617, a standard error of 1.0995, and a p-value of 0.8119, on twenty-five observations, inside a model that otherwise explains preference points well through a significant positive interaction of 3.0668 between rank weight and final score. The second puts the elicitation among the informative: the elasticity of agreement share with respect to median Likert position is 2.6560, with a standard error of 0.5998 and a p-value of 0.00000951, an R-squared of 0.7846, on nineteen observations. An informative elicitation places nuclear power in a zone of dispersion. Both parts hold, and the claim stands on data any reader can retrieve and re-analyse.</w:t>
      </w:r>
    </w:p>
    <w:p>
      <w:pPr>
        <w:pStyle w:val="BodyText"/>
        <w:spacing w:line="480" w:lineRule="auto"/>
        <w:ind w:firstLine="720"/>
      </w:pPr>
      <w:r>
        <w:t xml:space="preserve">The methodological contribution sits beside the substantive one. Dixit and Pindyck’s real-options apparatus is standard in terrestrial energy and extractive industries, and it has been carried into spacecraft portfolio problems such as staged constellation deployment</w:t>
      </w:r>
      <w:r>
        <w:t xml:space="preserve"> </w:t>
      </w:r>
      <w:hyperlink w:anchor="ref-8">
        <w:r>
          <w:rPr>
            <w:rStyle w:val="Hyperlink"/>
          </w:rPr>
          <w:t xml:space="preserve">[8]</w:t>
        </w:r>
      </w:hyperlink>
      <w:r>
        <w:t xml:space="preserve"> </w:t>
      </w:r>
      <w:hyperlink w:anchor="ref-19">
        <w:r>
          <w:rPr>
            <w:rStyle w:val="Hyperlink"/>
          </w:rPr>
          <w:t xml:space="preserve">[19]</w:t>
        </w:r>
      </w:hyperlink>
      <w:r>
        <w:t xml:space="preserve">, yet nobody had brought it to the lunar surface power choice, a decision of identical mathematical shape still made with deterministic tools. This study carries the apparatus across that boundary and grounds the crossing in real expert evidence rather than in stylised assumptions. It does not price the option, and it says plainly that pricing lies beyond the reach of the available data. What it does is show that the informational preconditions for a real-options treatment are present, the step that licenses the whole reframing.</w:t>
      </w:r>
    </w:p>
    <w:bookmarkEnd w:id="136"/>
    <w:bookmarkStart w:id="137" w:name="governance-and-program-relevance"/>
    <w:p>
      <w:pPr>
        <w:pStyle w:val="Heading2"/>
        <w:spacing w:line="480" w:lineRule="auto"/>
      </w:pPr>
      <w:r>
        <w:t xml:space="preserve">Governance and program relevance</w:t>
      </w:r>
    </w:p>
    <w:p>
      <w:pPr>
        <w:pStyle w:val="FirstParagraph"/>
        <w:spacing w:line="480" w:lineRule="auto"/>
      </w:pPr>
      <w:r>
        <w:t xml:space="preserve">The relevance to program governance is concrete, and it follows from taking the dispersion seriously. The procurement record advances fission surface power as a now-or-never choice settled by deterministic cost comparison</w:t>
      </w:r>
      <w:r>
        <w:t xml:space="preserve"> </w:t>
      </w:r>
      <w:hyperlink w:anchor="ref-4">
        <w:r>
          <w:rPr>
            <w:rStyle w:val="Hyperlink"/>
          </w:rPr>
          <w:t xml:space="preserve">[4]</w:t>
        </w:r>
      </w:hyperlink>
      <w:r>
        <w:t xml:space="preserve">. The evidence here says the expert community has not converged, and that the disagreement is a stable feature of an informative elicitation, not noise to be averaged away. When irreversible commitment meets unconverged belief and a demand process time will clarify, committing early forfeits the value of waiting for convergence</w:t>
      </w:r>
      <w:r>
        <w:t xml:space="preserve"> </w:t>
      </w:r>
      <w:hyperlink w:anchor="ref-8">
        <w:r>
          <w:rPr>
            <w:rStyle w:val="Hyperlink"/>
          </w:rPr>
          <w:t xml:space="preserve">[8]</w:t>
        </w:r>
      </w:hyperlink>
      <w:r>
        <w:t xml:space="preserve">. The governance implication is not a technology verdict. It is a posture.</w:t>
      </w:r>
    </w:p>
    <w:p>
      <w:pPr>
        <w:pStyle w:val="BodyText"/>
        <w:spacing w:line="480" w:lineRule="auto"/>
        <w:ind w:firstLine="720"/>
      </w:pPr>
      <w:r>
        <w:t xml:space="preserve">That posture breaks into three components, each tied to the evidence. Near-term architecture should anchor on the high-consensus propositions. Solar photovoltaic is the clear near-term favourite, with six first-place votes and a final score well above the field, and the stable statements the panel agrees on most strongly, around ISRU relevance, power-system specific mass, and roughly a megawatt of added ISRU load, can support baseline planning</w:t>
      </w:r>
      <w:r>
        <w:t xml:space="preserve"> </w:t>
      </w:r>
      <w:hyperlink w:anchor="ref-2">
        <w:r>
          <w:rPr>
            <w:rStyle w:val="Hyperlink"/>
          </w:rPr>
          <w:t xml:space="preserve">[2]</w:t>
        </w:r>
      </w:hyperlink>
      <w:r>
        <w:t xml:space="preserve">. The nuclear commitment should be held open. Dispersed nuclear preference and the documented political sensitivity of nuclear energy in space mark it as the branch to defer, not the branch to force into a single deterministic decision</w:t>
      </w:r>
      <w:r>
        <w:t xml:space="preserve"> </w:t>
      </w:r>
      <w:hyperlink w:anchor="ref-6">
        <w:r>
          <w:rPr>
            <w:rStyle w:val="Hyperlink"/>
          </w:rPr>
          <w:t xml:space="preserve">[6]</w:t>
        </w:r>
      </w:hyperlink>
      <w:r>
        <w:t xml:space="preserve">. And the decision rights and technical maturation that keep the nuclear option exercisable should be preserved. Continued fission-generator development keeps the hardware advancing</w:t>
      </w:r>
      <w:r>
        <w:t xml:space="preserve"> </w:t>
      </w:r>
      <w:hyperlink w:anchor="ref-4">
        <w:r>
          <w:rPr>
            <w:rStyle w:val="Hyperlink"/>
          </w:rPr>
          <w:t xml:space="preserve">[4]</w:t>
        </w:r>
      </w:hyperlink>
      <w:r>
        <w:t xml:space="preserve">, while landing-site characterisation and ISRU demonstration buy the information a delay is meant to buy</w:t>
      </w:r>
      <w:r>
        <w:t xml:space="preserve"> </w:t>
      </w:r>
      <w:hyperlink w:anchor="ref-1">
        <w:r>
          <w:rPr>
            <w:rStyle w:val="Hyperlink"/>
          </w:rPr>
          <w:t xml:space="preserve">[1]</w:t>
        </w:r>
      </w:hyperlink>
      <w:r>
        <w:t xml:space="preserve"> </w:t>
      </w:r>
      <w:hyperlink w:anchor="ref-23">
        <w:r>
          <w:rPr>
            <w:rStyle w:val="Hyperlink"/>
          </w:rPr>
          <w:t xml:space="preserve">[23]</w:t>
        </w:r>
      </w:hyperlink>
      <w:r>
        <w:t xml:space="preserve">. Staged investment of this kind is exactly what the flexible-design literature values on the production side</w:t>
      </w:r>
      <w:r>
        <w:t xml:space="preserve"> </w:t>
      </w:r>
      <w:hyperlink w:anchor="ref-17">
        <w:r>
          <w:rPr>
            <w:rStyle w:val="Hyperlink"/>
          </w:rPr>
          <w:t xml:space="preserve">[17]</w:t>
        </w:r>
      </w:hyperlink>
      <w:r>
        <w:t xml:space="preserve"> </w:t>
      </w:r>
      <w:hyperlink w:anchor="ref-19">
        <w:r>
          <w:rPr>
            <w:rStyle w:val="Hyperlink"/>
          </w:rPr>
          <w:t xml:space="preserve">[19]</w:t>
        </w:r>
      </w:hyperlink>
      <w:r>
        <w:t xml:space="preserve">, and the option argument extends it to the power-source commitment.</w:t>
      </w:r>
    </w:p>
    <w:p>
      <w:pPr>
        <w:pStyle w:val="BodyText"/>
        <w:spacing w:line="480" w:lineRule="auto"/>
        <w:ind w:firstLine="720"/>
      </w:pPr>
      <w:r>
        <w:t xml:space="preserve">There is a discipline this posture enforces that a static comparison does not. It heads off two symmetric errors. A program that commits fully to nuclear before demand and site information mature pays an avoidable irreversibility cost if the demand comes late or small. A program that drops nuclear entirely forfeits the only architecture that closes the lunar-night and high-load resource-processing cases if the demand comes early and large. The option-aware middle ground refuses both by keeping the commitment alive and unexercised until the information state improves. That is the governance value of reading a qualitative disagreement as a measurable reason to keep flexibility.</w:t>
      </w:r>
    </w:p>
    <w:bookmarkEnd w:id="137"/>
    <w:bookmarkStart w:id="138" w:name="future-work"/>
    <w:p>
      <w:pPr>
        <w:pStyle w:val="Heading2"/>
        <w:spacing w:line="480" w:lineRule="auto"/>
      </w:pPr>
      <w:r>
        <w:t xml:space="preserve">Future work</w:t>
      </w:r>
    </w:p>
    <w:p>
      <w:pPr>
        <w:pStyle w:val="FirstParagraph"/>
        <w:spacing w:line="480" w:lineRule="auto"/>
      </w:pPr>
      <w:r>
        <w:t xml:space="preserve">The study marks its own boundary clearly, and the future work follows that boundary. The most important next step is to build and solve the valuation lattice this dissertation deliberately leaves aside. That takes three calibrated distributions the Delphi record does not hold: a distribution over fission reactor unit cost, anchored to concept-study disclosures and fission-generator research</w:t>
      </w:r>
      <w:r>
        <w:t xml:space="preserve"> </w:t>
      </w:r>
      <w:hyperlink w:anchor="ref-4">
        <w:r>
          <w:rPr>
            <w:rStyle w:val="Hyperlink"/>
          </w:rPr>
          <w:t xml:space="preserve">[4]</w:t>
        </w:r>
      </w:hyperlink>
      <w:r>
        <w:t xml:space="preserve">; a distribution over effective polar illumination availability at a candidate site, anchored to surface-station mission-design products</w:t>
      </w:r>
      <w:r>
        <w:t xml:space="preserve"> </w:t>
      </w:r>
      <w:hyperlink w:anchor="ref-1">
        <w:r>
          <w:rPr>
            <w:rStyle w:val="Hyperlink"/>
          </w:rPr>
          <w:t xml:space="preserve">[1]</w:t>
        </w:r>
      </w:hyperlink>
      <w:r>
        <w:t xml:space="preserve">; and a distribution over ISRU demand arrival, anchored to the elicited deployment dates and to the flexible-design demand models</w:t>
      </w:r>
      <w:r>
        <w:t xml:space="preserve"> </w:t>
      </w:r>
      <w:hyperlink w:anchor="ref-2">
        <w:r>
          <w:rPr>
            <w:rStyle w:val="Hyperlink"/>
          </w:rPr>
          <w:t xml:space="preserve">[2]</w:t>
        </w:r>
      </w:hyperlink>
      <w:r>
        <w:t xml:space="preserve"> </w:t>
      </w:r>
      <w:hyperlink w:anchor="ref-17">
        <w:r>
          <w:rPr>
            <w:rStyle w:val="Hyperlink"/>
          </w:rPr>
          <w:t xml:space="preserve">[17]</w:t>
        </w:r>
      </w:hyperlink>
      <w:r>
        <w:t xml:space="preserve">. With those in hand, a binary lattice solved by backward induction, cross-checked against a least-squares Monte Carlo, would produce the numerical option premium the present study establishes the precondition for but does not compute.</w:t>
      </w:r>
    </w:p>
    <w:p>
      <w:pPr>
        <w:pStyle w:val="BodyText"/>
        <w:spacing w:line="480" w:lineRule="auto"/>
        <w:ind w:firstLine="720"/>
      </w:pPr>
      <w:r>
        <w:t xml:space="preserve">The sequence matters. Building the valuation on assumed distributions would forfeit the credibility the present study earned through transparency, so the natural order is to assemble defensible distributions from public disclosures first and solve the lattice second, reporting the premium as a function of the priors rather than as a single figure. A premium reported as a sensitivity surface, showing how it moves with reactor cost, illumination availability, and demand timing, would serve a program office more honestly and more usefully than a point estimate, because it would show the office exactly which uncertainties most move the case for waiting. That sensitivity framing is the right continuation of a study that has insisted throughout on reporting intervals rather than points.</w:t>
      </w:r>
    </w:p>
    <w:p>
      <w:pPr>
        <w:pStyle w:val="BodyText"/>
        <w:spacing w:line="480" w:lineRule="auto"/>
        <w:ind w:firstLine="720"/>
      </w:pPr>
      <w:r>
        <w:t xml:space="preserve">Three further directions strengthen the foundation. Updating the elicited distribution against the more recent architecture record would test whether the dispersion documented here persists in current expert belief, addressing the exchangeability threat head-on. Extending the analysis to a specific landing site, using the Shackleton-region illumination and traffic-management products, would move the demand and availability inputs from a generic 2040 frame toward a real siting decision</w:t>
      </w:r>
      <w:r>
        <w:t xml:space="preserve"> </w:t>
      </w:r>
      <w:hyperlink w:anchor="ref-1">
        <w:r>
          <w:rPr>
            <w:rStyle w:val="Hyperlink"/>
          </w:rPr>
          <w:t xml:space="preserve">[1]</w:t>
        </w:r>
      </w:hyperlink>
      <w:r>
        <w:t xml:space="preserve"> </w:t>
      </w:r>
      <w:hyperlink w:anchor="ref-3">
        <w:r>
          <w:rPr>
            <w:rStyle w:val="Hyperlink"/>
          </w:rPr>
          <w:t xml:space="preserve">[3]</w:t>
        </w:r>
      </w:hyperlink>
      <w:r>
        <w:t xml:space="preserve">. And reporting the eventual option premium under both risk-neutral and explicitly risk-averse objectives would test how sensitive the recommendation is to the value-maximising framing, acknowledging the political-economy environment the actual decision sits in</w:t>
      </w:r>
      <w:r>
        <w:t xml:space="preserve"> </w:t>
      </w:r>
      <w:hyperlink w:anchor="ref-6">
        <w:r>
          <w:rPr>
            <w:rStyle w:val="Hyperlink"/>
          </w:rPr>
          <w:t xml:space="preserve">[6]</w:t>
        </w:r>
      </w:hyperlink>
      <w:r>
        <w:t xml:space="preserve">.</w:t>
      </w:r>
    </w:p>
    <w:p>
      <w:pPr>
        <w:pStyle w:val="BodyText"/>
        <w:spacing w:line="480" w:lineRule="auto"/>
        <w:ind w:firstLine="720"/>
      </w:pPr>
      <w:r>
        <w:t xml:space="preserve">A fourth direction is worth naming, because it ties the power question to the demand question the field already studies. The flexible-design work on lunar oxygen production values the ability to reconfigure a production system under uncertainty, and it does so with the same options logic this dissertation applies to power</w:t>
      </w:r>
      <w:r>
        <w:t xml:space="preserve"> </w:t>
      </w:r>
      <w:hyperlink w:anchor="ref-17">
        <w:r>
          <w:rPr>
            <w:rStyle w:val="Hyperlink"/>
          </w:rPr>
          <w:t xml:space="preserve">[17]</w:t>
        </w:r>
      </w:hyperlink>
      <w:r>
        <w:t xml:space="preserve"> </w:t>
      </w:r>
      <w:hyperlink w:anchor="ref-19">
        <w:r>
          <w:rPr>
            <w:rStyle w:val="Hyperlink"/>
          </w:rPr>
          <w:t xml:space="preserve">[19]</w:t>
        </w:r>
      </w:hyperlink>
      <w:r>
        <w:t xml:space="preserve">. A joint treatment, valuing the power-source commitment and the production-system design together as a coupled portfolio, would capture the feedback between them: a flexible production system that scales gradually changes the demand path the power source must meet, which in turn changes the value of deferring the nuclear commitment. Neither the present study nor the existing production work models that coupling, and closing it would be a natural next step toward a portfolio view of lunar surface infrastructure in which flexibility is valued consistently across the coupled commitments rather than one commitment at a time.</w:t>
      </w:r>
    </w:p>
    <w:bookmarkEnd w:id="138"/>
    <w:bookmarkStart w:id="139" w:name="what-the-study-leaves-settled"/>
    <w:p>
      <w:pPr>
        <w:pStyle w:val="Heading2"/>
        <w:spacing w:line="480" w:lineRule="auto"/>
      </w:pPr>
      <w:r>
        <w:t xml:space="preserve">What the study leaves settled</w:t>
      </w:r>
    </w:p>
    <w:p>
      <w:pPr>
        <w:pStyle w:val="FirstParagraph"/>
        <w:spacing w:line="480" w:lineRule="auto"/>
      </w:pPr>
      <w:r>
        <w:t xml:space="preserve">Being explicit about what the study does settle is worth doing, so the future work does not read as a confession of incompleteness. The study settles, on real and reproducible data, that expert preference over lunar nuclear power is dispersed and that the elicitation documenting that dispersion is informative</w:t>
      </w:r>
      <w:r>
        <w:t xml:space="preserve"> </w:t>
      </w:r>
      <w:hyperlink w:anchor="ref-2">
        <w:r>
          <w:rPr>
            <w:rStyle w:val="Hyperlink"/>
          </w:rPr>
          <w:t xml:space="preserve">[2]</w:t>
        </w:r>
      </w:hyperlink>
      <w:r>
        <w:t xml:space="preserve">. Those two facts are established, not conjectured, and they hold without waiting on the valuation. They are sufficient on their own to support the qualitative recommendation that a value-maximising program should preserve flexibility on the nuclear commitment, because a positive option premium requires only that the preconditions hold, and the study has shown that they do</w:t>
      </w:r>
      <w:r>
        <w:t xml:space="preserve"> </w:t>
      </w:r>
      <w:hyperlink w:anchor="ref-8">
        <w:r>
          <w:rPr>
            <w:rStyle w:val="Hyperlink"/>
          </w:rPr>
          <w:t xml:space="preserve">[8]</w:t>
        </w:r>
      </w:hyperlink>
      <w:r>
        <w:t xml:space="preserve">. The valuation would quantify the premium; it would not create it. The premium’s existence follows from the dispersion the data already exhibit. The future work is therefore an elaboration of a result that stands, not a rescue of a result that does not.</w:t>
      </w:r>
    </w:p>
    <w:bookmarkEnd w:id="139"/>
    <w:bookmarkStart w:id="140" w:name="relevance-beyond-the-reactor-decision"/>
    <w:p>
      <w:pPr>
        <w:pStyle w:val="Heading2"/>
        <w:spacing w:line="480" w:lineRule="auto"/>
      </w:pPr>
      <w:r>
        <w:t xml:space="preserve">Relevance beyond the reactor decision</w:t>
      </w:r>
    </w:p>
    <w:p>
      <w:pPr>
        <w:pStyle w:val="FirstParagraph"/>
        <w:spacing w:line="480" w:lineRule="auto"/>
      </w:pPr>
      <w:r>
        <w:t xml:space="preserve">The reframing this dissertation performs reaches past the single reactor choice that motivated it, and marking that generality before closing is worth the space. The lunar architecture teems with decisions of the same structure: a costly, largely irreversible commitment, serving demand whose scale and timing are uncertain, in an environment where information arrives steadily as the program matures. Siting an outpost, committing to a particular ISRU extraction pathway, scaling communications and traffic-management infrastructure, all share the pattern</w:t>
      </w:r>
      <w:r>
        <w:t xml:space="preserve"> </w:t>
      </w:r>
      <w:hyperlink w:anchor="ref-3">
        <w:r>
          <w:rPr>
            <w:rStyle w:val="Hyperlink"/>
          </w:rPr>
          <w:t xml:space="preserve">[3]</w:t>
        </w:r>
      </w:hyperlink>
      <w:r>
        <w:t xml:space="preserve"> </w:t>
      </w:r>
      <w:hyperlink w:anchor="ref-17">
        <w:r>
          <w:rPr>
            <w:rStyle w:val="Hyperlink"/>
          </w:rPr>
          <w:t xml:space="preserve">[17]</w:t>
        </w:r>
      </w:hyperlink>
      <w:r>
        <w:t xml:space="preserve">. Each is currently liable to be settled on a deterministic comparison that ignores the value of waiting. The method demonstrated here, reading elicited expert dispersion as the precondition for an option premium, transfers to each of them wherever a comparable elicitation exists.</w:t>
      </w:r>
    </w:p>
    <w:p>
      <w:pPr>
        <w:pStyle w:val="BodyText"/>
        <w:spacing w:line="480" w:lineRule="auto"/>
        <w:ind w:firstLine="720"/>
      </w:pPr>
      <w:r>
        <w:t xml:space="preserve">That transferability is part of why the contribution matters. A single reactor decision, however consequential, is a narrow target. A way of seeing a whole class of lunar infrastructure decisions as investment-timing problems is a broad one. The dissertation does not claim to have carried the method to those other decisions; it claims to have shown, on one, that the carrying is feasible and that it moves the recommended posture. The flexible-design literature has begun the same move on the production side</w:t>
      </w:r>
      <w:r>
        <w:t xml:space="preserve"> </w:t>
      </w:r>
      <w:hyperlink w:anchor="ref-17">
        <w:r>
          <w:rPr>
            <w:rStyle w:val="Hyperlink"/>
          </w:rPr>
          <w:t xml:space="preserve">[17]</w:t>
        </w:r>
      </w:hyperlink>
      <w:r>
        <w:t xml:space="preserve"> </w:t>
      </w:r>
      <w:hyperlink w:anchor="ref-19">
        <w:r>
          <w:rPr>
            <w:rStyle w:val="Hyperlink"/>
          </w:rPr>
          <w:t xml:space="preserve">[19]</w:t>
        </w:r>
      </w:hyperlink>
      <w:r>
        <w:t xml:space="preserve">, and the natural continuation is to knit these strands into a portfolio view of lunar infrastructure in which flexibility is valued consistently across commitments rather than case by case.</w:t>
      </w:r>
    </w:p>
    <w:bookmarkEnd w:id="140"/>
    <w:bookmarkStart w:id="141" w:name="a-note-on-framing-and-program-culture"/>
    <w:p>
      <w:pPr>
        <w:pStyle w:val="Heading2"/>
        <w:spacing w:line="480" w:lineRule="auto"/>
      </w:pPr>
      <w:r>
        <w:t xml:space="preserve">A note on framing and program culture</w:t>
      </w:r>
    </w:p>
    <w:p>
      <w:pPr>
        <w:pStyle w:val="FirstParagraph"/>
        <w:spacing w:line="480" w:lineRule="auto"/>
      </w:pPr>
      <w:r>
        <w:t xml:space="preserve">A cultural dimension to the finding deserves acknowledgement. Program organisations are built to make decisions and to defend them, and a recommendation to preserve flexibility can read as indecision to an organisation that prizes commitment. The option framing offers a defence against that misreading. Preserving the right to commit to nuclear later is not indecision; it is a decision, the decision to invest in maturation and information while declining to sink irreversible capital before the information state warrants it</w:t>
      </w:r>
      <w:r>
        <w:t xml:space="preserve"> </w:t>
      </w:r>
      <w:hyperlink w:anchor="ref-8">
        <w:r>
          <w:rPr>
            <w:rStyle w:val="Hyperlink"/>
          </w:rPr>
          <w:t xml:space="preserve">[8]</w:t>
        </w:r>
      </w:hyperlink>
      <w:r>
        <w:t xml:space="preserve">. It is a disciplined posture carrying a determinate exit condition: commit when the value of committing clears the threshold the option analysis defines. Presenting deferral as a positive strategy with a clear trigger, rather than as a failure to choose, is part of what moving the finding from analysis into practice would take, and it is a task the eventual valuation work should carry alongside the numbers.</w:t>
      </w:r>
    </w:p>
    <w:bookmarkEnd w:id="141"/>
    <w:bookmarkStart w:id="142" w:name="closing"/>
    <w:p>
      <w:pPr>
        <w:pStyle w:val="Heading2"/>
        <w:spacing w:line="480" w:lineRule="auto"/>
      </w:pPr>
      <w:r>
        <w:t xml:space="preserve">Closing</w:t>
      </w:r>
    </w:p>
    <w:p>
      <w:pPr>
        <w:pStyle w:val="FirstParagraph"/>
        <w:spacing w:line="480" w:lineRule="auto"/>
      </w:pPr>
      <w:r>
        <w:t xml:space="preserve">The dissertation set out to test one falsifiable claim and to reframe one decision. The claim held: expert preference over lunar nuclear power is genuinely dispersed, and the elicitation documenting that dispersion is informative, both established on real and reproducible data</w:t>
      </w:r>
      <w:r>
        <w:t xml:space="preserve"> </w:t>
      </w:r>
      <w:hyperlink w:anchor="ref-2">
        <w:r>
          <w:rPr>
            <w:rStyle w:val="Hyperlink"/>
          </w:rPr>
          <w:t xml:space="preserve">[2]</w:t>
        </w:r>
      </w:hyperlink>
      <w:r>
        <w:t xml:space="preserve">. The reframing follows from the claim and from standard theory: a decision the program literature files under engineering comparison is an investment-timing problem in which the right to wait carries value</w:t>
      </w:r>
      <w:r>
        <w:t xml:space="preserve"> </w:t>
      </w:r>
      <w:hyperlink w:anchor="ref-8">
        <w:r>
          <w:rPr>
            <w:rStyle w:val="Hyperlink"/>
          </w:rPr>
          <w:t xml:space="preserve">[8]</w:t>
        </w:r>
      </w:hyperlink>
      <w:r>
        <w:t xml:space="preserve">. The study does not tell the program to choose nuclear, and it does not tell the program to reject it. It tells the program that the right to wait is worth something, that the expert evidence already in hand shows the ambiguity that gives waiting its worth, and that the value of that right can, with the right data, be priced. A modest contribution, then, and a falsifiable one, and it moves the recommended posture from premature commitment to preserved flexibility. On a decision as irreversible and as consequential as fielding a nuclear reactor on the Moon, the distance between those two postures is the whole point.</w:t>
      </w:r>
    </w:p>
    <w:p>
      <w:pPr>
        <w:pStyle w:val="BodyText"/>
        <w:spacing w:line="480" w:lineRule="auto"/>
        <w:ind w:firstLine="720"/>
      </w:pPr>
      <w:r>
        <w:t xml:space="preserve">The dissertation’s ambition was deliberately bounded, and its confidence is bounded to match. It does not claim to have priced the option or to have chosen the technology. It claims to have shown, on evidence any reader can retrieve and rerun, that the expert community’s belief about lunar nuclear power carries the measured dispersion that makes waiting valuable, and that this dispersion sits inside an elicitation demonstrably capable of producing sharp agreement where agreement exists</w:t>
      </w:r>
      <w:r>
        <w:t xml:space="preserve"> </w:t>
      </w:r>
      <w:hyperlink w:anchor="ref-2">
        <w:r>
          <w:rPr>
            <w:rStyle w:val="Hyperlink"/>
          </w:rPr>
          <w:t xml:space="preserve">[2]</w:t>
        </w:r>
      </w:hyperlink>
      <w:r>
        <w:t xml:space="preserve">. From that finding and the standard theory of irreversible investment, the recommendation to preserve flexibility follows for a value-maximising program</w:t>
      </w:r>
      <w:r>
        <w:t xml:space="preserve"> </w:t>
      </w:r>
      <w:hyperlink w:anchor="ref-8">
        <w:r>
          <w:rPr>
            <w:rStyle w:val="Hyperlink"/>
          </w:rPr>
          <w:t xml:space="preserve">[8]</w:t>
        </w:r>
      </w:hyperlink>
      <w:r>
        <w:t xml:space="preserve">. The engineering, technology, flexible-design, and space-economy literatures each independently support the premises the finding rests on, from the binding cost uncertainty to the live technology development to the uncertain demand trajectory</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17">
        <w:r>
          <w:rPr>
            <w:rStyle w:val="Hyperlink"/>
          </w:rPr>
          <w:t xml:space="preserve">[17]</w:t>
        </w:r>
      </w:hyperlink>
      <w:r>
        <w:t xml:space="preserve"> </w:t>
      </w:r>
      <w:hyperlink w:anchor="ref-5">
        <w:r>
          <w:rPr>
            <w:rStyle w:val="Hyperlink"/>
          </w:rPr>
          <w:t xml:space="preserve">[5]</w:t>
        </w:r>
      </w:hyperlink>
      <w:r>
        <w:t xml:space="preserve">. The contribution is to fuse those premises with real preference evidence at the one point the existing work leaves empty: the timing of the fission surface power commitment. That fusion is small, checkable, and consequential, and it moves what a careful program should do next.</w:t>
      </w:r>
    </w:p>
    <w:bookmarkEnd w:id="142"/>
    <w:bookmarkStart w:id="143" w:name="Xc6e92ebc0d56aee31246fdf20436fc517076f4c"/>
    <w:p>
      <w:pPr>
        <w:pStyle w:val="Heading2"/>
        <w:spacing w:line="480" w:lineRule="auto"/>
      </w:pPr>
      <w:r>
        <w:t xml:space="preserve">A closing reflection on method and modesty</w:t>
      </w:r>
    </w:p>
    <w:p>
      <w:pPr>
        <w:pStyle w:val="FirstParagraph"/>
        <w:spacing w:line="480" w:lineRule="auto"/>
      </w:pPr>
      <w:r>
        <w:t xml:space="preserve">The design of this study reflects a conviction about how analysis under deep uncertainty ought to proceed. When the ideal data are unavailable, the temptation is to supply them with assumptions and to report a confident number the assumptions, not the evidence, produce. This study declines that path. It identifies the narrowest quantities the available evidence can support, the dispersion of nuclear preference and the coherence of the elicitation, and it builds the argument on those alone, leaving the quantitative valuation to a future in which better data would make it honest</w:t>
      </w:r>
      <w:r>
        <w:t xml:space="preserve"> </w:t>
      </w:r>
      <w:hyperlink w:anchor="ref-2">
        <w:r>
          <w:rPr>
            <w:rStyle w:val="Hyperlink"/>
          </w:rPr>
          <w:t xml:space="preserve">[2]</w:t>
        </w:r>
      </w:hyperlink>
      <w:r>
        <w:t xml:space="preserve">. The cost of the discipline is that the study delivers no premium figure. The benefit is that everything it does deliver is checkable, reproducible, and robust to the objection that the result was assumed into existence.</w:t>
      </w:r>
    </w:p>
    <w:p>
      <w:pPr>
        <w:pStyle w:val="BodyText"/>
        <w:spacing w:line="480" w:lineRule="auto"/>
        <w:ind w:firstLine="720"/>
      </w:pPr>
      <w:r>
        <w:t xml:space="preserve">That trade is the right one for a decision of this weight. A program contemplating an irreversible nuclear commitment on the lunar surface is better served by a modest, reproducible finding about the state of expert knowledge than by a precise-looking number resting on invented distributions</w:t>
      </w:r>
      <w:r>
        <w:t xml:space="preserve"> </w:t>
      </w:r>
      <w:hyperlink w:anchor="ref-8">
        <w:r>
          <w:rPr>
            <w:rStyle w:val="Hyperlink"/>
          </w:rPr>
          <w:t xml:space="preserve">[8]</w:t>
        </w:r>
      </w:hyperlink>
      <w:r>
        <w:t xml:space="preserve">. The finding here tells the program something true and useful: the community has not converged, the demand is credible but uncertain, and the conditions for valuable deferral are present. Acting on that is not the same as acting on a computed premium, and yet it points in the same direction, and it points there on evidence that will not dissolve under scrutiny. The eventual valuation, built on calibrated distributions, will refine the magnitude. It will not change the sign, because the sign follows from the dispersion the evidence already shows. On that foundation the program can build, and to that foundation this dissertation has tried to contribute one checkable stone. The value of a single checkable stone, laid where the ground was previously assumed rather than tested, is that it can bear weight the surrounding assumptions cannot, and that others can lay their own stones beside it in confidence that the first will hold.</w:t>
      </w:r>
    </w:p>
    <w:bookmarkEnd w:id="143"/>
    <w:bookmarkStart w:id="180" w:name="references"/>
    <w:p>
      <w:pPr>
        <w:pStyle w:val="Heading2"/>
        <w:spacing w:line="480" w:lineRule="auto"/>
      </w:pPr>
      <w:r>
        <w:t xml:space="preserve">References</w:t>
      </w:r>
    </w:p>
    <w:p>
      <w:pPr>
        <w:pStyle w:val="FirstParagraph"/>
        <w:spacing w:line="480" w:lineRule="auto"/>
      </w:pPr>
      <w:bookmarkStart w:id="144" w:name="ref-1"/>
      <w:bookmarkEnd w:id="144"/>
      <w:r>
        <w:t xml:space="preserve">1. J. E. Van Cleve et al.,</w:t>
      </w:r>
      <w:r>
        <w:t xml:space="preserve"> </w:t>
      </w:r>
      <w:r>
        <w:t xml:space="preserve">“A Year in the Life of the Shackleton Space Domain Awareness Station,”</w:t>
      </w:r>
      <w:r>
        <w:t xml:space="preserve"> </w:t>
      </w:r>
      <w:r>
        <w:t xml:space="preserve">Proc. Advanced Maui Optical and Space Surveillance Technologies (AMOS) Conference, 2022.</w:t>
      </w:r>
    </w:p>
    <w:p>
      <w:pPr>
        <w:pStyle w:val="BodyText"/>
        <w:spacing w:line="480" w:lineRule="auto"/>
        <w:ind w:firstLine="720"/>
      </w:pPr>
      <w:bookmarkStart w:id="145" w:name="ref-2"/>
      <w:bookmarkEnd w:id="145"/>
      <w:r>
        <w:t xml:space="preserve">2. C. P. Spedding, S. Lim, and W. J. Nuttall,</w:t>
      </w:r>
      <w:r>
        <w:t xml:space="preserve"> </w:t>
      </w:r>
      <w:r>
        <w:t xml:space="preserve">“ISRU technology deployment at a lunar outpost in 2040: A Delphi survey,”</w:t>
      </w:r>
      <w:r>
        <w:t xml:space="preserve"> </w:t>
      </w:r>
      <w:r>
        <w:t xml:space="preserve">Acta Astronautica, vol. 181, 2021, doi:</w:t>
      </w:r>
      <w:r>
        <w:t xml:space="preserve"> </w:t>
      </w:r>
      <w:hyperlink r:id="rId146">
        <w:r>
          <w:rPr>
            <w:rStyle w:val="Hyperlink"/>
          </w:rPr>
          <w:t xml:space="preserve">10.1016/j.actaastro.2021.01.009</w:t>
        </w:r>
      </w:hyperlink>
    </w:p>
    <w:p>
      <w:pPr>
        <w:pStyle w:val="BodyText"/>
        <w:spacing w:line="480" w:lineRule="auto"/>
        <w:ind w:firstLine="720"/>
      </w:pPr>
      <w:bookmarkStart w:id="147" w:name="ref-3"/>
      <w:bookmarkEnd w:id="147"/>
      <w:r>
        <w:t xml:space="preserve">3. M. Bilka, R. Wright, and J. Wysack,</w:t>
      </w:r>
      <w:r>
        <w:t xml:space="preserve"> </w:t>
      </w:r>
      <w:r>
        <w:t xml:space="preserve">“Guiding Lunar Growth: Architectural Solutions for Space Traffic Management,”</w:t>
      </w:r>
      <w:r>
        <w:t xml:space="preserve"> </w:t>
      </w:r>
      <w:r>
        <w:t xml:space="preserve">Proc. Advanced Maui Optical and Space Surveillance Technologies (AMOS) Conference, 2024, doi:</w:t>
      </w:r>
      <w:r>
        <w:t xml:space="preserve"> </w:t>
      </w:r>
      <w:hyperlink r:id="rId148">
        <w:r>
          <w:rPr>
            <w:rStyle w:val="Hyperlink"/>
          </w:rPr>
          <w:t xml:space="preserve">10.64861/RBTM5104</w:t>
        </w:r>
      </w:hyperlink>
    </w:p>
    <w:p>
      <w:pPr>
        <w:pStyle w:val="BodyText"/>
        <w:spacing w:line="480" w:lineRule="auto"/>
        <w:ind w:firstLine="720"/>
      </w:pPr>
      <w:bookmarkStart w:id="149" w:name="ref-4"/>
      <w:bookmarkEnd w:id="149"/>
      <w:r>
        <w:t xml:space="preserve">4. R. Mesalam et al.,</w:t>
      </w:r>
      <w:r>
        <w:t xml:space="preserve"> </w:t>
      </w:r>
      <w:r>
        <w:t xml:space="preserve">“Americium fuelled radioisotope stirling generator for lunar surface mobility systems,”</w:t>
      </w:r>
      <w:r>
        <w:t xml:space="preserve"> </w:t>
      </w:r>
      <w:r>
        <w:t xml:space="preserve">Acta Astronautica, vol. 228, 2024, doi:</w:t>
      </w:r>
      <w:r>
        <w:t xml:space="preserve"> </w:t>
      </w:r>
      <w:hyperlink r:id="rId150">
        <w:r>
          <w:rPr>
            <w:rStyle w:val="Hyperlink"/>
          </w:rPr>
          <w:t xml:space="preserve">10.1016/j.actaastro.2024.12.001</w:t>
        </w:r>
      </w:hyperlink>
    </w:p>
    <w:p>
      <w:pPr>
        <w:pStyle w:val="BodyText"/>
        <w:spacing w:line="480" w:lineRule="auto"/>
        <w:ind w:firstLine="720"/>
      </w:pPr>
      <w:bookmarkStart w:id="151" w:name="ref-5"/>
      <w:bookmarkEnd w:id="151"/>
      <w:r>
        <w:t xml:space="preserve">5. Orbital Commerce and Economic Activity (OCEA),</w:t>
      </w:r>
      <w:r>
        <w:t xml:space="preserve"> </w:t>
      </w:r>
      <w:r>
        <w:t xml:space="preserve">“Forecasting the Space Economy,”</w:t>
      </w:r>
      <w:r>
        <w:t xml:space="preserve"> </w:t>
      </w:r>
      <w:r>
        <w:t xml:space="preserve">Space Economy Papers source SD08.</w:t>
      </w:r>
    </w:p>
    <w:p>
      <w:pPr>
        <w:pStyle w:val="BodyText"/>
        <w:spacing w:line="480" w:lineRule="auto"/>
        <w:ind w:firstLine="720"/>
      </w:pPr>
      <w:bookmarkStart w:id="152" w:name="ref-6"/>
      <w:bookmarkEnd w:id="152"/>
      <w:r>
        <w:t xml:space="preserve">6.</w:t>
      </w:r>
      <w:r>
        <w:t xml:space="preserve"> </w:t>
      </w:r>
      <w:r>
        <w:t xml:space="preserve">“The Role of Space in Driving Sustainability, Security, and Development,”</w:t>
      </w:r>
      <w:r>
        <w:t xml:space="preserve"> </w:t>
      </w:r>
      <w:r>
        <w:t xml:space="preserve">Space Economy Papers source SD13.</w:t>
      </w:r>
    </w:p>
    <w:p>
      <w:pPr>
        <w:pStyle w:val="BodyText"/>
        <w:spacing w:line="480" w:lineRule="auto"/>
        <w:ind w:firstLine="720"/>
      </w:pPr>
      <w:bookmarkStart w:id="153" w:name="ref-7"/>
      <w:bookmarkEnd w:id="153"/>
      <w:r>
        <w:t xml:space="preserve">7. Orbital Commerce and Economic Activity,</w:t>
      </w:r>
      <w:r>
        <w:t xml:space="preserve"> </w:t>
      </w:r>
      <w:r>
        <w:t xml:space="preserve">“Forecasting the Space Economy,”</w:t>
      </w:r>
      <w:r>
        <w:t xml:space="preserve"> </w:t>
      </w:r>
      <w:r>
        <w:t xml:space="preserve">Space Economy Papers source SD08.</w:t>
      </w:r>
    </w:p>
    <w:p>
      <w:pPr>
        <w:pStyle w:val="BodyText"/>
        <w:spacing w:line="480" w:lineRule="auto"/>
        <w:ind w:firstLine="720"/>
      </w:pPr>
      <w:bookmarkStart w:id="154" w:name="ref-8"/>
      <w:bookmarkEnd w:id="154"/>
      <w:r>
        <w:t xml:space="preserve">8. A. K. Dixit and R. S. Pindyck, Investment under Uncertainty, Princeton University Press, 1994.</w:t>
      </w:r>
    </w:p>
    <w:p>
      <w:pPr>
        <w:pStyle w:val="BodyText"/>
        <w:spacing w:line="480" w:lineRule="auto"/>
        <w:ind w:firstLine="720"/>
      </w:pPr>
      <w:bookmarkStart w:id="155" w:name="ref-9"/>
      <w:bookmarkEnd w:id="155"/>
      <w:r>
        <w:t xml:space="preserve">9. Jeffrey Van Cleve, Ball Aerospace; Anna Lawitzke, Ball Aerospace; Emily MacAnlis, Ball Aerospace; Jacob Griesbach, Ball Aerospace; Melissa Sampson, Ball Aerospace; David Osterman, Ball Aerospace; Elvis Silva, Ball Aerospace; Christopher Grant, Ball Aerospace; Amelia Bloom, Ball Aerospace. Hiding in Plain Sight: Observing Objects in Low Lunar Orbit and the L2 Dark Cone from a Lunar Surface Observatory (2021).</w:t>
      </w:r>
    </w:p>
    <w:p>
      <w:pPr>
        <w:pStyle w:val="BodyText"/>
        <w:spacing w:line="480" w:lineRule="auto"/>
        <w:ind w:firstLine="720"/>
      </w:pPr>
      <w:bookmarkStart w:id="156" w:name="ref-10"/>
      <w:bookmarkEnd w:id="156"/>
      <w:r>
        <w:t xml:space="preserve">10. Anna M. Lawitzke, Ball Aerospace; Jeffrey E. Van Cleve, Ball Aerospace; James Contreras, Ball Aerospace; David Ramirez, Ball Aerospace; Timothy Finch, Ball Aerospace; Jeremy Correa, Ball Aerospace. Hybrid Sensor for Joint Space Domain Awareness and Lunar Surface Intelligence (2022).</w:t>
      </w:r>
    </w:p>
    <w:p>
      <w:pPr>
        <w:pStyle w:val="BodyText"/>
        <w:spacing w:line="480" w:lineRule="auto"/>
        <w:ind w:firstLine="720"/>
      </w:pPr>
      <w:bookmarkStart w:id="157" w:name="ref-11"/>
      <w:bookmarkEnd w:id="157"/>
      <w:r>
        <w:t xml:space="preserve">11. Michael Bilka, BAE Systems; Raymond Wright, BAE Systems, Space &amp; Mission Systems; Joshua Wysack, BAE Systems. Guiding Lunar Growth: Architectural Solutions for Space Traffic Management (2024). doi:</w:t>
      </w:r>
      <w:r>
        <w:t xml:space="preserve"> </w:t>
      </w:r>
      <w:hyperlink r:id="rId148">
        <w:r>
          <w:rPr>
            <w:rStyle w:val="Hyperlink"/>
          </w:rPr>
          <w:t xml:space="preserve">10.64861/RBTM5104</w:t>
        </w:r>
      </w:hyperlink>
    </w:p>
    <w:p>
      <w:pPr>
        <w:pStyle w:val="BodyText"/>
        <w:spacing w:line="480" w:lineRule="auto"/>
        <w:ind w:firstLine="720"/>
      </w:pPr>
      <w:bookmarkStart w:id="158" w:name="ref-12"/>
      <w:bookmarkEnd w:id="158"/>
      <w:r>
        <w:t xml:space="preserve">12. Joshua Wysack, BAE Systems. Cislunar Missions End-of-Life Disposal Strategies (2024). doi:</w:t>
      </w:r>
      <w:r>
        <w:t xml:space="preserve"> </w:t>
      </w:r>
      <w:hyperlink r:id="rId159">
        <w:r>
          <w:rPr>
            <w:rStyle w:val="Hyperlink"/>
          </w:rPr>
          <w:t xml:space="preserve">10.64861/GDKE6454</w:t>
        </w:r>
      </w:hyperlink>
    </w:p>
    <w:p>
      <w:pPr>
        <w:pStyle w:val="BodyText"/>
        <w:spacing w:line="480" w:lineRule="auto"/>
        <w:ind w:firstLine="720"/>
      </w:pPr>
      <w:bookmarkStart w:id="160" w:name="ref-13"/>
      <w:bookmarkEnd w:id="160"/>
      <w:r>
        <w:t xml:space="preserve">13. Elvis D. Silva, Ball Aerospace; Jeffrey Van Cleve, Ball Aerospace; Rob Philbrick, Ball Aerospace; Christopher J. Grant, Ball Aerospace; Jacob D. Griesbach, Ball Aerospace; Michael P. Mahoney, Ball Aerospace. Systems and Methods for Hybrid Lunar Surface and Space Domain Situational Awareness (2021).</w:t>
      </w:r>
    </w:p>
    <w:p>
      <w:pPr>
        <w:pStyle w:val="BodyText"/>
        <w:spacing w:line="480" w:lineRule="auto"/>
        <w:ind w:firstLine="720"/>
      </w:pPr>
      <w:bookmarkStart w:id="161" w:name="ref-14"/>
      <w:bookmarkEnd w:id="161"/>
      <w:r>
        <w:t xml:space="preserve">14. Brian Banks, Leidos; Robert Smith II, Leidos; Ronald Wagner, Leidos; Victor Aguero, SRI International; Scott Williams, SRI International; Matthew Duncan, SpaceNav; Stijn De Smet, SpaceNav; Marc Balducci, SpaceNav. A Sensor-Rich Solution for Lunar/Cislunar Space Domain Awareness (2020).</w:t>
      </w:r>
    </w:p>
    <w:p>
      <w:pPr>
        <w:pStyle w:val="BodyText"/>
        <w:spacing w:line="480" w:lineRule="auto"/>
        <w:ind w:firstLine="720"/>
      </w:pPr>
      <w:bookmarkStart w:id="162" w:name="ref-15"/>
      <w:bookmarkEnd w:id="162"/>
      <w:r>
        <w:t xml:space="preserve">15. Donald Bedard, Royal Military College of Canada, Patrick Seitzer, University of Michigan, Alex Willison, University of Waterloo, Phil Somers, Royal Military College of Canada. In-Situ VIS/NIR Measurements of Space Environment Effects on Spacecraft Surfaces (2016).</w:t>
      </w:r>
    </w:p>
    <w:p>
      <w:pPr>
        <w:pStyle w:val="BodyText"/>
        <w:spacing w:line="480" w:lineRule="auto"/>
        <w:ind w:firstLine="720"/>
      </w:pPr>
      <w:bookmarkStart w:id="163" w:name="ref-16"/>
      <w:bookmarkEnd w:id="163"/>
      <w:r>
        <w:t xml:space="preserve">16. Professor Douglas Currie (University of Maryland, NASA Lunar Science Institute, Istituto Nazionale di Fisica Nucleare Laboratori), Dr. Simone Dell Agnello (Istituto Nazionale di Fisica Nucleare Laboratori, Nazionali di Frascati), Dr. Giovanni Delle Monache (Istituto Nazionale di Fisica Nucleare Laboratori). A Lunar Laser Ranging Retroreflector for the 21st Century (2009).</w:t>
      </w:r>
    </w:p>
    <w:p>
      <w:pPr>
        <w:pStyle w:val="BodyText"/>
        <w:spacing w:line="480" w:lineRule="auto"/>
        <w:ind w:firstLine="720"/>
      </w:pPr>
      <w:bookmarkStart w:id="164" w:name="ref-17"/>
      <w:bookmarkEnd w:id="164"/>
      <w:r>
        <w:t xml:space="preserve">17. Kosuke Ikeya; Michel‐Alexandre Cardin; J.J. Cilliers; Stanley Starr; Kathryn Hadler. Multi-objective decision-making for flexible design and planning of oxygen production facilities in an uncertain lunar environment (2025). doi:</w:t>
      </w:r>
      <w:r>
        <w:t xml:space="preserve"> </w:t>
      </w:r>
      <w:hyperlink r:id="rId165">
        <w:r>
          <w:rPr>
            <w:rStyle w:val="Hyperlink"/>
          </w:rPr>
          <w:t xml:space="preserve">10.1016/j.actaastro.2025.07.014</w:t>
        </w:r>
      </w:hyperlink>
    </w:p>
    <w:p>
      <w:pPr>
        <w:pStyle w:val="BodyText"/>
        <w:spacing w:line="480" w:lineRule="auto"/>
        <w:ind w:firstLine="720"/>
      </w:pPr>
      <w:bookmarkStart w:id="166" w:name="ref-18"/>
      <w:bookmarkEnd w:id="166"/>
      <w:r>
        <w:t xml:space="preserve">18. R. L. McNutt; R. F. Wimmer‐Schweingruber; Mike Gruntman; S. M. Krimigis; E. C. Roelof; P. C. Brandt; Steven R. Vernon; Michael Paul; Robert Stough; J.D. Kinnison. Interstellar probe – Destination: Universe! (2022). doi:</w:t>
      </w:r>
      <w:r>
        <w:t xml:space="preserve"> </w:t>
      </w:r>
      <w:hyperlink r:id="rId167">
        <w:r>
          <w:rPr>
            <w:rStyle w:val="Hyperlink"/>
          </w:rPr>
          <w:t xml:space="preserve">10.1016/j.actaastro.2022.04.001</w:t>
        </w:r>
      </w:hyperlink>
    </w:p>
    <w:p>
      <w:pPr>
        <w:pStyle w:val="BodyText"/>
        <w:spacing w:line="480" w:lineRule="auto"/>
        <w:ind w:firstLine="720"/>
      </w:pPr>
      <w:bookmarkStart w:id="168" w:name="ref-19"/>
      <w:bookmarkEnd w:id="168"/>
      <w:r>
        <w:t xml:space="preserve">19. Joshua F. Anderson; Michel‐Alexandre Cardin; Paul T. Grogan. Design and analysis of flexible multi-layer staged deployment for satellite mega-constellations under demand uncertainty (2022). doi:</w:t>
      </w:r>
      <w:r>
        <w:t xml:space="preserve"> </w:t>
      </w:r>
      <w:hyperlink r:id="rId169">
        <w:r>
          <w:rPr>
            <w:rStyle w:val="Hyperlink"/>
          </w:rPr>
          <w:t xml:space="preserve">10.1016/j.actaastro.2022.05.022</w:t>
        </w:r>
      </w:hyperlink>
    </w:p>
    <w:p>
      <w:pPr>
        <w:pStyle w:val="BodyText"/>
        <w:spacing w:line="480" w:lineRule="auto"/>
        <w:ind w:firstLine="720"/>
      </w:pPr>
      <w:bookmarkStart w:id="170" w:name="ref-20"/>
      <w:bookmarkEnd w:id="170"/>
      <w:r>
        <w:t xml:space="preserve">20. Jean‐Marc Salotti. Launcher size optimization for a crewed Mars mission (2021). doi:</w:t>
      </w:r>
      <w:r>
        <w:t xml:space="preserve"> </w:t>
      </w:r>
      <w:hyperlink r:id="rId171">
        <w:r>
          <w:rPr>
            <w:rStyle w:val="Hyperlink"/>
          </w:rPr>
          <w:t xml:space="preserve">10.1016/j.actaastro.2021.11.016</w:t>
        </w:r>
      </w:hyperlink>
    </w:p>
    <w:p>
      <w:pPr>
        <w:pStyle w:val="BodyText"/>
        <w:spacing w:line="480" w:lineRule="auto"/>
        <w:ind w:firstLine="720"/>
      </w:pPr>
      <w:bookmarkStart w:id="172" w:name="ref-21"/>
      <w:bookmarkEnd w:id="172"/>
      <w:r>
        <w:t xml:space="preserve">21. M. E. Evans; Lee Graham. A Flexible Lunar Architecture for Exploration (FLARE) supporting NASA’s Artemis Program (2020). doi:</w:t>
      </w:r>
      <w:r>
        <w:t xml:space="preserve"> </w:t>
      </w:r>
      <w:hyperlink r:id="rId173">
        <w:r>
          <w:rPr>
            <w:rStyle w:val="Hyperlink"/>
          </w:rPr>
          <w:t xml:space="preserve">10.1016/j.actaastro.2020.07.032</w:t>
        </w:r>
      </w:hyperlink>
    </w:p>
    <w:p>
      <w:pPr>
        <w:pStyle w:val="BodyText"/>
        <w:spacing w:line="480" w:lineRule="auto"/>
        <w:ind w:firstLine="720"/>
      </w:pPr>
      <w:bookmarkStart w:id="174" w:name="ref-22"/>
      <w:bookmarkEnd w:id="174"/>
      <w:r>
        <w:t xml:space="preserve">22. Philipp Zanon; Michelle Dunn; Geoffrey Brooks. Current Lunar dust mitigation techniques and future directions (2023). doi:</w:t>
      </w:r>
      <w:r>
        <w:t xml:space="preserve"> </w:t>
      </w:r>
      <w:hyperlink r:id="rId175">
        <w:r>
          <w:rPr>
            <w:rStyle w:val="Hyperlink"/>
          </w:rPr>
          <w:t xml:space="preserve">10.1016/j.actaastro.2023.09.031</w:t>
        </w:r>
      </w:hyperlink>
    </w:p>
    <w:p>
      <w:pPr>
        <w:pStyle w:val="BodyText"/>
        <w:spacing w:line="480" w:lineRule="auto"/>
        <w:ind w:firstLine="720"/>
      </w:pPr>
      <w:bookmarkStart w:id="176" w:name="ref-23"/>
      <w:bookmarkEnd w:id="176"/>
      <w:r>
        <w:t xml:space="preserve">23. Luka Malone; Michel‐Alexandre Cardin; J.J. Cilliers; Stanley Starr; Kathryn Hadler. Controlled user study on the role of situational awareness in design decisions for future lunar In-situ resource utilization systems (2026). doi:</w:t>
      </w:r>
      <w:r>
        <w:t xml:space="preserve"> </w:t>
      </w:r>
      <w:hyperlink r:id="rId177">
        <w:r>
          <w:rPr>
            <w:rStyle w:val="Hyperlink"/>
          </w:rPr>
          <w:t xml:space="preserve">10.1016/j.actaastro.2026.04.012</w:t>
        </w:r>
      </w:hyperlink>
    </w:p>
    <w:p>
      <w:pPr>
        <w:pStyle w:val="BodyText"/>
        <w:spacing w:line="480" w:lineRule="auto"/>
        <w:ind w:firstLine="720"/>
      </w:pPr>
      <w:bookmarkStart w:id="178" w:name="ref-24"/>
      <w:bookmarkEnd w:id="178"/>
      <w:r>
        <w:t xml:space="preserve">24. Caterina Iantaffi; Chu Lun Alex Leung; Elena Ruckh; Samy Hocine; Alexander Rack; Peter Lee. Real-time synchrotron X-ray lmaging of laser additive manufactured lunar Regolith simulant (2025). doi:</w:t>
      </w:r>
      <w:r>
        <w:t xml:space="preserve"> </w:t>
      </w:r>
      <w:hyperlink r:id="rId179">
        <w:r>
          <w:rPr>
            <w:rStyle w:val="Hyperlink"/>
          </w:rPr>
          <w:t xml:space="preserve">10.1016/j.actaastro.2025.04.037</w:t>
        </w:r>
      </w:hyperlink>
    </w:p>
    <w:bookmarkEnd w:id="180"/>
    <w:bookmarkEnd w:id="181"/>
    <w:bookmarkStart w:id="19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9" w:name="X5b897adbdc1aed9fe251923b1b59360503c05c4"/>
    <w:p>
      <w:pPr>
        <w:pStyle w:val="Heading2"/>
        <w:spacing w:line="480" w:lineRule="auto"/>
      </w:pPr>
      <w:r>
        <w:t xml:space="preserve">A.1 Preference Points and Nuclear Ambiguity in Lunar Outpost Power Rankings</w:t>
      </w:r>
    </w:p>
    <w:p>
      <w:pPr>
        <w:pStyle w:val="FirstParagraph"/>
        <w:spacing w:line="480" w:lineRule="auto"/>
      </w:pPr>
      <m:oMathPara>
        <m:oMathParaPr>
          <m:jc m:val="center"/>
        </m:oMathParaPr>
        <m:oMath>
          <m:sSub>
            <m:e>
              <m:r>
                <m:t>P</m:t>
              </m:r>
            </m:e>
            <m:sub>
              <m:r>
                <m:t>i</m:t>
              </m:r>
            </m:sub>
          </m:sSub>
          <m:r>
            <m:rPr>
              <m:sty m:val="p"/>
            </m:rPr>
            <m:t>=</m:t>
          </m:r>
          <m:r>
            <m:t>α</m:t>
          </m:r>
          <m:r>
            <m:rPr>
              <m:sty m:val="p"/>
            </m:rPr>
            <m:t>+</m:t>
          </m:r>
          <m:sSub>
            <m:e>
              <m:r>
                <m:t>β</m:t>
              </m:r>
            </m:e>
            <m:sub>
              <m:r>
                <m:t>1</m:t>
              </m:r>
            </m:sub>
          </m:sSub>
          <m:sSub>
            <m:e>
              <m:r>
                <m:t>W</m:t>
              </m:r>
            </m:e>
            <m:sub>
              <m:r>
                <m:t>i</m:t>
              </m:r>
            </m:sub>
          </m:sSub>
          <m:r>
            <m:rPr>
              <m:sty m:val="p"/>
            </m:rPr>
            <m:t>+</m:t>
          </m:r>
          <m:sSub>
            <m:e>
              <m:r>
                <m:t>β</m:t>
              </m:r>
            </m:e>
            <m:sub>
              <m:r>
                <m:t>2</m:t>
              </m:r>
            </m:sub>
          </m:sSub>
          <m:sSub>
            <m:e>
              <m:r>
                <m:t>S</m:t>
              </m:r>
            </m:e>
            <m:sub>
              <m:r>
                <m:t>i</m:t>
              </m:r>
            </m:sub>
          </m:sSub>
          <m:r>
            <m:rPr>
              <m:sty m:val="p"/>
            </m:rPr>
            <m:t>+</m:t>
          </m:r>
          <m:sSub>
            <m:e>
              <m:r>
                <m:t>β</m:t>
              </m:r>
            </m:e>
            <m:sub>
              <m:r>
                <m:t>3</m:t>
              </m:r>
            </m:sub>
          </m:sSub>
          <m:r>
            <m:rPr>
              <m:sty m:val="p"/>
            </m:rPr>
            <m:t>(</m:t>
          </m:r>
          <m:sSub>
            <m:e>
              <m:r>
                <m:t>W</m:t>
              </m:r>
            </m:e>
            <m:sub>
              <m:r>
                <m:t>i</m:t>
              </m:r>
            </m:sub>
          </m:sSub>
          <m:r>
            <m:rPr>
              <m:sty m:val="p"/>
            </m:rPr>
            <m:t>×</m:t>
          </m:r>
          <m:sSub>
            <m:e>
              <m:r>
                <m:t>S</m:t>
              </m:r>
            </m:e>
            <m:sub>
              <m:r>
                <m:t>i</m:t>
              </m:r>
            </m:sub>
          </m:sSub>
          <m:r>
            <m:rPr>
              <m:sty m:val="p"/>
            </m:rPr>
            <m:t>)</m:t>
          </m:r>
          <m:r>
            <m:rPr>
              <m:sty m:val="p"/>
            </m:rPr>
            <m:t>+</m:t>
          </m:r>
          <m:sSub>
            <m:e>
              <m:r>
                <m:t>β</m:t>
              </m:r>
            </m:e>
            <m:sub>
              <m:r>
                <m:t>4</m:t>
              </m:r>
            </m:sub>
          </m:sSub>
          <m:sSub>
            <m:e>
              <m:r>
                <m:t>N</m:t>
              </m:r>
            </m:e>
            <m:sub>
              <m:r>
                <m:t>i</m:t>
              </m:r>
            </m:sub>
          </m:sSub>
          <m:r>
            <m:rPr>
              <m:sty m:val="p"/>
            </m:rPr>
            <m:t>+</m:t>
          </m:r>
          <m:sSub>
            <m:e>
              <m:r>
                <m:t>ε</m:t>
              </m:r>
            </m:e>
            <m:sub>
              <m:r>
                <m:t>i</m:t>
              </m:r>
            </m:sub>
          </m:sSub>
        </m:oMath>
      </m:oMathPara>
    </w:p>
    <w:bookmarkStart w:id="18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21.6018</w:t>
            </w:r>
          </w:p>
        </w:tc>
        <w:tc>
          <w:tcPr>
            <w:tcW w:w="0" w:type="auto"/>
          </w:tcPr>
          <w:p>
            <w:pPr>
              <w:spacing w:line="240" w:lineRule="auto" w:before="0" w:after="0"/>
              <w:pStyle w:val="Compact"/>
            </w:pPr>
            <w:r>
              <w:rPr>
                <w:sz w:val="20"/>
                <w:szCs w:val="20"/>
              </w:rPr>
              <w:t xml:space="preserve">8.4285</w:t>
            </w:r>
          </w:p>
        </w:tc>
        <w:tc>
          <w:tcPr>
            <w:tcW w:w="0" w:type="auto"/>
          </w:tcPr>
          <w:p>
            <w:pPr>
              <w:spacing w:line="240" w:lineRule="auto" w:before="0" w:after="0"/>
              <w:pStyle w:val="Compact"/>
            </w:pPr>
            <w:r>
              <w:rPr>
                <w:sz w:val="20"/>
                <w:szCs w:val="20"/>
              </w:rPr>
              <w:t xml:space="preserve">2.563</w:t>
            </w:r>
          </w:p>
        </w:tc>
        <w:tc>
          <w:tcPr>
            <w:tcW w:w="0" w:type="auto"/>
          </w:tcPr>
          <w:p>
            <w:pPr>
              <w:spacing w:line="240" w:lineRule="auto" w:before="0" w:after="0"/>
              <w:pStyle w:val="Compact"/>
            </w:pPr>
            <w:r>
              <w:rPr>
                <w:sz w:val="20"/>
                <w:szCs w:val="20"/>
              </w:rPr>
              <w:t xml:space="preserve">0.0104</w:t>
            </w:r>
          </w:p>
        </w:tc>
        <w:tc>
          <w:tcPr>
            <w:tcW w:w="0" w:type="auto"/>
          </w:tcPr>
          <w:p>
            <w:pPr>
              <w:spacing w:line="240" w:lineRule="auto" w:before="0" w:after="0"/>
              <w:pStyle w:val="Compact"/>
            </w:pPr>
            <w:r>
              <w:rPr>
                <w:sz w:val="20"/>
                <w:szCs w:val="20"/>
              </w:rPr>
              <w:t xml:space="preserve">[5.0823, 38.1213]</w:t>
            </w:r>
          </w:p>
        </w:tc>
      </w:tr>
      <w:tr>
        <w:tc>
          <w:tcPr>
            <w:tcW w:w="0" w:type="auto"/>
          </w:tcPr>
          <w:p>
            <w:pPr>
              <w:spacing w:line="240" w:lineRule="auto" w:before="0" w:after="0"/>
              <w:pStyle w:val="Compact"/>
            </w:pPr>
            <w:r>
              <w:rPr>
                <w:sz w:val="20"/>
                <w:szCs w:val="20"/>
              </w:rPr>
              <w:t xml:space="preserve">rank_weight</w:t>
            </w:r>
          </w:p>
        </w:tc>
        <w:tc>
          <w:tcPr>
            <w:tcW w:w="0" w:type="auto"/>
          </w:tcPr>
          <w:p>
            <w:pPr>
              <w:spacing w:line="240" w:lineRule="auto" w:before="0" w:after="0"/>
              <w:pStyle w:val="Compact"/>
            </w:pPr>
            <w:r>
              <w:rPr>
                <w:sz w:val="20"/>
                <w:szCs w:val="20"/>
              </w:rPr>
              <w:t xml:space="preserve">-7.1542</w:t>
            </w:r>
          </w:p>
        </w:tc>
        <w:tc>
          <w:tcPr>
            <w:tcW w:w="0" w:type="auto"/>
          </w:tcPr>
          <w:p>
            <w:pPr>
              <w:spacing w:line="240" w:lineRule="auto" w:before="0" w:after="0"/>
              <w:pStyle w:val="Compact"/>
            </w:pPr>
            <w:r>
              <w:rPr>
                <w:sz w:val="20"/>
                <w:szCs w:val="20"/>
              </w:rPr>
              <w:t xml:space="preserve">2.9431</w:t>
            </w:r>
          </w:p>
        </w:tc>
        <w:tc>
          <w:tcPr>
            <w:tcW w:w="0" w:type="auto"/>
          </w:tcPr>
          <w:p>
            <w:pPr>
              <w:spacing w:line="240" w:lineRule="auto" w:before="0" w:after="0"/>
              <w:pStyle w:val="Compact"/>
            </w:pPr>
            <w:r>
              <w:rPr>
                <w:sz w:val="20"/>
                <w:szCs w:val="20"/>
              </w:rPr>
              <w:t xml:space="preserve">-2.4309</w:t>
            </w:r>
          </w:p>
        </w:tc>
        <w:tc>
          <w:tcPr>
            <w:tcW w:w="0" w:type="auto"/>
          </w:tcPr>
          <w:p>
            <w:pPr>
              <w:spacing w:line="240" w:lineRule="auto" w:before="0" w:after="0"/>
              <w:pStyle w:val="Compact"/>
            </w:pPr>
            <w:r>
              <w:rPr>
                <w:sz w:val="20"/>
                <w:szCs w:val="20"/>
              </w:rPr>
              <w:t xml:space="preserve">0.0151</w:t>
            </w:r>
          </w:p>
        </w:tc>
        <w:tc>
          <w:tcPr>
            <w:tcW w:w="0" w:type="auto"/>
          </w:tcPr>
          <w:p>
            <w:pPr>
              <w:spacing w:line="240" w:lineRule="auto" w:before="0" w:after="0"/>
              <w:pStyle w:val="Compact"/>
            </w:pPr>
            <w:r>
              <w:rPr>
                <w:sz w:val="20"/>
                <w:szCs w:val="20"/>
              </w:rPr>
              <w:t xml:space="preserve">[-12.9225, -1.3859]</w:t>
            </w:r>
          </w:p>
        </w:tc>
      </w:tr>
      <w:tr>
        <w:tc>
          <w:tcPr>
            <w:tcW w:w="0" w:type="auto"/>
          </w:tcPr>
          <w:p>
            <w:pPr>
              <w:spacing w:line="240" w:lineRule="auto" w:before="0" w:after="0"/>
              <w:pStyle w:val="Compact"/>
            </w:pPr>
            <w:r>
              <w:rPr>
                <w:sz w:val="20"/>
                <w:szCs w:val="20"/>
              </w:rPr>
              <w:t xml:space="preserve">final_score</w:t>
            </w:r>
          </w:p>
        </w:tc>
        <w:tc>
          <w:tcPr>
            <w:tcW w:w="0" w:type="auto"/>
          </w:tcPr>
          <w:p>
            <w:pPr>
              <w:spacing w:line="240" w:lineRule="auto" w:before="0" w:after="0"/>
              <w:pStyle w:val="Compact"/>
            </w:pPr>
            <w:r>
              <w:rPr>
                <w:sz w:val="20"/>
                <w:szCs w:val="20"/>
              </w:rPr>
              <w:t xml:space="preserve">-7.2762</w:t>
            </w:r>
          </w:p>
        </w:tc>
        <w:tc>
          <w:tcPr>
            <w:tcW w:w="0" w:type="auto"/>
          </w:tcPr>
          <w:p>
            <w:pPr>
              <w:spacing w:line="240" w:lineRule="auto" w:before="0" w:after="0"/>
              <w:pStyle w:val="Compact"/>
            </w:pPr>
            <w:r>
              <w:rPr>
                <w:sz w:val="20"/>
                <w:szCs w:val="20"/>
              </w:rPr>
              <w:t xml:space="preserve">2.9974</w:t>
            </w:r>
          </w:p>
        </w:tc>
        <w:tc>
          <w:tcPr>
            <w:tcW w:w="0" w:type="auto"/>
          </w:tcPr>
          <w:p>
            <w:pPr>
              <w:spacing w:line="240" w:lineRule="auto" w:before="0" w:after="0"/>
              <w:pStyle w:val="Compact"/>
            </w:pPr>
            <w:r>
              <w:rPr>
                <w:sz w:val="20"/>
                <w:szCs w:val="20"/>
              </w:rPr>
              <w:t xml:space="preserve">-2.4275</w:t>
            </w:r>
          </w:p>
        </w:tc>
        <w:tc>
          <w:tcPr>
            <w:tcW w:w="0" w:type="auto"/>
          </w:tcPr>
          <w:p>
            <w:pPr>
              <w:spacing w:line="240" w:lineRule="auto" w:before="0" w:after="0"/>
              <w:pStyle w:val="Compact"/>
            </w:pPr>
            <w:r>
              <w:rPr>
                <w:sz w:val="20"/>
                <w:szCs w:val="20"/>
              </w:rPr>
              <w:t xml:space="preserve">0.0152</w:t>
            </w:r>
          </w:p>
        </w:tc>
        <w:tc>
          <w:tcPr>
            <w:tcW w:w="0" w:type="auto"/>
          </w:tcPr>
          <w:p>
            <w:pPr>
              <w:spacing w:line="240" w:lineRule="auto" w:before="0" w:after="0"/>
              <w:pStyle w:val="Compact"/>
            </w:pPr>
            <w:r>
              <w:rPr>
                <w:sz w:val="20"/>
                <w:szCs w:val="20"/>
              </w:rPr>
              <w:t xml:space="preserve">[-13.151, -1.4014]</w:t>
            </w:r>
          </w:p>
        </w:tc>
      </w:tr>
      <w:tr>
        <w:tc>
          <w:tcPr>
            <w:tcW w:w="0" w:type="auto"/>
          </w:tcPr>
          <w:p>
            <w:pPr>
              <w:spacing w:line="240" w:lineRule="auto" w:before="0" w:after="0"/>
              <w:pStyle w:val="Compact"/>
            </w:pPr>
            <w:r>
              <w:rPr>
                <w:sz w:val="20"/>
                <w:szCs w:val="20"/>
              </w:rPr>
              <w:t xml:space="preserve">rank_weight_x_final_score</w:t>
            </w:r>
          </w:p>
        </w:tc>
        <w:tc>
          <w:tcPr>
            <w:tcW w:w="0" w:type="auto"/>
          </w:tcPr>
          <w:p>
            <w:pPr>
              <w:spacing w:line="240" w:lineRule="auto" w:before="0" w:after="0"/>
              <w:pStyle w:val="Compact"/>
            </w:pPr>
            <w:r>
              <w:rPr>
                <w:sz w:val="20"/>
                <w:szCs w:val="20"/>
              </w:rPr>
              <w:t xml:space="preserve">3.0668</w:t>
            </w:r>
          </w:p>
        </w:tc>
        <w:tc>
          <w:tcPr>
            <w:tcW w:w="0" w:type="auto"/>
          </w:tcPr>
          <w:p>
            <w:pPr>
              <w:spacing w:line="240" w:lineRule="auto" w:before="0" w:after="0"/>
              <w:pStyle w:val="Compact"/>
            </w:pPr>
            <w:r>
              <w:rPr>
                <w:sz w:val="20"/>
                <w:szCs w:val="20"/>
              </w:rPr>
              <w:t xml:space="preserve">1.1012</w:t>
            </w:r>
          </w:p>
        </w:tc>
        <w:tc>
          <w:tcPr>
            <w:tcW w:w="0" w:type="auto"/>
          </w:tcPr>
          <w:p>
            <w:pPr>
              <w:spacing w:line="240" w:lineRule="auto" w:before="0" w:after="0"/>
              <w:pStyle w:val="Compact"/>
            </w:pPr>
            <w:r>
              <w:rPr>
                <w:sz w:val="20"/>
                <w:szCs w:val="20"/>
              </w:rPr>
              <w:t xml:space="preserve">2.785</w:t>
            </w:r>
          </w:p>
        </w:tc>
        <w:tc>
          <w:tcPr>
            <w:tcW w:w="0" w:type="auto"/>
          </w:tcPr>
          <w:p>
            <w:pPr>
              <w:spacing w:line="240" w:lineRule="auto" w:before="0" w:after="0"/>
              <w:pStyle w:val="Compact"/>
            </w:pPr>
            <w:r>
              <w:rPr>
                <w:sz w:val="20"/>
                <w:szCs w:val="20"/>
              </w:rPr>
              <w:t xml:space="preserve">0.0054</w:t>
            </w:r>
          </w:p>
        </w:tc>
        <w:tc>
          <w:tcPr>
            <w:tcW w:w="0" w:type="auto"/>
          </w:tcPr>
          <w:p>
            <w:pPr>
              <w:spacing w:line="240" w:lineRule="auto" w:before="0" w:after="0"/>
              <w:pStyle w:val="Compact"/>
            </w:pPr>
            <w:r>
              <w:rPr>
                <w:sz w:val="20"/>
                <w:szCs w:val="20"/>
              </w:rPr>
              <w:t xml:space="preserve">[0.9085, 5.2251]</w:t>
            </w:r>
          </w:p>
        </w:tc>
      </w:tr>
      <w:tr>
        <w:tc>
          <w:tcPr>
            <w:tcW w:w="0" w:type="auto"/>
          </w:tcPr>
          <w:p>
            <w:pPr>
              <w:spacing w:line="240" w:lineRule="auto" w:before="0" w:after="0"/>
              <w:pStyle w:val="Compact"/>
            </w:pPr>
            <w:r>
              <w:rPr>
                <w:sz w:val="20"/>
                <w:szCs w:val="20"/>
              </w:rPr>
              <w:t xml:space="preserve">is_nuclear</w:t>
            </w:r>
          </w:p>
        </w:tc>
        <w:tc>
          <w:tcPr>
            <w:tcW w:w="0" w:type="auto"/>
          </w:tcPr>
          <w:p>
            <w:pPr>
              <w:spacing w:line="240" w:lineRule="auto" w:before="0" w:after="0"/>
              <w:pStyle w:val="Compact"/>
            </w:pPr>
            <w:r>
              <w:rPr>
                <w:sz w:val="20"/>
                <w:szCs w:val="20"/>
              </w:rPr>
              <w:t xml:space="preserve">0.2617</w:t>
            </w:r>
          </w:p>
        </w:tc>
        <w:tc>
          <w:tcPr>
            <w:tcW w:w="0" w:type="auto"/>
          </w:tcPr>
          <w:p>
            <w:pPr>
              <w:spacing w:line="240" w:lineRule="auto" w:before="0" w:after="0"/>
              <w:pStyle w:val="Compact"/>
            </w:pPr>
            <w:r>
              <w:rPr>
                <w:sz w:val="20"/>
                <w:szCs w:val="20"/>
              </w:rPr>
              <w:t xml:space="preserve">1.0995</w:t>
            </w:r>
          </w:p>
        </w:tc>
        <w:tc>
          <w:tcPr>
            <w:tcW w:w="0" w:type="auto"/>
          </w:tcPr>
          <w:p>
            <w:pPr>
              <w:spacing w:line="240" w:lineRule="auto" w:before="0" w:after="0"/>
              <w:pStyle w:val="Compact"/>
            </w:pPr>
            <w:r>
              <w:rPr>
                <w:sz w:val="20"/>
                <w:szCs w:val="20"/>
              </w:rPr>
              <w:t xml:space="preserve">0.238</w:t>
            </w:r>
          </w:p>
        </w:tc>
        <w:tc>
          <w:tcPr>
            <w:tcW w:w="0" w:type="auto"/>
          </w:tcPr>
          <w:p>
            <w:pPr>
              <w:spacing w:line="240" w:lineRule="auto" w:before="0" w:after="0"/>
              <w:pStyle w:val="Compact"/>
            </w:pPr>
            <w:r>
              <w:rPr>
                <w:sz w:val="20"/>
                <w:szCs w:val="20"/>
              </w:rPr>
              <w:t xml:space="preserve">0.8119</w:t>
            </w:r>
          </w:p>
        </w:tc>
        <w:tc>
          <w:tcPr>
            <w:tcW w:w="0" w:type="auto"/>
          </w:tcPr>
          <w:p>
            <w:pPr>
              <w:spacing w:line="240" w:lineRule="auto" w:before="0" w:after="0"/>
              <w:pStyle w:val="Compact"/>
            </w:pPr>
            <w:r>
              <w:rPr>
                <w:sz w:val="20"/>
                <w:szCs w:val="20"/>
              </w:rPr>
              <w:t xml:space="preserve">[-1.8933, 2.4166]</w:t>
            </w:r>
          </w:p>
        </w:tc>
      </w:tr>
    </w:tbl>
    <w:p>
      <w:pPr>
        <w:pStyle w:val="BodyText"/>
        <w:spacing w:line="480" w:lineRule="auto"/>
        <w:ind w:firstLine="720"/>
      </w:pPr>
      <w:r>
        <w:t xml:space="preserve">Fit: N = 25 R2 = 0.5649 R2_adj = 0.4779 F = 3.724 F_p = 0.0201</w:t>
      </w:r>
    </w:p>
    <w:bookmarkEnd w:id="182"/>
    <w:bookmarkStart w:id="18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Figure 1. Rank-weighted final score and preference points in Delphi energy technology rankings." title="" id="184" name="Picture"/>
            <a:graphic>
              <a:graphicData uri="http://schemas.openxmlformats.org/drawingml/2006/picture">
                <pic:pic>
                  <pic:nvPicPr>
                    <pic:cNvPr descr="D:/Claude_Code/brain/collegium/candidates/dissertations/CISLUNAR_DEV_02/research_papers/p1/paper_fig1.png" id="185" name="Picture"/>
                    <pic:cNvPicPr>
                      <a:picLocks noChangeArrowheads="1" noChangeAspect="1"/>
                    </pic:cNvPicPr>
                  </pic:nvPicPr>
                  <pic:blipFill>
                    <a:blip r:embed="rId1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Figure 1. Rank-weighted final score and preference points in Delphi energy technology rankings.</w:t>
      </w:r>
    </w:p>
    <w:bookmarkEnd w:id="186"/>
    <w:bookmarkStart w:id="18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technology</w:t>
            </w:r>
          </w:p>
        </w:tc>
        <w:tc>
          <w:tcPr>
            <w:tcW w:w="0" w:type="auto"/>
          </w:tcPr>
          <w:p>
            <w:pPr>
              <w:spacing w:line="240" w:lineRule="auto" w:before="0" w:after="0"/>
              <w:pStyle w:val="Compact"/>
            </w:pPr>
            <w:r>
              <w:rPr>
                <w:sz w:val="20"/>
                <w:szCs w:val="20"/>
              </w:rPr>
              <w:t xml:space="preserve">rank_position</w:t>
            </w:r>
          </w:p>
        </w:tc>
        <w:tc>
          <w:tcPr>
            <w:tcW w:w="0" w:type="auto"/>
          </w:tcPr>
          <w:p>
            <w:pPr>
              <w:spacing w:line="240" w:lineRule="auto" w:before="0" w:after="0"/>
              <w:pStyle w:val="Compact"/>
            </w:pPr>
            <w:r>
              <w:rPr>
                <w:sz w:val="20"/>
                <w:szCs w:val="20"/>
              </w:rPr>
              <w:t xml:space="preserve">rank_weight</w:t>
            </w:r>
          </w:p>
        </w:tc>
        <w:tc>
          <w:tcPr>
            <w:tcW w:w="0" w:type="auto"/>
          </w:tcPr>
          <w:p>
            <w:pPr>
              <w:spacing w:line="240" w:lineRule="auto" w:before="0" w:after="0"/>
              <w:pStyle w:val="Compact"/>
            </w:pPr>
            <w:r>
              <w:rPr>
                <w:sz w:val="20"/>
                <w:szCs w:val="20"/>
              </w:rPr>
              <w:t xml:space="preserve">vote_count</w:t>
            </w:r>
          </w:p>
        </w:tc>
        <w:tc>
          <w:tcPr>
            <w:tcW w:w="0" w:type="auto"/>
          </w:tcPr>
          <w:p>
            <w:pPr>
              <w:spacing w:line="240" w:lineRule="auto" w:before="0" w:after="0"/>
              <w:pStyle w:val="Compact"/>
            </w:pPr>
            <w:r>
              <w:rPr>
                <w:sz w:val="20"/>
                <w:szCs w:val="20"/>
              </w:rPr>
              <w:t xml:space="preserve">final_score</w:t>
            </w:r>
          </w:p>
        </w:tc>
        <w:tc>
          <w:tcPr>
            <w:tcW w:w="0" w:type="auto"/>
          </w:tcPr>
          <w:p>
            <w:pPr>
              <w:spacing w:line="240" w:lineRule="auto" w:before="0" w:after="0"/>
              <w:pStyle w:val="Compact"/>
            </w:pPr>
            <w:r>
              <w:rPr>
                <w:sz w:val="20"/>
                <w:szCs w:val="20"/>
              </w:rPr>
              <w:t xml:space="preserve">change_from_round2</w:t>
            </w:r>
          </w:p>
        </w:tc>
        <w:tc>
          <w:tcPr>
            <w:tcW w:w="0" w:type="auto"/>
          </w:tcPr>
          <w:p>
            <w:pPr>
              <w:spacing w:line="240" w:lineRule="auto" w:before="0" w:after="0"/>
              <w:pStyle w:val="Compact"/>
            </w:pPr>
            <w:r>
              <w:rPr>
                <w:sz w:val="20"/>
                <w:szCs w:val="20"/>
              </w:rPr>
              <w:t xml:space="preserve">is_nuclear</w:t>
            </w:r>
          </w:p>
        </w:tc>
        <w:tc>
          <w:tcPr>
            <w:tcW w:w="0" w:type="auto"/>
          </w:tcPr>
          <w:p>
            <w:pPr>
              <w:spacing w:line="240" w:lineRule="auto" w:before="0" w:after="0"/>
              <w:pStyle w:val="Compact"/>
            </w:pPr>
            <w:r>
              <w:rPr>
                <w:sz w:val="20"/>
                <w:szCs w:val="20"/>
              </w:rPr>
              <w:t xml:space="preserve">is_solar_pv</w:t>
            </w:r>
          </w:p>
        </w:tc>
        <w:tc>
          <w:tcPr>
            <w:tcW w:w="0" w:type="auto"/>
          </w:tcPr>
          <w:p>
            <w:pPr>
              <w:spacing w:line="240" w:lineRule="auto" w:before="0" w:after="0"/>
              <w:pStyle w:val="Compact"/>
            </w:pPr>
            <w:r>
              <w:rPr>
                <w:sz w:val="20"/>
                <w:szCs w:val="20"/>
              </w:rPr>
              <w:t xml:space="preserve">is_storage</w:t>
            </w:r>
          </w:p>
        </w:tc>
        <w:tc>
          <w:tcPr>
            <w:tcW w:w="0" w:type="auto"/>
          </w:tcPr>
          <w:p>
            <w:pPr>
              <w:spacing w:line="240" w:lineRule="auto" w:before="0" w:after="0"/>
              <w:pStyle w:val="Compact"/>
            </w:pPr>
            <w:r>
              <w:rPr>
                <w:sz w:val="20"/>
                <w:szCs w:val="20"/>
              </w:rPr>
              <w:t xml:space="preserve">rank_weight_x_nuclear</w:t>
            </w:r>
          </w:p>
        </w:tc>
        <w:tc>
          <w:tcPr>
            <w:tcW w:w="0" w:type="auto"/>
          </w:tcPr>
          <w:p>
            <w:pPr>
              <w:spacing w:line="240" w:lineRule="auto" w:before="0" w:after="0"/>
              <w:pStyle w:val="Compact"/>
            </w:pPr>
            <w:r>
              <w:rPr>
                <w:sz w:val="20"/>
                <w:szCs w:val="20"/>
              </w:rPr>
              <w:t xml:space="preserve">rank_score_points</w:t>
            </w:r>
          </w:p>
        </w:tc>
        <w:tc>
          <w:tcPr>
            <w:tcW w:w="0" w:type="auto"/>
          </w:tcPr>
          <w:p>
            <w:pPr>
              <w:spacing w:line="240" w:lineRule="auto" w:before="0" w:after="0"/>
              <w:pStyle w:val="Compact"/>
            </w:pPr>
            <w:r>
              <w:rPr>
                <w:sz w:val="20"/>
                <w:szCs w:val="20"/>
              </w:rPr>
              <w:t xml:space="preserve">rank_weight_x_final_score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Solar photovoltaic</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0.397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21.6</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photovoltaic</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0.397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17.28</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photovoltaic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0.397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12.96</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photovoltaic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0.397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8.64</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photovoltaic</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0.397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Regenerative fuel cells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3.01</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15.05</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Regenerative fuel cells</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3.01</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12.04</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Regenerative fuel cells</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3.01</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9.03</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Regenerative fuel cells</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3.01</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6.02</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Regenerative fuel cells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3.01</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3.01</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concentration thermal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2.92</w:t>
            </w:r>
          </w:p>
        </w:tc>
        <w:tc>
          <w:tcPr>
            <w:tcW w:w="0" w:type="auto"/>
          </w:tcPr>
          <w:p>
            <w:pPr>
              <w:spacing w:line="240" w:lineRule="auto" w:before="0" w:after="0"/>
              <w:pStyle w:val="Compact"/>
            </w:pPr>
            <w:r>
              <w:rPr>
                <w:sz w:val="20"/>
                <w:szCs w:val="20"/>
              </w:rPr>
              <w:t xml:space="preserve">-0.028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concentration thermal</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2.92</w:t>
            </w:r>
          </w:p>
        </w:tc>
        <w:tc>
          <w:tcPr>
            <w:tcW w:w="0" w:type="auto"/>
          </w:tcPr>
          <w:p>
            <w:pPr>
              <w:spacing w:line="240" w:lineRule="auto" w:before="0" w:after="0"/>
              <w:pStyle w:val="Compact"/>
            </w:pPr>
            <w:r>
              <w:rPr>
                <w:sz w:val="20"/>
                <w:szCs w:val="20"/>
              </w:rPr>
              <w:t xml:space="preserve">-0.028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11.68</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concentration thermal</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2.92</w:t>
            </w:r>
          </w:p>
        </w:tc>
        <w:tc>
          <w:tcPr>
            <w:tcW w:w="0" w:type="auto"/>
          </w:tcPr>
          <w:p>
            <w:pPr>
              <w:spacing w:line="240" w:lineRule="auto" w:before="0" w:after="0"/>
              <w:pStyle w:val="Compact"/>
            </w:pPr>
            <w:r>
              <w:rPr>
                <w:sz w:val="20"/>
                <w:szCs w:val="20"/>
              </w:rPr>
              <w:t xml:space="preserve">-0.028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8.76</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concentration thermal</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2.92</w:t>
            </w:r>
          </w:p>
        </w:tc>
        <w:tc>
          <w:tcPr>
            <w:tcW w:w="0" w:type="auto"/>
          </w:tcPr>
          <w:p>
            <w:pPr>
              <w:spacing w:line="240" w:lineRule="auto" w:before="0" w:after="0"/>
              <w:pStyle w:val="Compact"/>
            </w:pPr>
            <w:r>
              <w:rPr>
                <w:sz w:val="20"/>
                <w:szCs w:val="20"/>
              </w:rPr>
              <w:t xml:space="preserve">-0.028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5.84</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concentration thermal</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2.92</w:t>
            </w:r>
          </w:p>
        </w:tc>
        <w:tc>
          <w:tcPr>
            <w:tcW w:w="0" w:type="auto"/>
          </w:tcPr>
          <w:p>
            <w:pPr>
              <w:spacing w:line="240" w:lineRule="auto" w:before="0" w:after="0"/>
              <w:pStyle w:val="Compact"/>
            </w:pPr>
            <w:r>
              <w:rPr>
                <w:sz w:val="20"/>
                <w:szCs w:val="20"/>
              </w:rPr>
              <w:t xml:space="preserve">-0.028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2.92</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Nuclear energy source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2.91</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14.55</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Nuclear energy source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2.91</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11.64</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Nuclear energy source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2.91</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8.73</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Nuclear energy source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2.91</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5.82</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Nuclear energy source</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2.91</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2.91</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concentration electric</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1.83</w:t>
            </w:r>
          </w:p>
        </w:tc>
        <w:tc>
          <w:tcPr>
            <w:tcW w:w="0" w:type="auto"/>
          </w:tcPr>
          <w:p>
            <w:pPr>
              <w:spacing w:line="240" w:lineRule="auto" w:before="0" w:after="0"/>
              <w:pStyle w:val="Compact"/>
            </w:pPr>
            <w:r>
              <w:rPr>
                <w:sz w:val="20"/>
                <w:szCs w:val="20"/>
              </w:rPr>
              <w:t xml:space="preserve">-0.342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9.15</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concentration electric</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1.83</w:t>
            </w:r>
          </w:p>
        </w:tc>
        <w:tc>
          <w:tcPr>
            <w:tcW w:w="0" w:type="auto"/>
          </w:tcPr>
          <w:p>
            <w:pPr>
              <w:spacing w:line="240" w:lineRule="auto" w:before="0" w:after="0"/>
              <w:pStyle w:val="Compact"/>
            </w:pPr>
            <w:r>
              <w:rPr>
                <w:sz w:val="20"/>
                <w:szCs w:val="20"/>
              </w:rPr>
              <w:t xml:space="preserve">-0.342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7.32</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concentration electric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1.83</w:t>
            </w:r>
          </w:p>
        </w:tc>
        <w:tc>
          <w:tcPr>
            <w:tcW w:w="0" w:type="auto"/>
          </w:tcPr>
          <w:p>
            <w:pPr>
              <w:spacing w:line="240" w:lineRule="auto" w:before="0" w:after="0"/>
              <w:pStyle w:val="Compact"/>
            </w:pPr>
            <w:r>
              <w:rPr>
                <w:sz w:val="20"/>
                <w:szCs w:val="20"/>
              </w:rPr>
              <w:t xml:space="preserve">-0.342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5.49</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concentration electric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1.83</w:t>
            </w:r>
          </w:p>
        </w:tc>
        <w:tc>
          <w:tcPr>
            <w:tcW w:w="0" w:type="auto"/>
          </w:tcPr>
          <w:p>
            <w:pPr>
              <w:spacing w:line="240" w:lineRule="auto" w:before="0" w:after="0"/>
              <w:pStyle w:val="Compact"/>
            </w:pPr>
            <w:r>
              <w:rPr>
                <w:sz w:val="20"/>
                <w:szCs w:val="20"/>
              </w:rPr>
              <w:t xml:space="preserve">-0.342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3.66</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Solar concentration electric</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1.83</w:t>
            </w:r>
          </w:p>
        </w:tc>
        <w:tc>
          <w:tcPr>
            <w:tcW w:w="0" w:type="auto"/>
          </w:tcPr>
          <w:p>
            <w:pPr>
              <w:spacing w:line="240" w:lineRule="auto" w:before="0" w:after="0"/>
              <w:pStyle w:val="Compact"/>
            </w:pPr>
            <w:r>
              <w:rPr>
                <w:sz w:val="20"/>
                <w:szCs w:val="20"/>
              </w:rPr>
              <w:t xml:space="preserve">-0.342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1.83</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bl>
    <w:bookmarkEnd w:id="187"/>
    <w:bookmarkStart w:id="188"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rank_score_points</w:t>
            </w:r>
          </w:p>
        </w:tc>
        <w:tc>
          <w:tcPr>
            <w:tcW w:w="0" w:type="auto"/>
          </w:tcPr>
          <w:p>
            <w:pPr>
              <w:spacing w:line="240" w:lineRule="auto" w:before="0" w:after="0"/>
              <w:pStyle w:val="Compact"/>
            </w:pPr>
            <w:r>
              <w:rPr>
                <w:sz w:val="20"/>
                <w:szCs w:val="20"/>
              </w:rPr>
              <w:t xml:space="preserve">Preference points equal vote count times inverse rank weight.</w:t>
            </w:r>
          </w:p>
        </w:tc>
        <w:tc>
          <w:tcPr>
            <w:tcW w:w="0" w:type="auto"/>
          </w:tcPr>
          <w:p>
            <w:pPr>
              <w:spacing w:line="240" w:lineRule="auto" w:before="0" w:after="0"/>
              <w:pStyle w:val="Compact"/>
            </w:pPr>
            <w:r>
              <w:rPr>
                <w:sz w:val="20"/>
                <w:szCs w:val="20"/>
              </w:rPr>
              <w:t xml:space="preserve">Constructed from Spedding et al. 2021 Table 5 rank counts.</w:t>
            </w:r>
          </w:p>
        </w:tc>
      </w:tr>
      <w:tr>
        <w:tc>
          <w:tcPr>
            <w:tcW w:w="0" w:type="auto"/>
          </w:tcPr>
          <w:p>
            <w:pPr>
              <w:spacing w:line="240" w:lineRule="auto" w:before="0" w:after="0"/>
              <w:pStyle w:val="Compact"/>
            </w:pPr>
            <w:r>
              <w:rPr>
                <w:sz w:val="20"/>
                <w:szCs w:val="20"/>
              </w:rPr>
              <w:t xml:space="preserve">rank_weight</w:t>
            </w:r>
          </w:p>
        </w:tc>
        <w:tc>
          <w:tcPr>
            <w:tcW w:w="0" w:type="auto"/>
          </w:tcPr>
          <w:p>
            <w:pPr>
              <w:spacing w:line="240" w:lineRule="auto" w:before="0" w:after="0"/>
              <w:pStyle w:val="Compact"/>
            </w:pPr>
            <w:r>
              <w:rPr>
                <w:sz w:val="20"/>
                <w:szCs w:val="20"/>
              </w:rPr>
              <w:t xml:space="preserve">Inverse rank score, equal to 6 minus rank position so higher values indicate more preferred ranks.</w:t>
            </w:r>
          </w:p>
        </w:tc>
        <w:tc>
          <w:tcPr>
            <w:tcW w:w="0" w:type="auto"/>
          </w:tcPr>
          <w:p>
            <w:pPr>
              <w:spacing w:line="240" w:lineRule="auto" w:before="0" w:after="0"/>
              <w:pStyle w:val="Compact"/>
            </w:pPr>
            <w:r>
              <w:rPr>
                <w:sz w:val="20"/>
                <w:szCs w:val="20"/>
              </w:rPr>
              <w:t xml:space="preserve">Constructed from Spedding et al. 2021 Table 5 rank columns.</w:t>
            </w:r>
          </w:p>
        </w:tc>
      </w:tr>
      <w:tr>
        <w:tc>
          <w:tcPr>
            <w:tcW w:w="0" w:type="auto"/>
          </w:tcPr>
          <w:p>
            <w:pPr>
              <w:spacing w:line="240" w:lineRule="auto" w:before="0" w:after="0"/>
              <w:pStyle w:val="Compact"/>
            </w:pPr>
            <w:r>
              <w:rPr>
                <w:sz w:val="20"/>
                <w:szCs w:val="20"/>
              </w:rPr>
              <w:t xml:space="preserve">final_score</w:t>
            </w:r>
          </w:p>
        </w:tc>
        <w:tc>
          <w:tcPr>
            <w:tcW w:w="0" w:type="auto"/>
          </w:tcPr>
          <w:p>
            <w:pPr>
              <w:spacing w:line="240" w:lineRule="auto" w:before="0" w:after="0"/>
              <w:pStyle w:val="Compact"/>
            </w:pPr>
            <w:r>
              <w:rPr>
                <w:sz w:val="20"/>
                <w:szCs w:val="20"/>
              </w:rPr>
              <w:t xml:space="preserve">Published final score for each energy technology ranking.</w:t>
            </w:r>
          </w:p>
        </w:tc>
        <w:tc>
          <w:tcPr>
            <w:tcW w:w="0" w:type="auto"/>
          </w:tcPr>
          <w:p>
            <w:pPr>
              <w:spacing w:line="240" w:lineRule="auto" w:before="0" w:after="0"/>
              <w:pStyle w:val="Compact"/>
            </w:pPr>
            <w:r>
              <w:rPr>
                <w:sz w:val="20"/>
                <w:szCs w:val="20"/>
              </w:rPr>
              <w:t xml:space="preserve">Spedding et al. 2021 Table 5.</w:t>
            </w:r>
          </w:p>
        </w:tc>
      </w:tr>
      <w:tr>
        <w:tc>
          <w:tcPr>
            <w:tcW w:w="0" w:type="auto"/>
          </w:tcPr>
          <w:p>
            <w:pPr>
              <w:spacing w:line="240" w:lineRule="auto" w:before="0" w:after="0"/>
              <w:pStyle w:val="Compact"/>
            </w:pPr>
            <w:r>
              <w:rPr>
                <w:sz w:val="20"/>
                <w:szCs w:val="20"/>
              </w:rPr>
              <w:t xml:space="preserve">rank_weight_x_final_score</w:t>
            </w:r>
          </w:p>
        </w:tc>
        <w:tc>
          <w:tcPr>
            <w:tcW w:w="0" w:type="auto"/>
          </w:tcPr>
          <w:p>
            <w:pPr>
              <w:spacing w:line="240" w:lineRule="auto" w:before="0" w:after="0"/>
              <w:pStyle w:val="Compact"/>
            </w:pPr>
            <w:r>
              <w:rPr>
                <w:sz w:val="20"/>
                <w:szCs w:val="20"/>
              </w:rPr>
              <w:t xml:space="preserve">Interaction between rank weight and the published final score.</w:t>
            </w:r>
          </w:p>
        </w:tc>
        <w:tc>
          <w:tcPr>
            <w:tcW w:w="0" w:type="auto"/>
          </w:tcPr>
          <w:p>
            <w:pPr>
              <w:spacing w:line="240" w:lineRule="auto" w:before="0" w:after="0"/>
              <w:pStyle w:val="Compact"/>
            </w:pPr>
            <w:r>
              <w:rPr>
                <w:sz w:val="20"/>
                <w:szCs w:val="20"/>
              </w:rPr>
              <w:t xml:space="preserve">Constructed from Table 5 values.</w:t>
            </w:r>
          </w:p>
        </w:tc>
      </w:tr>
      <w:tr>
        <w:tc>
          <w:tcPr>
            <w:tcW w:w="0" w:type="auto"/>
          </w:tcPr>
          <w:p>
            <w:pPr>
              <w:spacing w:line="240" w:lineRule="auto" w:before="0" w:after="0"/>
              <w:pStyle w:val="Compact"/>
            </w:pPr>
            <w:r>
              <w:rPr>
                <w:sz w:val="20"/>
                <w:szCs w:val="20"/>
              </w:rPr>
              <w:t xml:space="preserve">is_nuclear</w:t>
            </w:r>
          </w:p>
        </w:tc>
        <w:tc>
          <w:tcPr>
            <w:tcW w:w="0" w:type="auto"/>
          </w:tcPr>
          <w:p>
            <w:pPr>
              <w:spacing w:line="240" w:lineRule="auto" w:before="0" w:after="0"/>
              <w:pStyle w:val="Compact"/>
            </w:pPr>
            <w:r>
              <w:rPr>
                <w:sz w:val="20"/>
                <w:szCs w:val="20"/>
              </w:rPr>
              <w:t xml:space="preserve">Indicator for the nuclear energy source row.</w:t>
            </w:r>
          </w:p>
        </w:tc>
        <w:tc>
          <w:tcPr>
            <w:tcW w:w="0" w:type="auto"/>
          </w:tcPr>
          <w:p>
            <w:pPr>
              <w:spacing w:line="240" w:lineRule="auto" w:before="0" w:after="0"/>
              <w:pStyle w:val="Compact"/>
            </w:pPr>
            <w:r>
              <w:rPr>
                <w:sz w:val="20"/>
                <w:szCs w:val="20"/>
              </w:rPr>
              <w:t xml:space="preserve">Constructed from the technology label in Table 5.</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Observation source note.</w:t>
            </w:r>
          </w:p>
        </w:tc>
        <w:tc>
          <w:tcPr>
            <w:tcW w:w="0" w:type="auto"/>
          </w:tcPr>
          <w:p>
            <w:pPr>
              <w:spacing w:line="240" w:lineRule="auto" w:before="0" w:after="0"/>
              <w:pStyle w:val="Compact"/>
            </w:pPr>
            <w:r>
              <w:rPr>
                <w:sz w:val="20"/>
                <w:szCs w:val="20"/>
              </w:rPr>
              <w:t xml:space="preserve">Last column from the compiled data CSV.</w:t>
            </w:r>
          </w:p>
        </w:tc>
      </w:tr>
    </w:tbl>
    <w:bookmarkEnd w:id="188"/>
    <w:bookmarkEnd w:id="189"/>
    <w:bookmarkStart w:id="197" w:name="Xf12e4926f44d8a1b4573822576ae58b1f9bd1cf"/>
    <w:p>
      <w:pPr>
        <w:pStyle w:val="Heading2"/>
        <w:spacing w:line="480" w:lineRule="auto"/>
      </w:pPr>
      <w:r>
        <w:t xml:space="preserve">A.2 Consensus Strength and Lunar Outpost Power Demand Signals</w:t>
      </w:r>
    </w:p>
    <w:p>
      <w:pPr>
        <w:pStyle w:val="FirstParagraph"/>
        <w:spacing w:line="480" w:lineRule="auto"/>
      </w:pPr>
      <m:oMathPara>
        <m:oMathParaPr>
          <m:jc m:val="center"/>
        </m:oMathParaPr>
        <m:oMath>
          <m:r>
            <m:rPr>
              <m:sty m:val="p"/>
            </m:rPr>
            <m:t>ln</m:t>
          </m:r>
          <m:r>
            <m:rPr>
              <m:sty m:val="p"/>
            </m:rPr>
            <m:t>(</m:t>
          </m:r>
          <m:sSub>
            <m:e>
              <m:r>
                <m:t>A</m:t>
              </m:r>
            </m:e>
            <m:sub>
              <m:r>
                <m:t>i</m:t>
              </m:r>
            </m:sub>
          </m:sSub>
          <m:r>
            <m:rPr>
              <m:sty m:val="p"/>
            </m:rPr>
            <m:t>)</m:t>
          </m:r>
          <m:r>
            <m:rPr>
              <m:sty m:val="p"/>
            </m:rPr>
            <m:t>=</m:t>
          </m:r>
          <m:r>
            <m:t>α</m:t>
          </m:r>
          <m:r>
            <m:rPr>
              <m:sty m:val="p"/>
            </m:rPr>
            <m:t>+</m:t>
          </m:r>
          <m:r>
            <m:t>β</m:t>
          </m:r>
          <m:r>
            <m:rPr>
              <m:sty m:val="p"/>
            </m:rPr>
            <m:t>ln</m:t>
          </m:r>
          <m:r>
            <m:rPr>
              <m:sty m:val="p"/>
            </m:rPr>
            <m:t>(</m:t>
          </m:r>
          <m:sSub>
            <m:e>
              <m:r>
                <m:t>M</m:t>
              </m:r>
            </m:e>
            <m:sub>
              <m:r>
                <m:t>i</m:t>
              </m:r>
            </m:sub>
          </m:sSub>
          <m:r>
            <m:rPr>
              <m:sty m:val="p"/>
            </m:rPr>
            <m:t>)</m:t>
          </m:r>
          <m:r>
            <m:rPr>
              <m:sty m:val="p"/>
            </m:rPr>
            <m:t>+</m:t>
          </m:r>
          <m:sSub>
            <m:e>
              <m:r>
                <m:t>ε</m:t>
              </m:r>
            </m:e>
            <m:sub>
              <m:r>
                <m:t>i</m:t>
              </m:r>
            </m:sub>
          </m:sSub>
        </m:oMath>
      </m:oMathPara>
    </w:p>
    <w:bookmarkStart w:id="19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1.4971</w:t>
            </w:r>
          </w:p>
        </w:tc>
        <w:tc>
          <w:tcPr>
            <w:tcW w:w="0" w:type="auto"/>
          </w:tcPr>
          <w:p>
            <w:pPr>
              <w:spacing w:line="240" w:lineRule="auto" w:before="0" w:after="0"/>
              <w:pStyle w:val="Compact"/>
            </w:pPr>
            <w:r>
              <w:rPr>
                <w:sz w:val="20"/>
                <w:szCs w:val="20"/>
              </w:rPr>
              <w:t xml:space="preserve">0.6496</w:t>
            </w:r>
          </w:p>
        </w:tc>
        <w:tc>
          <w:tcPr>
            <w:tcW w:w="0" w:type="auto"/>
          </w:tcPr>
          <w:p>
            <w:pPr>
              <w:spacing w:line="240" w:lineRule="auto" w:before="0" w:after="0"/>
              <w:pStyle w:val="Compact"/>
            </w:pPr>
            <w:r>
              <w:rPr>
                <w:sz w:val="20"/>
                <w:szCs w:val="20"/>
              </w:rPr>
              <w:t xml:space="preserve">2.3046</w:t>
            </w:r>
          </w:p>
        </w:tc>
        <w:tc>
          <w:tcPr>
            <w:tcW w:w="0" w:type="auto"/>
          </w:tcPr>
          <w:p>
            <w:pPr>
              <w:spacing w:line="240" w:lineRule="auto" w:before="0" w:after="0"/>
              <w:pStyle w:val="Compact"/>
            </w:pPr>
            <w:r>
              <w:rPr>
                <w:sz w:val="20"/>
                <w:szCs w:val="20"/>
              </w:rPr>
              <w:t xml:space="preserve">0.0212</w:t>
            </w:r>
          </w:p>
        </w:tc>
        <w:tc>
          <w:tcPr>
            <w:tcW w:w="0" w:type="auto"/>
          </w:tcPr>
          <w:p>
            <w:pPr>
              <w:spacing w:line="240" w:lineRule="auto" w:before="0" w:after="0"/>
              <w:pStyle w:val="Compact"/>
            </w:pPr>
            <w:r>
              <w:rPr>
                <w:sz w:val="20"/>
                <w:szCs w:val="20"/>
              </w:rPr>
              <w:t xml:space="preserve">[0.2239, 2.7703]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2.656</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4.4279</w:t>
            </w:r>
          </w:p>
        </w:tc>
        <w:tc>
          <w:tcPr>
            <w:tcW w:w="0" w:type="auto"/>
          </w:tcPr>
          <w:p>
            <w:pPr>
              <w:spacing w:line="240" w:lineRule="auto" w:before="0" w:after="0"/>
              <w:pStyle w:val="Compact"/>
            </w:pPr>
            <w:r>
              <w:rPr>
                <w:sz w:val="20"/>
                <w:szCs w:val="20"/>
              </w:rPr>
              <w:t xml:space="preserve">9.514e-06</w:t>
            </w:r>
          </w:p>
        </w:tc>
        <w:tc>
          <w:tcPr>
            <w:tcW w:w="0" w:type="auto"/>
          </w:tcPr>
          <w:p>
            <w:pPr>
              <w:spacing w:line="240" w:lineRule="auto" w:before="0" w:after="0"/>
              <w:pStyle w:val="Compact"/>
            </w:pPr>
            <w:r>
              <w:rPr>
                <w:sz w:val="20"/>
                <w:szCs w:val="20"/>
              </w:rPr>
              <w:t xml:space="preserve">[1.4803, 3.8316]</w:t>
            </w:r>
          </w:p>
        </w:tc>
      </w:tr>
    </w:tbl>
    <w:p>
      <w:pPr>
        <w:pStyle w:val="BodyText"/>
        <w:spacing w:line="480" w:lineRule="auto"/>
        <w:ind w:firstLine="720"/>
      </w:pPr>
      <w:r>
        <w:t xml:space="preserve">Fit: N = 19 R2 = 0.7846 elasticity_b = 2.656 progress_ratio_2^b = 6.3027</w:t>
      </w:r>
    </w:p>
    <w:bookmarkEnd w:id="190"/>
    <w:bookmarkStart w:id="19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Figure 1. Median Likert position and agreement share across stable Delphi statements." title="" id="192" name="Picture"/>
            <a:graphic>
              <a:graphicData uri="http://schemas.openxmlformats.org/drawingml/2006/picture">
                <pic:pic>
                  <pic:nvPicPr>
                    <pic:cNvPr descr="D:/Claude_Code/brain/collegium/candidates/dissertations/CISLUNAR_DEV_02/research_papers/p2/paper_fig1.png" id="193" name="Picture"/>
                    <pic:cNvPicPr>
                      <a:picLocks noChangeArrowheads="1" noChangeAspect="1"/>
                    </pic:cNvPicPr>
                  </pic:nvPicPr>
                  <pic:blipFill>
                    <a:blip r:embed="rId19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Figure 1. Median Likert position and agreement share across stable Delphi statements.</w:t>
      </w:r>
    </w:p>
    <w:bookmarkEnd w:id="194"/>
    <w:bookmarkStart w:id="19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495"/>
        <w:gridCol w:w="495"/>
        <w:gridCol w:w="495"/>
        <w:gridCol w:w="495"/>
        <w:gridCol w:w="495"/>
        <w:gridCol w:w="495"/>
        <w:gridCol w:w="495"/>
        <w:gridCol w:w="495"/>
        <w:gridCol w:w="495"/>
        <w:gridCol w:w="495"/>
        <w:gridCol w:w="495"/>
        <w:gridCol w:w="495"/>
        <w:gridCol w:w="495"/>
        <w:gridCol w:w="495"/>
        <w:gridCol w:w="495"/>
        <w:gridCol w:w="495"/>
      </w:tblGrid>
      <w:tr>
        <w:trPr>
          <w:tblHeader w:val="on"/>
        </w:trPr>
        <w:tc>
          <w:tcPr>
            <w:tcW w:w="0" w:type="auto"/>
          </w:tcPr>
          <w:p>
            <w:pPr>
              <w:spacing w:line="240" w:lineRule="auto" w:before="0" w:after="0"/>
              <w:pStyle w:val="Compact"/>
            </w:pPr>
            <w:r>
              <w:rPr>
                <w:sz w:val="20"/>
                <w:szCs w:val="20"/>
              </w:rPr>
              <w:t xml:space="preserve">statement_id</w:t>
            </w:r>
          </w:p>
        </w:tc>
        <w:tc>
          <w:tcPr>
            <w:tcW w:w="0" w:type="auto"/>
          </w:tcPr>
          <w:p>
            <w:pPr>
              <w:spacing w:line="240" w:lineRule="auto" w:before="0" w:after="0"/>
              <w:pStyle w:val="Compact"/>
            </w:pPr>
            <w:r>
              <w:rPr>
                <w:sz w:val="20"/>
                <w:szCs w:val="20"/>
              </w:rPr>
              <w:t xml:space="preserve">statement</w:t>
            </w:r>
          </w:p>
        </w:tc>
        <w:tc>
          <w:tcPr>
            <w:tcW w:w="0" w:type="auto"/>
          </w:tcPr>
          <w:p>
            <w:pPr>
              <w:spacing w:line="240" w:lineRule="auto" w:before="0" w:after="0"/>
              <w:pStyle w:val="Compact"/>
            </w:pPr>
            <w:r>
              <w:rPr>
                <w:sz w:val="20"/>
                <w:szCs w:val="20"/>
              </w:rPr>
              <w:t xml:space="preserve">theme</w:t>
            </w:r>
          </w:p>
        </w:tc>
        <w:tc>
          <w:tcPr>
            <w:tcW w:w="0" w:type="auto"/>
          </w:tcPr>
          <w:p>
            <w:pPr>
              <w:spacing w:line="240" w:lineRule="auto" w:before="0" w:after="0"/>
              <w:pStyle w:val="Compact"/>
            </w:pPr>
            <w:r>
              <w:rPr>
                <w:sz w:val="20"/>
                <w:szCs w:val="20"/>
              </w:rPr>
              <w:t xml:space="preserve">source_table</w:t>
            </w:r>
          </w:p>
        </w:tc>
        <w:tc>
          <w:tcPr>
            <w:tcW w:w="0" w:type="auto"/>
          </w:tcPr>
          <w:p>
            <w:pPr>
              <w:spacing w:line="240" w:lineRule="auto" w:before="0" w:after="0"/>
              <w:pStyle w:val="Compact"/>
            </w:pPr>
            <w:r>
              <w:rPr>
                <w:sz w:val="20"/>
                <w:szCs w:val="20"/>
              </w:rPr>
              <w:t xml:space="preserve">strongly_disagree_pct</w:t>
            </w:r>
          </w:p>
        </w:tc>
        <w:tc>
          <w:tcPr>
            <w:tcW w:w="0" w:type="auto"/>
          </w:tcPr>
          <w:p>
            <w:pPr>
              <w:spacing w:line="240" w:lineRule="auto" w:before="0" w:after="0"/>
              <w:pStyle w:val="Compact"/>
            </w:pPr>
            <w:r>
              <w:rPr>
                <w:sz w:val="20"/>
                <w:szCs w:val="20"/>
              </w:rPr>
              <w:t xml:space="preserve">disagree_pct</w:t>
            </w:r>
          </w:p>
        </w:tc>
        <w:tc>
          <w:tcPr>
            <w:tcW w:w="0" w:type="auto"/>
          </w:tcPr>
          <w:p>
            <w:pPr>
              <w:spacing w:line="240" w:lineRule="auto" w:before="0" w:after="0"/>
              <w:pStyle w:val="Compact"/>
            </w:pPr>
            <w:r>
              <w:rPr>
                <w:sz w:val="20"/>
                <w:szCs w:val="20"/>
              </w:rPr>
              <w:t xml:space="preserve">agree_pct</w:t>
            </w:r>
          </w:p>
        </w:tc>
        <w:tc>
          <w:tcPr>
            <w:tcW w:w="0" w:type="auto"/>
          </w:tcPr>
          <w:p>
            <w:pPr>
              <w:spacing w:line="240" w:lineRule="auto" w:before="0" w:after="0"/>
              <w:pStyle w:val="Compact"/>
            </w:pPr>
            <w:r>
              <w:rPr>
                <w:sz w:val="20"/>
                <w:szCs w:val="20"/>
              </w:rPr>
              <w:t xml:space="preserve">strongly_agree_pct</w:t>
            </w:r>
          </w:p>
        </w:tc>
        <w:tc>
          <w:tcPr>
            <w:tcW w:w="0" w:type="auto"/>
          </w:tcPr>
          <w:p>
            <w:pPr>
              <w:spacing w:line="240" w:lineRule="auto" w:before="0" w:after="0"/>
              <w:pStyle w:val="Compact"/>
            </w:pPr>
            <w:r>
              <w:rPr>
                <w:sz w:val="20"/>
                <w:szCs w:val="20"/>
              </w:rPr>
              <w:t xml:space="preserve">agreement_share_pct</w:t>
            </w:r>
          </w:p>
        </w:tc>
        <w:tc>
          <w:tcPr>
            <w:tcW w:w="0" w:type="auto"/>
          </w:tcPr>
          <w:p>
            <w:pPr>
              <w:spacing w:line="240" w:lineRule="auto" w:before="0" w:after="0"/>
              <w:pStyle w:val="Compact"/>
            </w:pPr>
            <w:r>
              <w:rPr>
                <w:sz w:val="20"/>
                <w:szCs w:val="20"/>
              </w:rPr>
              <w:t xml:space="preserve">strong_agreement_share_pct</w:t>
            </w:r>
          </w:p>
        </w:tc>
        <w:tc>
          <w:tcPr>
            <w:tcW w:w="0" w:type="auto"/>
          </w:tcPr>
          <w:p>
            <w:pPr>
              <w:spacing w:line="240" w:lineRule="auto" w:before="0" w:after="0"/>
              <w:pStyle w:val="Compact"/>
            </w:pPr>
            <w:r>
              <w:rPr>
                <w:sz w:val="20"/>
                <w:szCs w:val="20"/>
              </w:rPr>
              <w:t xml:space="preserve">iqr</w:t>
            </w:r>
          </w:p>
        </w:tc>
        <w:tc>
          <w:tcPr>
            <w:tcW w:w="0" w:type="auto"/>
          </w:tcPr>
          <w:p>
            <w:pPr>
              <w:spacing w:line="240" w:lineRule="auto" w:before="0" w:after="0"/>
              <w:pStyle w:val="Compact"/>
            </w:pPr>
            <w:r>
              <w:rPr>
                <w:sz w:val="20"/>
                <w:szCs w:val="20"/>
              </w:rPr>
              <w:t xml:space="preserve">median_likert</w:t>
            </w:r>
          </w:p>
        </w:tc>
        <w:tc>
          <w:tcPr>
            <w:tcW w:w="0" w:type="auto"/>
          </w:tcPr>
          <w:p>
            <w:pPr>
              <w:spacing w:line="240" w:lineRule="auto" w:before="0" w:after="0"/>
              <w:pStyle w:val="Compact"/>
            </w:pPr>
            <w:r>
              <w:rPr>
                <w:sz w:val="20"/>
                <w:szCs w:val="20"/>
              </w:rPr>
              <w:t xml:space="preserve">consensus_strength</w:t>
            </w:r>
          </w:p>
        </w:tc>
        <w:tc>
          <w:tcPr>
            <w:tcW w:w="0" w:type="auto"/>
          </w:tcPr>
          <w:p>
            <w:pPr>
              <w:spacing w:line="240" w:lineRule="auto" w:before="0" w:after="0"/>
              <w:pStyle w:val="Compact"/>
            </w:pPr>
            <w:r>
              <w:rPr>
                <w:sz w:val="20"/>
                <w:szCs w:val="20"/>
              </w:rPr>
              <w:t xml:space="preserve">is_power_or_nuclear</w:t>
            </w:r>
          </w:p>
        </w:tc>
        <w:tc>
          <w:tcPr>
            <w:tcW w:w="0" w:type="auto"/>
          </w:tcPr>
          <w:p>
            <w:pPr>
              <w:spacing w:line="240" w:lineRule="auto" w:before="0" w:after="0"/>
              <w:pStyle w:val="Compact"/>
            </w:pPr>
            <w:r>
              <w:rPr>
                <w:sz w:val="20"/>
                <w:szCs w:val="20"/>
              </w:rPr>
              <w:t xml:space="preserve">is_isru</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Mineral extraction demonstration and development phase</w:t>
            </w:r>
          </w:p>
        </w:tc>
        <w:tc>
          <w:tcPr>
            <w:tcW w:w="0" w:type="auto"/>
          </w:tcPr>
          <w:p>
            <w:pPr>
              <w:spacing w:line="240" w:lineRule="auto" w:before="0" w:after="0"/>
              <w:pStyle w:val="Compact"/>
            </w:pPr>
            <w:r>
              <w:rPr>
                <w:sz w:val="20"/>
                <w:szCs w:val="20"/>
              </w:rPr>
              <w:t xml:space="preserve">isru</w:t>
            </w:r>
          </w:p>
        </w:tc>
        <w:tc>
          <w:tcPr>
            <w:tcW w:w="0" w:type="auto"/>
          </w:tcPr>
          <w:p>
            <w:pPr>
              <w:spacing w:line="240" w:lineRule="auto" w:before="0" w:after="0"/>
              <w:pStyle w:val="Compact"/>
            </w:pPr>
            <w:r>
              <w:rPr>
                <w:sz w:val="20"/>
                <w:szCs w:val="20"/>
              </w:rPr>
              <w:t xml:space="preserve">Table 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First successful human return to Moon surface during 2026 to 2030</w:t>
            </w:r>
          </w:p>
        </w:tc>
        <w:tc>
          <w:tcPr>
            <w:tcW w:w="0" w:type="auto"/>
          </w:tcPr>
          <w:p>
            <w:pPr>
              <w:spacing w:line="240" w:lineRule="auto" w:before="0" w:after="0"/>
              <w:pStyle w:val="Compact"/>
            </w:pPr>
            <w:r>
              <w:rPr>
                <w:sz w:val="20"/>
                <w:szCs w:val="20"/>
              </w:rPr>
              <w:t xml:space="preserve">timeline</w:t>
            </w:r>
          </w:p>
        </w:tc>
        <w:tc>
          <w:tcPr>
            <w:tcW w:w="0" w:type="auto"/>
          </w:tcPr>
          <w:p>
            <w:pPr>
              <w:spacing w:line="240" w:lineRule="auto" w:before="0" w:after="0"/>
              <w:pStyle w:val="Compact"/>
            </w:pPr>
            <w:r>
              <w:rPr>
                <w:sz w:val="20"/>
                <w:szCs w:val="20"/>
              </w:rPr>
              <w:t xml:space="preserve">Table 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Crewed Martian surface missions by 2040</w:t>
            </w:r>
          </w:p>
        </w:tc>
        <w:tc>
          <w:tcPr>
            <w:tcW w:w="0" w:type="auto"/>
          </w:tcPr>
          <w:p>
            <w:pPr>
              <w:spacing w:line="240" w:lineRule="auto" w:before="0" w:after="0"/>
              <w:pStyle w:val="Compact"/>
            </w:pPr>
            <w:r>
              <w:rPr>
                <w:sz w:val="20"/>
                <w:szCs w:val="20"/>
              </w:rPr>
              <w:t xml:space="preserve">timeline</w:t>
            </w:r>
          </w:p>
        </w:tc>
        <w:tc>
          <w:tcPr>
            <w:tcW w:w="0" w:type="auto"/>
          </w:tcPr>
          <w:p>
            <w:pPr>
              <w:spacing w:line="240" w:lineRule="auto" w:before="0" w:after="0"/>
              <w:pStyle w:val="Compact"/>
            </w:pPr>
            <w:r>
              <w:rPr>
                <w:sz w:val="20"/>
                <w:szCs w:val="20"/>
              </w:rPr>
              <w:t xml:space="preserve">Table 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Any ISRU technology at TRL 5 during detailed definition planning</w:t>
            </w:r>
          </w:p>
        </w:tc>
        <w:tc>
          <w:tcPr>
            <w:tcW w:w="0" w:type="auto"/>
          </w:tcPr>
          <w:p>
            <w:pPr>
              <w:spacing w:line="240" w:lineRule="auto" w:before="0" w:after="0"/>
              <w:pStyle w:val="Compact"/>
            </w:pPr>
            <w:r>
              <w:rPr>
                <w:sz w:val="20"/>
                <w:szCs w:val="20"/>
              </w:rPr>
              <w:t xml:space="preserve">isru</w:t>
            </w:r>
          </w:p>
        </w:tc>
        <w:tc>
          <w:tcPr>
            <w:tcW w:w="0" w:type="auto"/>
          </w:tcPr>
          <w:p>
            <w:pPr>
              <w:spacing w:line="240" w:lineRule="auto" w:before="0" w:after="0"/>
              <w:pStyle w:val="Compact"/>
            </w:pPr>
            <w:r>
              <w:rPr>
                <w:sz w:val="20"/>
                <w:szCs w:val="20"/>
              </w:rPr>
              <w:t xml:space="preserve">Table 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Significant private space activities on the Moon in 2040</w:t>
            </w:r>
          </w:p>
        </w:tc>
        <w:tc>
          <w:tcPr>
            <w:tcW w:w="0" w:type="auto"/>
          </w:tcPr>
          <w:p>
            <w:pPr>
              <w:spacing w:line="240" w:lineRule="auto" w:before="0" w:after="0"/>
              <w:pStyle w:val="Compact"/>
            </w:pPr>
            <w:r>
              <w:rPr>
                <w:sz w:val="20"/>
                <w:szCs w:val="20"/>
              </w:rPr>
              <w:t xml:space="preserve">market</w:t>
            </w:r>
          </w:p>
        </w:tc>
        <w:tc>
          <w:tcPr>
            <w:tcW w:w="0" w:type="auto"/>
          </w:tcPr>
          <w:p>
            <w:pPr>
              <w:spacing w:line="240" w:lineRule="auto" w:before="0" w:after="0"/>
              <w:pStyle w:val="Compact"/>
            </w:pPr>
            <w:r>
              <w:rPr>
                <w:sz w:val="20"/>
                <w:szCs w:val="20"/>
              </w:rPr>
              <w:t xml:space="preserve">Table 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Water ice uncertainty will favour regolith reduction for oxygen</w:t>
            </w:r>
          </w:p>
        </w:tc>
        <w:tc>
          <w:tcPr>
            <w:tcW w:w="0" w:type="auto"/>
          </w:tcPr>
          <w:p>
            <w:pPr>
              <w:spacing w:line="240" w:lineRule="auto" w:before="0" w:after="0"/>
              <w:pStyle w:val="Compact"/>
            </w:pPr>
            <w:r>
              <w:rPr>
                <w:sz w:val="20"/>
                <w:szCs w:val="20"/>
              </w:rPr>
              <w:t xml:space="preserve">isru</w:t>
            </w:r>
          </w:p>
        </w:tc>
        <w:tc>
          <w:tcPr>
            <w:tcW w:w="0" w:type="auto"/>
          </w:tcPr>
          <w:p>
            <w:pPr>
              <w:spacing w:line="240" w:lineRule="auto" w:before="0" w:after="0"/>
              <w:pStyle w:val="Compact"/>
            </w:pPr>
            <w:r>
              <w:rPr>
                <w:sz w:val="20"/>
                <w:szCs w:val="20"/>
              </w:rPr>
              <w:t xml:space="preserve">Table 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Specific mass is primary consideration for power system design</w:t>
            </w:r>
          </w:p>
        </w:tc>
        <w:tc>
          <w:tcPr>
            <w:tcW w:w="0" w:type="auto"/>
          </w:tcPr>
          <w:p>
            <w:pPr>
              <w:spacing w:line="240" w:lineRule="auto" w:before="0" w:after="0"/>
              <w:pStyle w:val="Compact"/>
            </w:pPr>
            <w:r>
              <w:rPr>
                <w:sz w:val="20"/>
                <w:szCs w:val="20"/>
              </w:rPr>
              <w:t xml:space="preserve">power</w:t>
            </w:r>
          </w:p>
        </w:tc>
        <w:tc>
          <w:tcPr>
            <w:tcW w:w="0" w:type="auto"/>
          </w:tcPr>
          <w:p>
            <w:pPr>
              <w:spacing w:line="240" w:lineRule="auto" w:before="0" w:after="0"/>
              <w:pStyle w:val="Compact"/>
            </w:pPr>
            <w:r>
              <w:rPr>
                <w:sz w:val="20"/>
                <w:szCs w:val="20"/>
              </w:rPr>
              <w:t xml:space="preserve">Table 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Nuclear thermal propulsion reactors have no direct lunar outpost impact</w:t>
            </w:r>
          </w:p>
        </w:tc>
        <w:tc>
          <w:tcPr>
            <w:tcW w:w="0" w:type="auto"/>
          </w:tcPr>
          <w:p>
            <w:pPr>
              <w:spacing w:line="240" w:lineRule="auto" w:before="0" w:after="0"/>
              <w:pStyle w:val="Compact"/>
            </w:pPr>
            <w:r>
              <w:rPr>
                <w:sz w:val="20"/>
                <w:szCs w:val="20"/>
              </w:rPr>
              <w:t xml:space="preserve">nuclear</w:t>
            </w:r>
          </w:p>
        </w:tc>
        <w:tc>
          <w:tcPr>
            <w:tcW w:w="0" w:type="auto"/>
          </w:tcPr>
          <w:p>
            <w:pPr>
              <w:spacing w:line="240" w:lineRule="auto" w:before="0" w:after="0"/>
              <w:pStyle w:val="Compact"/>
            </w:pPr>
            <w:r>
              <w:rPr>
                <w:sz w:val="20"/>
                <w:szCs w:val="20"/>
              </w:rPr>
              <w:t xml:space="preserve">Table 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Maximum lunar outpost crew occupancy probably less than 20</w:t>
            </w:r>
          </w:p>
        </w:tc>
        <w:tc>
          <w:tcPr>
            <w:tcW w:w="0" w:type="auto"/>
          </w:tcPr>
          <w:p>
            <w:pPr>
              <w:spacing w:line="240" w:lineRule="auto" w:before="0" w:after="0"/>
              <w:pStyle w:val="Compact"/>
            </w:pPr>
            <w:r>
              <w:rPr>
                <w:sz w:val="20"/>
                <w:szCs w:val="20"/>
              </w:rPr>
              <w:t xml:space="preserve">occupancy</w:t>
            </w:r>
          </w:p>
        </w:tc>
        <w:tc>
          <w:tcPr>
            <w:tcW w:w="0" w:type="auto"/>
          </w:tcPr>
          <w:p>
            <w:pPr>
              <w:spacing w:line="240" w:lineRule="auto" w:before="0" w:after="0"/>
              <w:pStyle w:val="Compact"/>
            </w:pPr>
            <w:r>
              <w:rPr>
                <w:sz w:val="20"/>
                <w:szCs w:val="20"/>
              </w:rPr>
              <w:t xml:space="preserve">Table 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Outpost occupancy beyond 50 persons contingent on commercial opportunities</w:t>
            </w:r>
          </w:p>
        </w:tc>
        <w:tc>
          <w:tcPr>
            <w:tcW w:w="0" w:type="auto"/>
          </w:tcPr>
          <w:p>
            <w:pPr>
              <w:spacing w:line="240" w:lineRule="auto" w:before="0" w:after="0"/>
              <w:pStyle w:val="Compact"/>
            </w:pPr>
            <w:r>
              <w:rPr>
                <w:sz w:val="20"/>
                <w:szCs w:val="20"/>
              </w:rPr>
              <w:t xml:space="preserve">market</w:t>
            </w:r>
          </w:p>
        </w:tc>
        <w:tc>
          <w:tcPr>
            <w:tcW w:w="0" w:type="auto"/>
          </w:tcPr>
          <w:p>
            <w:pPr>
              <w:spacing w:line="240" w:lineRule="auto" w:before="0" w:after="0"/>
              <w:pStyle w:val="Compact"/>
            </w:pPr>
            <w:r>
              <w:rPr>
                <w:sz w:val="20"/>
                <w:szCs w:val="20"/>
              </w:rPr>
              <w:t xml:space="preserve">Table 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Oxygen production greater than 1000 kg per year in 2040</w:t>
            </w:r>
          </w:p>
        </w:tc>
        <w:tc>
          <w:tcPr>
            <w:tcW w:w="0" w:type="auto"/>
          </w:tcPr>
          <w:p>
            <w:pPr>
              <w:spacing w:line="240" w:lineRule="auto" w:before="0" w:after="0"/>
              <w:pStyle w:val="Compact"/>
            </w:pPr>
            <w:r>
              <w:rPr>
                <w:sz w:val="20"/>
                <w:szCs w:val="20"/>
              </w:rPr>
              <w:t xml:space="preserve">isru</w:t>
            </w:r>
          </w:p>
        </w:tc>
        <w:tc>
          <w:tcPr>
            <w:tcW w:w="0" w:type="auto"/>
          </w:tcPr>
          <w:p>
            <w:pPr>
              <w:spacing w:line="240" w:lineRule="auto" w:before="0" w:after="0"/>
              <w:pStyle w:val="Compact"/>
            </w:pPr>
            <w:r>
              <w:rPr>
                <w:sz w:val="20"/>
                <w:szCs w:val="20"/>
              </w:rPr>
              <w:t xml:space="preserve">Table 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Majority of oxygen for fuel and life support could be extracted</w:t>
            </w:r>
          </w:p>
        </w:tc>
        <w:tc>
          <w:tcPr>
            <w:tcW w:w="0" w:type="auto"/>
          </w:tcPr>
          <w:p>
            <w:pPr>
              <w:spacing w:line="240" w:lineRule="auto" w:before="0" w:after="0"/>
              <w:pStyle w:val="Compact"/>
            </w:pPr>
            <w:r>
              <w:rPr>
                <w:sz w:val="20"/>
                <w:szCs w:val="20"/>
              </w:rPr>
              <w:t xml:space="preserve">isru</w:t>
            </w:r>
          </w:p>
        </w:tc>
        <w:tc>
          <w:tcPr>
            <w:tcW w:w="0" w:type="auto"/>
          </w:tcPr>
          <w:p>
            <w:pPr>
              <w:spacing w:line="240" w:lineRule="auto" w:before="0" w:after="0"/>
              <w:pStyle w:val="Compact"/>
            </w:pPr>
            <w:r>
              <w:rPr>
                <w:sz w:val="20"/>
                <w:szCs w:val="20"/>
              </w:rPr>
              <w:t xml:space="preserve">Table 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Useful ISRU activities add about 1 MW to outpost power consumption</w:t>
            </w:r>
          </w:p>
        </w:tc>
        <w:tc>
          <w:tcPr>
            <w:tcW w:w="0" w:type="auto"/>
          </w:tcPr>
          <w:p>
            <w:pPr>
              <w:spacing w:line="240" w:lineRule="auto" w:before="0" w:after="0"/>
              <w:pStyle w:val="Compact"/>
            </w:pPr>
            <w:r>
              <w:rPr>
                <w:sz w:val="20"/>
                <w:szCs w:val="20"/>
              </w:rPr>
              <w:t xml:space="preserve">power</w:t>
            </w:r>
          </w:p>
        </w:tc>
        <w:tc>
          <w:tcPr>
            <w:tcW w:w="0" w:type="auto"/>
          </w:tcPr>
          <w:p>
            <w:pPr>
              <w:spacing w:line="240" w:lineRule="auto" w:before="0" w:after="0"/>
              <w:pStyle w:val="Compact"/>
            </w:pPr>
            <w:r>
              <w:rPr>
                <w:sz w:val="20"/>
                <w:szCs w:val="20"/>
              </w:rPr>
              <w:t xml:space="preserve">Table 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Non-ISRU activities contribute less than 100 kW to power consumption</w:t>
            </w:r>
          </w:p>
        </w:tc>
        <w:tc>
          <w:tcPr>
            <w:tcW w:w="0" w:type="auto"/>
          </w:tcPr>
          <w:p>
            <w:pPr>
              <w:spacing w:line="240" w:lineRule="auto" w:before="0" w:after="0"/>
              <w:pStyle w:val="Compact"/>
            </w:pPr>
            <w:r>
              <w:rPr>
                <w:sz w:val="20"/>
                <w:szCs w:val="20"/>
              </w:rPr>
              <w:t xml:space="preserve">power</w:t>
            </w:r>
          </w:p>
        </w:tc>
        <w:tc>
          <w:tcPr>
            <w:tcW w:w="0" w:type="auto"/>
          </w:tcPr>
          <w:p>
            <w:pPr>
              <w:spacing w:line="240" w:lineRule="auto" w:before="0" w:after="0"/>
              <w:pStyle w:val="Compact"/>
            </w:pPr>
            <w:r>
              <w:rPr>
                <w:sz w:val="20"/>
                <w:szCs w:val="20"/>
              </w:rPr>
              <w:t xml:space="preserve">Table 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COVID-19 significantly alters lunar exploration timelines</w:t>
            </w:r>
          </w:p>
        </w:tc>
        <w:tc>
          <w:tcPr>
            <w:tcW w:w="0" w:type="auto"/>
          </w:tcPr>
          <w:p>
            <w:pPr>
              <w:spacing w:line="240" w:lineRule="auto" w:before="0" w:after="0"/>
              <w:pStyle w:val="Compact"/>
            </w:pPr>
            <w:r>
              <w:rPr>
                <w:sz w:val="20"/>
                <w:szCs w:val="20"/>
              </w:rPr>
              <w:t xml:space="preserve">timeline</w:t>
            </w:r>
          </w:p>
        </w:tc>
        <w:tc>
          <w:tcPr>
            <w:tcW w:w="0" w:type="auto"/>
          </w:tcPr>
          <w:p>
            <w:pPr>
              <w:spacing w:line="240" w:lineRule="auto" w:before="0" w:after="0"/>
              <w:pStyle w:val="Compact"/>
            </w:pPr>
            <w:r>
              <w:rPr>
                <w:sz w:val="20"/>
                <w:szCs w:val="20"/>
              </w:rPr>
              <w:t xml:space="preserve">Table 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Water ice uncertainty will favour outpost siting on KREEP terrane</w:t>
            </w:r>
          </w:p>
        </w:tc>
        <w:tc>
          <w:tcPr>
            <w:tcW w:w="0" w:type="auto"/>
          </w:tcPr>
          <w:p>
            <w:pPr>
              <w:spacing w:line="240" w:lineRule="auto" w:before="0" w:after="0"/>
              <w:pStyle w:val="Compact"/>
            </w:pPr>
            <w:r>
              <w:rPr>
                <w:sz w:val="20"/>
                <w:szCs w:val="20"/>
              </w:rPr>
              <w:t xml:space="preserve">site</w:t>
            </w:r>
          </w:p>
        </w:tc>
        <w:tc>
          <w:tcPr>
            <w:tcW w:w="0" w:type="auto"/>
          </w:tcPr>
          <w:p>
            <w:pPr>
              <w:spacing w:line="240" w:lineRule="auto" w:before="0" w:after="0"/>
              <w:pStyle w:val="Compact"/>
            </w:pPr>
            <w:r>
              <w:rPr>
                <w:sz w:val="20"/>
                <w:szCs w:val="20"/>
              </w:rPr>
              <w:t xml:space="preserve">Table 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0.4444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One hundred persons on Moon would be spread over two or more outposts</w:t>
            </w:r>
          </w:p>
        </w:tc>
        <w:tc>
          <w:tcPr>
            <w:tcW w:w="0" w:type="auto"/>
          </w:tcPr>
          <w:p>
            <w:pPr>
              <w:spacing w:line="240" w:lineRule="auto" w:before="0" w:after="0"/>
              <w:pStyle w:val="Compact"/>
            </w:pPr>
            <w:r>
              <w:rPr>
                <w:sz w:val="20"/>
                <w:szCs w:val="20"/>
              </w:rPr>
              <w:t xml:space="preserve">occupancy</w:t>
            </w:r>
          </w:p>
        </w:tc>
        <w:tc>
          <w:tcPr>
            <w:tcW w:w="0" w:type="auto"/>
          </w:tcPr>
          <w:p>
            <w:pPr>
              <w:spacing w:line="240" w:lineRule="auto" w:before="0" w:after="0"/>
              <w:pStyle w:val="Compact"/>
            </w:pPr>
            <w:r>
              <w:rPr>
                <w:sz w:val="20"/>
                <w:szCs w:val="20"/>
              </w:rPr>
              <w:t xml:space="preserve">Table 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0.4444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Outpost non-ISRU mission similar to ISS laboratory</w:t>
            </w:r>
          </w:p>
        </w:tc>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Table 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0.4444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Regolith construction uses thermal sintering not chemical binders</w:t>
            </w:r>
          </w:p>
        </w:tc>
        <w:tc>
          <w:tcPr>
            <w:tcW w:w="0" w:type="auto"/>
          </w:tcPr>
          <w:p>
            <w:pPr>
              <w:spacing w:line="240" w:lineRule="auto" w:before="0" w:after="0"/>
              <w:pStyle w:val="Compact"/>
            </w:pPr>
            <w:r>
              <w:rPr>
                <w:sz w:val="20"/>
                <w:szCs w:val="20"/>
              </w:rPr>
              <w:t xml:space="preserve">isru</w:t>
            </w:r>
          </w:p>
        </w:tc>
        <w:tc>
          <w:tcPr>
            <w:tcW w:w="0" w:type="auto"/>
          </w:tcPr>
          <w:p>
            <w:pPr>
              <w:spacing w:line="240" w:lineRule="auto" w:before="0" w:after="0"/>
              <w:pStyle w:val="Compact"/>
            </w:pPr>
            <w:r>
              <w:rPr>
                <w:sz w:val="20"/>
                <w:szCs w:val="20"/>
              </w:rPr>
              <w:t xml:space="preserve">Table 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Spedding, Lim, and Nuttall 2021 Acta Astronautica 181 Tables 2-5, doi 10.1016/j.actaastro.2021.01.009</w:t>
            </w:r>
          </w:p>
        </w:tc>
      </w:tr>
    </w:tbl>
    <w:bookmarkEnd w:id="195"/>
    <w:bookmarkStart w:id="196"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agreement_share_pct</w:t>
            </w:r>
          </w:p>
        </w:tc>
        <w:tc>
          <w:tcPr>
            <w:tcW w:w="0" w:type="auto"/>
          </w:tcPr>
          <w:p>
            <w:pPr>
              <w:spacing w:line="240" w:lineRule="auto" w:before="0" w:after="0"/>
              <w:pStyle w:val="Compact"/>
            </w:pPr>
            <w:r>
              <w:rPr>
                <w:sz w:val="20"/>
                <w:szCs w:val="20"/>
              </w:rPr>
              <w:t xml:space="preserve">Share of respondents agreeing or strongly agreeing with a stable Delphi statement.</w:t>
            </w:r>
          </w:p>
        </w:tc>
        <w:tc>
          <w:tcPr>
            <w:tcW w:w="0" w:type="auto"/>
          </w:tcPr>
          <w:p>
            <w:pPr>
              <w:spacing w:line="240" w:lineRule="auto" w:before="0" w:after="0"/>
              <w:pStyle w:val="Compact"/>
            </w:pPr>
            <w:r>
              <w:rPr>
                <w:sz w:val="20"/>
                <w:szCs w:val="20"/>
              </w:rPr>
              <w:t xml:space="preserve">Spedding et al. 2021 Tables 2-4.</w:t>
            </w:r>
          </w:p>
        </w:tc>
      </w:tr>
      <w:tr>
        <w:tc>
          <w:tcPr>
            <w:tcW w:w="0" w:type="auto"/>
          </w:tcPr>
          <w:p>
            <w:pPr>
              <w:spacing w:line="240" w:lineRule="auto" w:before="0" w:after="0"/>
              <w:pStyle w:val="Compact"/>
            </w:pPr>
            <w:r>
              <w:rPr>
                <w:sz w:val="20"/>
                <w:szCs w:val="20"/>
              </w:rPr>
              <w:t xml:space="preserve">median_likert</w:t>
            </w:r>
          </w:p>
        </w:tc>
        <w:tc>
          <w:tcPr>
            <w:tcW w:w="0" w:type="auto"/>
          </w:tcPr>
          <w:p>
            <w:pPr>
              <w:spacing w:line="240" w:lineRule="auto" w:before="0" w:after="0"/>
              <w:pStyle w:val="Compact"/>
            </w:pPr>
            <w:r>
              <w:rPr>
                <w:sz w:val="20"/>
                <w:szCs w:val="20"/>
              </w:rPr>
              <w:t xml:space="preserve">Reported median Likert response for the statement.</w:t>
            </w:r>
          </w:p>
        </w:tc>
        <w:tc>
          <w:tcPr>
            <w:tcW w:w="0" w:type="auto"/>
          </w:tcPr>
          <w:p>
            <w:pPr>
              <w:spacing w:line="240" w:lineRule="auto" w:before="0" w:after="0"/>
              <w:pStyle w:val="Compact"/>
            </w:pPr>
            <w:r>
              <w:rPr>
                <w:sz w:val="20"/>
                <w:szCs w:val="20"/>
              </w:rPr>
              <w:t xml:space="preserve">Spedding et al. 2021 Tables 2-4.</w:t>
            </w:r>
          </w:p>
        </w:tc>
      </w:tr>
      <w:tr>
        <w:tc>
          <w:tcPr>
            <w:tcW w:w="0" w:type="auto"/>
          </w:tcPr>
          <w:p>
            <w:pPr>
              <w:spacing w:line="240" w:lineRule="auto" w:before="0" w:after="0"/>
              <w:pStyle w:val="Compact"/>
            </w:pPr>
            <w:r>
              <w:rPr>
                <w:sz w:val="20"/>
                <w:szCs w:val="20"/>
              </w:rPr>
              <w:t xml:space="preserve">iqr</w:t>
            </w:r>
          </w:p>
        </w:tc>
        <w:tc>
          <w:tcPr>
            <w:tcW w:w="0" w:type="auto"/>
          </w:tcPr>
          <w:p>
            <w:pPr>
              <w:spacing w:line="240" w:lineRule="auto" w:before="0" w:after="0"/>
              <w:pStyle w:val="Compact"/>
            </w:pPr>
            <w:r>
              <w:rPr>
                <w:sz w:val="20"/>
                <w:szCs w:val="20"/>
              </w:rPr>
              <w:t xml:space="preserve">Reported interquartile range for the statement.</w:t>
            </w:r>
          </w:p>
        </w:tc>
        <w:tc>
          <w:tcPr>
            <w:tcW w:w="0" w:type="auto"/>
          </w:tcPr>
          <w:p>
            <w:pPr>
              <w:spacing w:line="240" w:lineRule="auto" w:before="0" w:after="0"/>
              <w:pStyle w:val="Compact"/>
            </w:pPr>
            <w:r>
              <w:rPr>
                <w:sz w:val="20"/>
                <w:szCs w:val="20"/>
              </w:rPr>
              <w:t xml:space="preserve">Spedding et al. 2021 Tables 2-4.</w:t>
            </w:r>
          </w:p>
        </w:tc>
      </w:tr>
      <w:tr>
        <w:tc>
          <w:tcPr>
            <w:tcW w:w="0" w:type="auto"/>
          </w:tcPr>
          <w:p>
            <w:pPr>
              <w:spacing w:line="240" w:lineRule="auto" w:before="0" w:after="0"/>
              <w:pStyle w:val="Compact"/>
            </w:pPr>
            <w:r>
              <w:rPr>
                <w:sz w:val="20"/>
                <w:szCs w:val="20"/>
              </w:rPr>
              <w:t xml:space="preserve">is_power_or_nuclear</w:t>
            </w:r>
          </w:p>
        </w:tc>
        <w:tc>
          <w:tcPr>
            <w:tcW w:w="0" w:type="auto"/>
          </w:tcPr>
          <w:p>
            <w:pPr>
              <w:spacing w:line="240" w:lineRule="auto" w:before="0" w:after="0"/>
              <w:pStyle w:val="Compact"/>
            </w:pPr>
            <w:r>
              <w:rPr>
                <w:sz w:val="20"/>
                <w:szCs w:val="20"/>
              </w:rPr>
              <w:t xml:space="preserve">Indicator for statements whose theme is power or nuclear.</w:t>
            </w:r>
          </w:p>
        </w:tc>
        <w:tc>
          <w:tcPr>
            <w:tcW w:w="0" w:type="auto"/>
          </w:tcPr>
          <w:p>
            <w:pPr>
              <w:spacing w:line="240" w:lineRule="auto" w:before="0" w:after="0"/>
              <w:pStyle w:val="Compact"/>
            </w:pPr>
            <w:r>
              <w:rPr>
                <w:sz w:val="20"/>
                <w:szCs w:val="20"/>
              </w:rPr>
              <w:t xml:space="preserve">Constructed from statement text and theme coding.</w:t>
            </w:r>
          </w:p>
        </w:tc>
      </w:tr>
      <w:tr>
        <w:tc>
          <w:tcPr>
            <w:tcW w:w="0" w:type="auto"/>
          </w:tcPr>
          <w:p>
            <w:pPr>
              <w:spacing w:line="240" w:lineRule="auto" w:before="0" w:after="0"/>
              <w:pStyle w:val="Compact"/>
            </w:pPr>
            <w:r>
              <w:rPr>
                <w:sz w:val="20"/>
                <w:szCs w:val="20"/>
              </w:rPr>
              <w:t xml:space="preserve">is_isru</w:t>
            </w:r>
          </w:p>
        </w:tc>
        <w:tc>
          <w:tcPr>
            <w:tcW w:w="0" w:type="auto"/>
          </w:tcPr>
          <w:p>
            <w:pPr>
              <w:spacing w:line="240" w:lineRule="auto" w:before="0" w:after="0"/>
              <w:pStyle w:val="Compact"/>
            </w:pPr>
            <w:r>
              <w:rPr>
                <w:sz w:val="20"/>
                <w:szCs w:val="20"/>
              </w:rPr>
              <w:t xml:space="preserve">Indicator for ISRU statements.</w:t>
            </w:r>
          </w:p>
        </w:tc>
        <w:tc>
          <w:tcPr>
            <w:tcW w:w="0" w:type="auto"/>
          </w:tcPr>
          <w:p>
            <w:pPr>
              <w:spacing w:line="240" w:lineRule="auto" w:before="0" w:after="0"/>
              <w:pStyle w:val="Compact"/>
            </w:pPr>
            <w:r>
              <w:rPr>
                <w:sz w:val="20"/>
                <w:szCs w:val="20"/>
              </w:rPr>
              <w:t xml:space="preserve">Constructed from statement text and theme coding.</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Observation source note.</w:t>
            </w:r>
          </w:p>
        </w:tc>
        <w:tc>
          <w:tcPr>
            <w:tcW w:w="0" w:type="auto"/>
          </w:tcPr>
          <w:p>
            <w:pPr>
              <w:spacing w:line="240" w:lineRule="auto" w:before="0" w:after="0"/>
              <w:pStyle w:val="Compact"/>
            </w:pPr>
            <w:r>
              <w:rPr>
                <w:sz w:val="20"/>
                <w:szCs w:val="20"/>
              </w:rPr>
              <w:t xml:space="preserve">Last column from the compiled data CSV.</w:t>
            </w:r>
          </w:p>
        </w:tc>
      </w:tr>
    </w:tbl>
    <w:bookmarkEnd w:id="196"/>
    <w:bookmarkEnd w:id="197"/>
    <w:bookmarkEnd w:id="19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3" Type="http://schemas.openxmlformats.org/officeDocument/2006/relationships/image" Target="media/rId183.png"/><Relationship Id="rId191" Type="http://schemas.openxmlformats.org/officeDocument/2006/relationships/image" Target="media/rId191.png"/><Relationship Id="rId173" Type="http://schemas.openxmlformats.org/officeDocument/2006/relationships/hyperlink" Target="https://doi.org/10.1016/j.actaastro.2020.07.032" TargetMode="External"/><Relationship Id="rId146" Type="http://schemas.openxmlformats.org/officeDocument/2006/relationships/hyperlink" Target="https://doi.org/10.1016/j.actaastro.2021.01.009" TargetMode="External"/><Relationship Id="rId171" Type="http://schemas.openxmlformats.org/officeDocument/2006/relationships/hyperlink" Target="https://doi.org/10.1016/j.actaastro.2021.11.016" TargetMode="External"/><Relationship Id="rId167" Type="http://schemas.openxmlformats.org/officeDocument/2006/relationships/hyperlink" Target="https://doi.org/10.1016/j.actaastro.2022.04.001" TargetMode="External"/><Relationship Id="rId169" Type="http://schemas.openxmlformats.org/officeDocument/2006/relationships/hyperlink" Target="https://doi.org/10.1016/j.actaastro.2022.05.022" TargetMode="External"/><Relationship Id="rId175" Type="http://schemas.openxmlformats.org/officeDocument/2006/relationships/hyperlink" Target="https://doi.org/10.1016/j.actaastro.2023.09.031" TargetMode="External"/><Relationship Id="rId150" Type="http://schemas.openxmlformats.org/officeDocument/2006/relationships/hyperlink" Target="https://doi.org/10.1016/j.actaastro.2024.12.001" TargetMode="External"/><Relationship Id="rId179" Type="http://schemas.openxmlformats.org/officeDocument/2006/relationships/hyperlink" Target="https://doi.org/10.1016/j.actaastro.2025.04.037" TargetMode="External"/><Relationship Id="rId165" Type="http://schemas.openxmlformats.org/officeDocument/2006/relationships/hyperlink" Target="https://doi.org/10.1016/j.actaastro.2025.07.014" TargetMode="External"/><Relationship Id="rId177" Type="http://schemas.openxmlformats.org/officeDocument/2006/relationships/hyperlink" Target="https://doi.org/10.1016/j.actaastro.2026.04.012" TargetMode="External"/><Relationship Id="rId159" Type="http://schemas.openxmlformats.org/officeDocument/2006/relationships/hyperlink" Target="https://doi.org/10.64861/GDKE6454" TargetMode="External"/><Relationship Id="rId148" Type="http://schemas.openxmlformats.org/officeDocument/2006/relationships/hyperlink" Target="https://doi.org/10.64861/RBTM5104" TargetMode="External"/></Relationships>
</file>

<file path=word/_rels/footnotes.xml.rels><?xml version='1.0' encoding='UTF-8' standalone='yes'?>
<Relationships xmlns="http://schemas.openxmlformats.org/package/2006/relationships"><Relationship Id="rId173" Type="http://schemas.openxmlformats.org/officeDocument/2006/relationships/hyperlink" Target="https://doi.org/10.1016/j.actaastro.2020.07.032" TargetMode="External"/><Relationship Id="rId146" Type="http://schemas.openxmlformats.org/officeDocument/2006/relationships/hyperlink" Target="https://doi.org/10.1016/j.actaastro.2021.01.009" TargetMode="External"/><Relationship Id="rId171" Type="http://schemas.openxmlformats.org/officeDocument/2006/relationships/hyperlink" Target="https://doi.org/10.1016/j.actaastro.2021.11.016" TargetMode="External"/><Relationship Id="rId167" Type="http://schemas.openxmlformats.org/officeDocument/2006/relationships/hyperlink" Target="https://doi.org/10.1016/j.actaastro.2022.04.001" TargetMode="External"/><Relationship Id="rId169" Type="http://schemas.openxmlformats.org/officeDocument/2006/relationships/hyperlink" Target="https://doi.org/10.1016/j.actaastro.2022.05.022" TargetMode="External"/><Relationship Id="rId175" Type="http://schemas.openxmlformats.org/officeDocument/2006/relationships/hyperlink" Target="https://doi.org/10.1016/j.actaastro.2023.09.031" TargetMode="External"/><Relationship Id="rId150" Type="http://schemas.openxmlformats.org/officeDocument/2006/relationships/hyperlink" Target="https://doi.org/10.1016/j.actaastro.2024.12.001" TargetMode="External"/><Relationship Id="rId179" Type="http://schemas.openxmlformats.org/officeDocument/2006/relationships/hyperlink" Target="https://doi.org/10.1016/j.actaastro.2025.04.037" TargetMode="External"/><Relationship Id="rId165" Type="http://schemas.openxmlformats.org/officeDocument/2006/relationships/hyperlink" Target="https://doi.org/10.1016/j.actaastro.2025.07.014" TargetMode="External"/><Relationship Id="rId177" Type="http://schemas.openxmlformats.org/officeDocument/2006/relationships/hyperlink" Target="https://doi.org/10.1016/j.actaastro.2026.04.012" TargetMode="External"/><Relationship Id="rId159" Type="http://schemas.openxmlformats.org/officeDocument/2006/relationships/hyperlink" Target="https://doi.org/10.64861/GDKE6454" TargetMode="External"/><Relationship Id="rId148" Type="http://schemas.openxmlformats.org/officeDocument/2006/relationships/hyperlink" Target="https://doi.org/10.64861/RBTM51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Option Value of Waiting: Real-Options Valuation of Lunar Surface Nuclear Power</dc:title>
  <dc:creator>Suki Carrington (1B-LUN-141)</dc:creator>
  <cp:keywords/>
  <dcterms:created xsi:type="dcterms:W3CDTF">2026-07-03T20:34:43Z</dcterms:created>
  <dcterms:modified xsi:type="dcterms:W3CDTF">2026-07-03T20:34:43Z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