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4" w:name="X4cbff19c18f4fcae7a289bdee8e85c1a42cc5c2"/>
    <w:p>
      <w:pPr>
        <w:pStyle w:val="Heading1"/>
      </w:pPr>
      <w:r>
        <w:t xml:space="preserve">Scale Elasticity of Mass Payback in Lunar Oxygen Facility Strategies</w:t>
      </w:r>
    </w:p>
    <w:bookmarkStart w:id="61" w:name="abstract"/>
    <w:p>
      <w:pPr>
        <w:pStyle w:val="Heading2"/>
      </w:pPr>
      <w:r>
        <w:t xml:space="preserve">Abstract</w:t>
      </w:r>
    </w:p>
    <w:p>
      <w:pPr>
        <w:pStyle w:val="FirstParagraph"/>
      </w:pPr>
      <w:r>
        <w:t xml:space="preserve">Break-even claims for lunar ISRU often turn on a ratio: how much useful product a delivered system returns compared with its own landed mass. This paper estimates that ratio as an elasticity problem. Using the same 36 real observations from the Acta Astronautica multi-criteria table on lunar oxygen facility strategies, it fits a log-log model in which mass payback is regressed on mass-energy efficiency</w:t>
      </w:r>
      <w:r>
        <w:t xml:space="preserve"> </w:t>
      </w:r>
      <w:hyperlink w:anchor="ref-5">
        <m:oMathPara>
          <m:oMathParaPr>
            <m:jc m:val="center"/>
          </m:oMathParaPr>
          <m:oMath>
            <m:r>
              <m:t>5</m:t>
            </m:r>
          </m:oMath>
        </m:oMathPara>
      </w:hyperlink>
      <w:r>
        <w:t xml:space="preserve">. The method is a learning-curve style log-log OLS estimator, used here as an elasticity estimator rather than as a causal learning-rate claim. The result is strong and stable. The elasticity coefficient is 1.1261, with robust standard error 0.0950, t = 11.8587, and p = 1.94e-32. R2 is 0.6907. A one percent increase in mass-energy efficiency is associated with about a 1.13 percent increase in mass payback within the published strategy table. The result gives ISRU planners a compact screening rule: energy efficiency and mass payback should be treated as coupled design variables when assessing whether local oxygen production can reduce landed logistics burden.</w:t>
      </w:r>
    </w:p>
    <w:bookmarkEnd w:id="61"/>
    <w:bookmarkStart w:id="62" w:name="introduction"/>
    <w:p>
      <w:pPr>
        <w:pStyle w:val="Heading2"/>
      </w:pPr>
      <w:r>
        <w:t xml:space="preserve">Introduction</w:t>
      </w:r>
    </w:p>
    <w:p>
      <w:pPr>
        <w:pStyle w:val="FirstParagraph"/>
      </w:pPr>
      <w:r>
        <w:t xml:space="preserve">The question in lunar ISRU is not whether the Moon contains usable resources. The question is whether a specific system can convert those resources into logistics value. Oxygen extraction is a strong candidate because oxygen is a major mission consumable and propellant component. Yet a resource becomes economically relevant only when production rate, system mass, power demand, operational availability, and demand timing align. The break-even issue is therefore a mass-payback issue: the plant has to return enough oxygen to make its delivery worthwhile.</w:t>
      </w:r>
    </w:p>
    <w:p>
      <w:pPr>
        <w:pStyle w:val="BodyText"/>
      </w:pPr>
      <w:r>
        <w:t xml:space="preserve">This paper complements a linear model of mass-energy efficiency by estimating the relationship in proportional terms. A log-log model asks whether percentage changes in mass-energy efficiency are associated with percentage changes in mass payback. This is useful for architecture screening because lunar systems are often compared across orders of magnitude, not only across small absolute differences. A plant that is twice as energy efficient may not be twice as valuable if the mass penalty is large. Conversely, a plant with modest raw yield may become attractive if its system mass and energy use allow higher cumulative output.</w:t>
      </w:r>
    </w:p>
    <w:p>
      <w:pPr>
        <w:pStyle w:val="BodyText"/>
      </w:pPr>
      <w:r>
        <w:t xml:space="preserve">The analysis uses the multi-objective decision-making table reported by Ikeya and coauthors for flexible design and planning of lunar oxygen facilities</w:t>
      </w:r>
      <w:r>
        <w:t xml:space="preserve"> </w:t>
      </w:r>
      <w:hyperlink w:anchor="ref-5">
        <m:oMathPara>
          <m:oMathParaPr>
            <m:jc m:val="center"/>
          </m:oMathParaPr>
          <m:oMath>
            <m:r>
              <m:t>5</m:t>
            </m:r>
          </m:oMath>
        </m:oMathPara>
      </w:hyperlink>
      <w:r>
        <w:t xml:space="preserve">. That source compares carbothermal reduction, water extraction, parallel hybrid, and series hybrid strategies under uncertainty. It reports mass payback and mass-energy efficiency side by side, which allows direct empirical estimation of their elasticity. The result is interpreted alongside hybrid plant analysis</w:t>
      </w:r>
      <w:r>
        <w:t xml:space="preserve"> </w:t>
      </w:r>
      <w:hyperlink w:anchor="ref-1">
        <m:oMathPara>
          <m:oMathParaPr>
            <m:jc m:val="center"/>
          </m:oMathParaPr>
          <m:oMath>
            <m:r>
              <m:t>1</m:t>
            </m:r>
          </m:oMath>
        </m:oMathPara>
      </w:hyperlink>
      <w:r>
        <w:t xml:space="preserve">, mining-feasibility framing</w:t>
      </w:r>
      <w:r>
        <w:t xml:space="preserve"> </w:t>
      </w:r>
      <w:hyperlink w:anchor="ref-2">
        <m:oMathPara>
          <m:oMathParaPr>
            <m:jc m:val="center"/>
          </m:oMathParaPr>
          <m:oMath>
            <m:r>
              <m:t>2</m:t>
            </m:r>
          </m:oMath>
        </m:oMathPara>
      </w:hyperlink>
      <w:r>
        <w:t xml:space="preserve">, oxygen extraction reviews</w:t>
      </w:r>
      <w:r>
        <w:t xml:space="preserve"> </w:t>
      </w:r>
      <w:hyperlink w:anchor="ref-4">
        <m:oMathPara>
          <m:oMathParaPr>
            <m:jc m:val="center"/>
          </m:oMathParaPr>
          <m:oMath>
            <m:r>
              <m:t>4</m:t>
            </m:r>
          </m:oMath>
        </m:oMathPara>
      </w:hyperlink>
      <w:r>
        <w:t xml:space="preserve">, and studies of lunar oxygen demand</w:t>
      </w:r>
      <w:r>
        <w:t xml:space="preserve"> </w:t>
      </w:r>
      <w:hyperlink w:anchor="ref-8">
        <m:oMathPara>
          <m:oMathParaPr>
            <m:jc m:val="center"/>
          </m:oMathParaPr>
          <m:oMath>
            <m:r>
              <m:t>8</m:t>
            </m:r>
          </m:oMath>
        </m:oMathPara>
      </w:hyperlink>
      <w:r>
        <w:t xml:space="preserve">.</w:t>
      </w:r>
    </w:p>
    <w:bookmarkEnd w:id="62"/>
    <w:bookmarkStart w:id="63" w:name="data"/>
    <w:p>
      <w:pPr>
        <w:pStyle w:val="Heading2"/>
      </w:pPr>
      <w:r>
        <w:t xml:space="preserve">Data</w:t>
      </w:r>
    </w:p>
    <w:p>
      <w:pPr>
        <w:pStyle w:val="FirstParagraph"/>
      </w:pPr>
      <w:r>
        <w:t xml:space="preserve">The dataset includes 36 observations. Each observation is a published strategy outcome from the Acta table: 12 strategy designs multiplied by expected, 5 percent cumulative, and 95 percent cumulative uncertainty points. The dependent variable is mass payback, defined as oxygen mass returned per unit system mass. The explanatory variable is mass-energy efficiency, defined as oxygen mass per unit total energy in the source table. Every observation carries the same table source in the final data column. The source column is preserved in the workbook and final paper artifact so the empirical claim can be audited row by row.</w:t>
      </w:r>
    </w:p>
    <w:p>
      <w:pPr>
        <w:pStyle w:val="BodyText"/>
      </w:pPr>
      <w:r>
        <w:t xml:space="preserve">The strategy set spans single-pathway and hybrid architectures. Carbothermal reduction has relatively high oxygen yield but substantial energy demand. Water extraction has lower oxygen yield but favorable mass payback in several reported cases. Parallel hybrid strategies mix carbothermal and water extraction production ratios. Series hybrid strategies pass material or process outputs through a combined pathway. This variation makes the table useful for elasticity analysis, because the relationship between energy-adjusted production and mass payback is not mechanically fixed by a single extraction path.</w:t>
      </w:r>
    </w:p>
    <w:bookmarkEnd w:id="63"/>
    <w:bookmarkStart w:id="64" w:name="method"/>
    <w:p>
      <w:pPr>
        <w:pStyle w:val="Heading2"/>
      </w:pPr>
      <w:r>
        <w:t xml:space="preserve">Method</w:t>
      </w:r>
    </w:p>
    <w:p>
      <w:pPr>
        <w:pStyle w:val="FirstParagraph"/>
      </w:pPr>
      <w:r>
        <w:t xml:space="preserve">The estimator is a learning-curve style log-log OLS model. The equation is ln(P_i) = alpha + beta ln(E_i) + epsilon_i, where P_i is mass payback and E_i is mass-energy efficiency. The coefficient beta is an elasticity. If beta equals 1, a one percent increase in mass-energy efficiency is associated with a one percent increase in mass payback. If beta is greater than 1, mass payback rises more than proportionally with efficiency in the observed strategy set.</w:t>
      </w:r>
    </w:p>
    <w:p>
      <w:pPr>
        <w:pStyle w:val="BodyText"/>
      </w:pPr>
      <w:r>
        <w:t xml:space="preserve">This method is deliberately descriptive. It does not claim that energy efficiency alone causes mass payback. Both variables are outputs of engineering design assumptions. However, the elasticity is still useful because it summarizes the shape of the trade space. Program offices and mission designers need compact indicators that can sort candidate architectures before detailed integrated simulations are run. A log-log elasticity gives such an indicator without pretending that the evidence is an operating-market dataset.</w:t>
      </w:r>
    </w:p>
    <w:p>
      <w:pPr>
        <w:pStyle w:val="BodyText"/>
      </w:pPr>
      <w:r>
        <w:t xml:space="preserve">Robust HC1 standard errors are used for the same reason as in the linear paper: the observations are modeled strategy cases, and equal-variance assumptions would be too strong. The estimator drops no rows because all mass payback and efficiency values are positive. The plotted relationship uses log scales for both axes, matching the specification.</w:t>
      </w:r>
    </w:p>
    <w:bookmarkEnd w:id="64"/>
    <w:bookmarkStart w:id="65" w:name="findings"/>
    <w:p>
      <w:pPr>
        <w:pStyle w:val="Heading2"/>
      </w:pPr>
      <w:r>
        <w:t xml:space="preserve">Findings</w:t>
      </w:r>
    </w:p>
    <w:p>
      <w:pPr>
        <w:pStyle w:val="FirstParagraph"/>
      </w:pPr>
      <w:r>
        <w:t xml:space="preserve">The fitted model reports N = 36 and R2 = 0.6907. The intercept is 0.4502, with p = 0.0187. The elasticity coefficient on ln(mass-energy efficiency) is 1.1261. Its robust standard error is 0.0950, t = 11.8587, and p = 1.94e-32. The 95 percent confidence interval runs from 0.9399 to 1.3122. The model also reports a progress-ratio style quantity of 2.1826, which means that doubling mass-energy efficiency is associated with roughly 2.18 times the mass payback in this table.</w:t>
      </w:r>
    </w:p>
    <w:p>
      <w:pPr>
        <w:pStyle w:val="BodyText"/>
      </w:pPr>
      <w:r>
        <w:t xml:space="preserve">The result is economically meaningful. An elasticity near one would imply proportional movement between efficiency and payback. The estimate here is slightly above one, meaning that high-efficiency strategies tend to gain more than proportionally in mass payback. That pattern supports the idea that energy and system mass interact. A strategy that reduces energy burden may also allow smaller supporting equipment, longer feasible operation, or better utilization under the modeled assumptions. The table does not prove each mechanism, but it shows that the combined outcome is not marginal.</w:t>
      </w:r>
    </w:p>
    <w:p>
      <w:pPr>
        <w:pStyle w:val="BodyText"/>
      </w:pPr>
      <w:r>
        <w:t xml:space="preserve">The relationship also clarifies why raw oxygen yield is an incomplete metric. A strategy can have attractive yield while performing less well after energy and system mass are considered. The break-even question must therefore be asked at the level of the delivered production system. This is consistent with the broader oxygen extraction literature, which treats pathway selection, heat source, material handling, and process control as system-level choices</w:t>
      </w:r>
      <w:r>
        <w:t xml:space="preserve"> </w:t>
      </w:r>
      <w:hyperlink w:anchor="ref-4">
        <m:oMathPara>
          <m:oMathParaPr>
            <m:jc m:val="center"/>
          </m:oMathParaPr>
          <m:oMath>
            <m:r>
              <m:t>4</m:t>
            </m:r>
          </m:oMath>
        </m:oMathPara>
      </w:hyperlink>
      <w:r>
        <w:t xml:space="preserve">.</w:t>
      </w:r>
    </w:p>
    <w:bookmarkEnd w:id="65"/>
    <w:bookmarkStart w:id="66" w:name="discussion"/>
    <w:p>
      <w:pPr>
        <w:pStyle w:val="Heading2"/>
      </w:pPr>
      <w:r>
        <w:t xml:space="preserve">Discussion</w:t>
      </w:r>
    </w:p>
    <w:p>
      <w:pPr>
        <w:pStyle w:val="FirstParagraph"/>
      </w:pPr>
      <w:r>
        <w:t xml:space="preserve">The elasticity result has three implications for ISRU program design. First, pilot demonstrations should report mass payback and energy-adjusted productivity as primary measures, not only grams of oxygen produced or extraction percentage. Demonstrations that do not connect production to system mass leave the break-even question unanswered. Second, campaign analysis should connect plant performance to demand. Oxygen production only lowers landed burden if missions can consume or store the output. Prior work on the scale of space resource utilization to satisfy lunar oxygen demand underscores that demand assumptions can dominate plant sizing and operational value</w:t>
      </w:r>
      <w:r>
        <w:t xml:space="preserve"> </w:t>
      </w:r>
      <w:hyperlink w:anchor="ref-8">
        <m:oMathPara>
          <m:oMathParaPr>
            <m:jc m:val="center"/>
          </m:oMathParaPr>
          <m:oMath>
            <m:r>
              <m:t>8</m:t>
            </m:r>
          </m:oMath>
        </m:oMathPara>
      </w:hyperlink>
      <w:r>
        <w:t xml:space="preserve">. Third, design trades should remain architecture-aware. Hybrid plant comparisons show that pathway combinations can shift mass and power profiles in ways that simple chemistry rankings miss</w:t>
      </w:r>
      <w:r>
        <w:t xml:space="preserve"> </w:t>
      </w:r>
      <w:hyperlink w:anchor="ref-1">
        <m:oMathPara>
          <m:oMathParaPr>
            <m:jc m:val="center"/>
          </m:oMathParaPr>
          <m:oMath>
            <m:r>
              <m:t>1</m:t>
            </m:r>
          </m:oMath>
        </m:oMathPara>
      </w:hyperlink>
      <w:r>
        <w:t xml:space="preserve">.</w:t>
      </w:r>
    </w:p>
    <w:p>
      <w:pPr>
        <w:pStyle w:val="FirstParagraph"/>
      </w:pPr>
      <w:r>
        <w:t xml:space="preserve">Mining feasibility studies provide a disciplined vocabulary for this program logic. Early lunar resource studies often move from technical possibility to economic promise too quickly. Feasibility framing asks for resource confidence, process performance, capital intensity, operating reliability, and staged decision gates</w:t>
      </w:r>
      <w:r>
        <w:t xml:space="preserve"> </w:t>
      </w:r>
      <w:hyperlink w:anchor="ref-2">
        <m:oMathPara>
          <m:oMathParaPr>
            <m:jc m:val="center"/>
          </m:oMathParaPr>
          <m:oMath>
            <m:r>
              <m:t>2</m:t>
            </m:r>
          </m:oMath>
        </m:oMathPara>
      </w:hyperlink>
      <w:r>
        <w:t xml:space="preserve">. A mass-payback elasticity is not a full feasibility study, but it is a useful screen inside one. If a candidate design cannot reach favorable payback under optimistic published assumptions, it should not be treated as a near-term landed-cost reducer.</w:t>
      </w:r>
    </w:p>
    <w:p>
      <w:pPr>
        <w:pStyle w:val="FirstParagraph"/>
      </w:pPr>
      <w:r>
        <w:t xml:space="preserve">The elasticity also helps policy audiences avoid a common category error. ISRU is sometimes evaluated as if local production is automatically superior to Earth launch. That is not true. Local production has its own capital cost, delivery cost, risk, autonomy burden, and power demand. The advantage emerges only when output scales relative to system mass and when mission demand can absorb the output. The empirical result here puts that claim into measurable form.</w:t>
      </w:r>
    </w:p>
    <w:bookmarkEnd w:id="66"/>
    <w:bookmarkStart w:id="67" w:name="limitations"/>
    <w:p>
      <w:pPr>
        <w:pStyle w:val="Heading2"/>
      </w:pPr>
      <w:r>
        <w:t xml:space="preserve">Limitations</w:t>
      </w:r>
    </w:p>
    <w:p>
      <w:pPr>
        <w:pStyle w:val="FirstParagraph"/>
      </w:pPr>
      <w:r>
        <w:t xml:space="preserve">The evidence is limited to one published table, and the observations are not independent operating records. They are outputs from a structured design study. The analysis should therefore be read as an internal consistency test of a published strategy space. It does not estimate launch prices, surface construction costs, workforce constraints, maintenance burden, or financing. It also does not model strategic behavior by commercial providers or government anchor tenants.</w:t>
      </w:r>
    </w:p>
    <w:p>
      <w:pPr>
        <w:pStyle w:val="BodyText"/>
      </w:pPr>
      <w:r>
        <w:t xml:space="preserve">The learning-curve label is used because the project estimator implements a log-log learning curve form. In this paper, the coefficient is interpreted as an elasticity between two design-output variables. It is not a historical learning rate from cumulative production experience. That distinction is essential. The Moon does not yet provide a mature operating series from which to estimate true industrial learning.</w:t>
      </w:r>
    </w:p>
    <w:bookmarkEnd w:id="67"/>
    <w:bookmarkStart w:id="68" w:name="conclusion"/>
    <w:p>
      <w:pPr>
        <w:pStyle w:val="Heading2"/>
      </w:pPr>
      <w:r>
        <w:t xml:space="preserve">Conclusion</w:t>
      </w:r>
    </w:p>
    <w:p>
      <w:pPr>
        <w:pStyle w:val="FirstParagraph"/>
      </w:pPr>
      <w:r>
        <w:t xml:space="preserve">The log-log model finds a strong elasticity between mass-energy efficiency and mass payback in published lunar oxygen facility strategy data. A one percent increase in efficiency is associated with about a 1.13 percent increase in payback, and the relationship explains roughly 69 percent of the observed variation. The result supports a disciplined answer to the dissertation question. Lunar ISRU can lower landed cost only when the production architecture couples energy efficiency with high mass payback. The source table shows that some strategies move in that direction, but it also warns against treating resource access by itself as an economic win.</w:t>
      </w:r>
    </w:p>
    <w:bookmarkEnd w:id="68"/>
    <w:bookmarkStart w:id="84" w:name="references"/>
    <w:p>
      <w:pPr>
        <w:pStyle w:val="Heading2"/>
      </w:pPr>
      <w:r>
        <w:t xml:space="preserve">References</w:t>
      </w:r>
    </w:p>
    <w:p>
      <w:pPr>
        <w:pStyle w:val="FirstParagraph"/>
      </w:pPr>
      <w:bookmarkStart w:id="69" w:name="ref-1"/>
      <w:bookmarkEnd w:id="69"/>
      <w:r>
        <w:t xml:space="preserve">1. K. Ikeya, F. J. Guerrero-Gonzalez, L. Kiewiet, M.-A. Cardin, J. J. Cilliers, S. Starr, and K. Hadler,</w:t>
      </w:r>
      <w:r>
        <w:t xml:space="preserve"> </w:t>
      </w:r>
      <w:r>
        <w:t xml:space="preserve">“Hybrid lunar ISRU plant: A comparative analysis with carbothermal reduction and water extraction,”</w:t>
      </w:r>
      <w:r>
        <w:t xml:space="preserve"> </w:t>
      </w:r>
      <w:r>
        <w:t xml:space="preserve">Acta Astronautica, vol. 230, 2025. doi:</w:t>
      </w:r>
      <w:r>
        <w:t xml:space="preserve"> </w:t>
      </w:r>
      <w:hyperlink r:id="rId70">
        <w:r>
          <w:rPr>
            <w:rStyle w:val="Hyperlink"/>
          </w:rPr>
          <w:t xml:space="preserve">10.1016/j.actaastro.2025.02.004</w:t>
        </w:r>
      </w:hyperlink>
    </w:p>
    <w:p>
      <w:pPr>
        <w:pStyle w:val="BodyText"/>
      </w:pPr>
      <w:bookmarkStart w:id="71" w:name="ref-2"/>
      <w:bookmarkEnd w:id="71"/>
      <w:r>
        <w:t xml:space="preserve">2. B. McKeown, A. G. Dempster, S. Saydam, and J. Coulton,</w:t>
      </w:r>
      <w:r>
        <w:t xml:space="preserve"> </w:t>
      </w:r>
      <w:r>
        <w:t xml:space="preserve">“Placing lunar resources research in the context of mining feasibility studies,”</w:t>
      </w:r>
      <w:r>
        <w:t xml:space="preserve"> </w:t>
      </w:r>
      <w:r>
        <w:t xml:space="preserve">Acta Astronautica, vol. 233, 2025. doi:</w:t>
      </w:r>
      <w:r>
        <w:t xml:space="preserve"> </w:t>
      </w:r>
      <w:hyperlink r:id="rId72">
        <w:r>
          <w:rPr>
            <w:rStyle w:val="Hyperlink"/>
          </w:rPr>
          <w:t xml:space="preserve">10.1016/j.actaastro.2025.04.041</w:t>
        </w:r>
      </w:hyperlink>
    </w:p>
    <w:p>
      <w:pPr>
        <w:pStyle w:val="BodyText"/>
      </w:pPr>
      <w:bookmarkStart w:id="73" w:name="ref-3"/>
      <w:bookmarkEnd w:id="73"/>
      <w:r>
        <w:t xml:space="preserve">3. L. Salman, F. J. Guerrero-Gonzalez, R. Ubiennyh, G. Detrell, and P. Reiss,</w:t>
      </w:r>
      <w:r>
        <w:t xml:space="preserve"> </w:t>
      </w:r>
      <w:r>
        <w:t xml:space="preserve">“In-situ manufacturing of photobioreactors on the Moon using local resources,”</w:t>
      </w:r>
      <w:r>
        <w:t xml:space="preserve"> </w:t>
      </w:r>
      <w:r>
        <w:t xml:space="preserve">Acta Astronautica, vol. 236, 2025. doi:</w:t>
      </w:r>
      <w:r>
        <w:t xml:space="preserve"> </w:t>
      </w:r>
      <w:hyperlink r:id="rId74">
        <w:r>
          <w:rPr>
            <w:rStyle w:val="Hyperlink"/>
          </w:rPr>
          <w:t xml:space="preserve">10.1016/j.actaastro.2025.07.033</w:t>
        </w:r>
      </w:hyperlink>
    </w:p>
    <w:p>
      <w:pPr>
        <w:pStyle w:val="BodyText"/>
      </w:pPr>
      <w:bookmarkStart w:id="75" w:name="ref-4"/>
      <w:bookmarkEnd w:id="75"/>
      <w:r>
        <w:t xml:space="preserve">4. J. Robinot, S. Rodat, S. Abanades, A. Paillet, and A. Cowley,</w:t>
      </w:r>
      <w:r>
        <w:t xml:space="preserve"> </w:t>
      </w:r>
      <w:r>
        <w:t xml:space="preserve">“Review of in-situ oxygen extraction from lunar regolith with focus on solar thermal and laser vacuum pyrolysis,”</w:t>
      </w:r>
      <w:r>
        <w:t xml:space="preserve"> </w:t>
      </w:r>
      <w:r>
        <w:t xml:space="preserve">Acta Astronautica, vol. 234, 2025. doi:</w:t>
      </w:r>
      <w:r>
        <w:t xml:space="preserve"> </w:t>
      </w:r>
      <w:hyperlink r:id="rId76">
        <w:r>
          <w:rPr>
            <w:rStyle w:val="Hyperlink"/>
          </w:rPr>
          <w:t xml:space="preserve">10.1016/j.actaastro.2025.05.008</w:t>
        </w:r>
      </w:hyperlink>
    </w:p>
    <w:p>
      <w:pPr>
        <w:pStyle w:val="BodyText"/>
      </w:pPr>
      <w:bookmarkStart w:id="77" w:name="ref-5"/>
      <w:bookmarkEnd w:id="77"/>
      <w:r>
        <w:t xml:space="preserve">5. K. Ikeya, M.-A. Cardin, J. J. Cilliers, S. Starr, and K. Hadler,</w:t>
      </w:r>
      <w:r>
        <w:t xml:space="preserve"> </w:t>
      </w:r>
      <w:r>
        <w:t xml:space="preserve">“Multi-objective decision-making for flexible design and planning of oxygen production facilities in an uncertain lunar environment,”</w:t>
      </w:r>
      <w:r>
        <w:t xml:space="preserve"> </w:t>
      </w:r>
      <w:r>
        <w:t xml:space="preserve">Acta Astronautica, vol. 236, 2025. doi:</w:t>
      </w:r>
      <w:r>
        <w:t xml:space="preserve"> </w:t>
      </w:r>
      <w:hyperlink r:id="rId78">
        <w:r>
          <w:rPr>
            <w:rStyle w:val="Hyperlink"/>
          </w:rPr>
          <w:t xml:space="preserve">10.1016/j.actaastro.2025.07.014</w:t>
        </w:r>
      </w:hyperlink>
    </w:p>
    <w:p>
      <w:pPr>
        <w:pStyle w:val="BodyText"/>
      </w:pPr>
      <w:bookmarkStart w:id="79" w:name="ref-6"/>
      <w:bookmarkEnd w:id="79"/>
      <w:r>
        <w:t xml:space="preserve">6. OCEA,</w:t>
      </w:r>
      <w:r>
        <w:t xml:space="preserve"> </w:t>
      </w:r>
      <w:r>
        <w:t xml:space="preserve">“Forecasting the Space Economy,”</w:t>
      </w:r>
      <w:r>
        <w:t xml:space="preserve"> </w:t>
      </w:r>
      <w:r>
        <w:t xml:space="preserve">Space Economy Papers corpus, source key SD08.</w:t>
      </w:r>
    </w:p>
    <w:p>
      <w:pPr>
        <w:pStyle w:val="BodyText"/>
      </w:pPr>
      <w:bookmarkStart w:id="80" w:name="ref-7"/>
      <w:bookmarkEnd w:id="80"/>
      <w:r>
        <w:t xml:space="preserve">7. L. Malone, M.-A. Cardin, J. J. Cilliers, S. Starr, and K. Hadler,</w:t>
      </w:r>
      <w:r>
        <w:t xml:space="preserve"> </w:t>
      </w:r>
      <w:r>
        <w:t xml:space="preserve">“Controlled user study on the role of situational awareness in design decisions for future lunar In-situ resource utilization systems,”</w:t>
      </w:r>
      <w:r>
        <w:t xml:space="preserve"> </w:t>
      </w:r>
      <w:r>
        <w:t xml:space="preserve">Acta Astronautica, vol. 246, 2026. doi:</w:t>
      </w:r>
      <w:r>
        <w:t xml:space="preserve"> </w:t>
      </w:r>
      <w:hyperlink r:id="rId81">
        <w:r>
          <w:rPr>
            <w:rStyle w:val="Hyperlink"/>
          </w:rPr>
          <w:t xml:space="preserve">10.1016/j.actaastro.2026.04.012</w:t>
        </w:r>
      </w:hyperlink>
    </w:p>
    <w:p>
      <w:pPr>
        <w:pStyle w:val="BodyText"/>
      </w:pPr>
      <w:bookmarkStart w:id="82" w:name="ref-8"/>
      <w:bookmarkEnd w:id="82"/>
      <w:r>
        <w:t xml:space="preserve">8. J. J. Cilliers, J. Rasera, and K. Hadler,</w:t>
      </w:r>
      <w:r>
        <w:t xml:space="preserve"> </w:t>
      </w:r>
      <w:r>
        <w:t xml:space="preserve">“Estimating the scale of Space Resource Utilisation operations to satisfy lunar oxygen demand,”</w:t>
      </w:r>
      <w:r>
        <w:t xml:space="preserve"> </w:t>
      </w:r>
      <w:r>
        <w:t xml:space="preserve">Planetary and Space Science, vol. 180, 2020, 104749. doi:</w:t>
      </w:r>
      <w:r>
        <w:t xml:space="preserve"> </w:t>
      </w:r>
      <w:hyperlink r:id="rId83">
        <w:r>
          <w:rPr>
            <w:rStyle w:val="Hyperlink"/>
          </w:rPr>
          <w:t xml:space="preserve">10.1016/j.pss.2019.104749</w:t>
        </w:r>
      </w:hyperlink>
    </w:p>
    <w:bookmarkEnd w:id="84"/>
    <w:bookmarkStart w:id="85" w:name="specification"/>
    <w:p>
      <w:pPr>
        <w:pStyle w:val="Heading2"/>
      </w:pPr>
      <w:r>
        <w:t xml:space="preserve">Specification</w:t>
      </w:r>
    </w:p>
    <w:p>
      <w:pPr>
        <w:pStyle w:val="FirstParagraph"/>
      </w:pPr>
      <m:oMathPara>
        <m:oMathParaPr>
          <m:jc m:val="center"/>
        </m:oMathParaPr>
        <m:oMath>
          <m:r>
            <m:rPr>
              <m:sty m:val="p"/>
            </m:rPr>
            <m:t>ln</m:t>
          </m:r>
          <m:r>
            <m:rPr>
              <m:sty m:val="p"/>
            </m:rPr>
            <m:t>(</m:t>
          </m:r>
          <m:sSub>
            <m:e>
              <m:r>
                <m:t>P</m:t>
              </m:r>
            </m:e>
            <m:sub>
              <m:r>
                <m:t>i</m:t>
              </m:r>
            </m:sub>
          </m:sSub>
          <m:r>
            <m:rPr>
              <m:sty m:val="p"/>
            </m:rPr>
            <m:t>)</m:t>
          </m:r>
          <m:r>
            <m:rPr>
              <m:sty m:val="p"/>
            </m:rPr>
            <m:t>=</m:t>
          </m:r>
          <m:r>
            <m:t>α</m:t>
          </m:r>
          <m:r>
            <m:rPr>
              <m:sty m:val="p"/>
            </m:rPr>
            <m:t>+</m:t>
          </m:r>
          <m:r>
            <m:t>β</m:t>
          </m:r>
          <m:r>
            <m:rPr>
              <m:sty m:val="p"/>
            </m:rPr>
            <m:t>ln</m:t>
          </m:r>
          <m:r>
            <m:rPr>
              <m:sty m:val="p"/>
            </m:rPr>
            <m:t>(</m:t>
          </m:r>
          <m:sSub>
            <m:e>
              <m:r>
                <m:t>E</m:t>
              </m:r>
            </m:e>
            <m:sub>
              <m:r>
                <m:t>i</m:t>
              </m:r>
            </m:sub>
          </m:sSub>
          <m:r>
            <m:rPr>
              <m:sty m:val="p"/>
            </m:rPr>
            <m:t>)</m:t>
          </m:r>
          <m:r>
            <m:rPr>
              <m:sty m:val="p"/>
            </m:rPr>
            <m:t>+</m:t>
          </m:r>
          <m:sSub>
            <m:e>
              <m:r>
                <m:t>ε</m:t>
              </m:r>
            </m:e>
            <m:sub>
              <m:r>
                <m:t>i</m:t>
              </m:r>
            </m:sub>
          </m:sSub>
        </m:oMath>
      </m:oMathPara>
    </w:p>
    <w:bookmarkEnd w:id="85"/>
    <w:bookmarkStart w:id="8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0.4502</w:t>
            </w:r>
          </w:p>
        </w:tc>
        <w:tc>
          <w:tcPr>
            <w:tcW w:w="0" w:type="auto"/>
          </w:tcPr>
          <w:p>
            <w:pPr>
              <w:spacing w:line="240" w:lineRule="auto" w:before="0" w:after="0"/>
              <w:pStyle w:val="Compact"/>
            </w:pPr>
            <w:r>
              <w:rPr>
                <w:sz w:val="20"/>
                <w:szCs w:val="20"/>
              </w:rPr>
              <w:t xml:space="preserve">0.1914</w:t>
            </w:r>
          </w:p>
        </w:tc>
        <w:tc>
          <w:tcPr>
            <w:tcW w:w="0" w:type="auto"/>
          </w:tcPr>
          <w:p>
            <w:pPr>
              <w:spacing w:line="240" w:lineRule="auto" w:before="0" w:after="0"/>
              <w:pStyle w:val="Compact"/>
            </w:pPr>
            <w:r>
              <w:rPr>
                <w:sz w:val="20"/>
                <w:szCs w:val="20"/>
              </w:rPr>
              <w:t xml:space="preserve">2.3517</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[0.075, 0.8253]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1.1261</w:t>
            </w:r>
          </w:p>
        </w:tc>
        <w:tc>
          <w:tcPr>
            <w:tcW w:w="0" w:type="auto"/>
          </w:tcPr>
          <w:p>
            <w:pPr>
              <w:spacing w:line="240" w:lineRule="auto" w:before="0" w:after="0"/>
              <w:pStyle w:val="Compact"/>
            </w:pPr>
            <w:r>
              <w:rPr>
                <w:sz w:val="20"/>
                <w:szCs w:val="20"/>
              </w:rPr>
              <w:t xml:space="preserve">0.095</w:t>
            </w:r>
          </w:p>
        </w:tc>
        <w:tc>
          <w:tcPr>
            <w:tcW w:w="0" w:type="auto"/>
          </w:tcPr>
          <w:p>
            <w:pPr>
              <w:spacing w:line="240" w:lineRule="auto" w:before="0" w:after="0"/>
              <w:pStyle w:val="Compact"/>
            </w:pPr>
            <w:r>
              <w:rPr>
                <w:sz w:val="20"/>
                <w:szCs w:val="20"/>
              </w:rPr>
              <w:t xml:space="preserve">11.8587</w:t>
            </w:r>
          </w:p>
        </w:tc>
        <w:tc>
          <w:tcPr>
            <w:tcW w:w="0" w:type="auto"/>
          </w:tcPr>
          <w:p>
            <w:pPr>
              <w:spacing w:line="240" w:lineRule="auto" w:before="0" w:after="0"/>
              <w:pStyle w:val="Compact"/>
            </w:pPr>
            <w:r>
              <w:rPr>
                <w:sz w:val="20"/>
                <w:szCs w:val="20"/>
              </w:rPr>
              <w:t xml:space="preserve">1.94e-32</w:t>
            </w:r>
          </w:p>
        </w:tc>
        <w:tc>
          <w:tcPr>
            <w:tcW w:w="0" w:type="auto"/>
          </w:tcPr>
          <w:p>
            <w:pPr>
              <w:spacing w:line="240" w:lineRule="auto" w:before="0" w:after="0"/>
              <w:pStyle w:val="Compact"/>
            </w:pPr>
            <w:r>
              <w:rPr>
                <w:sz w:val="20"/>
                <w:szCs w:val="20"/>
              </w:rPr>
              <w:t xml:space="preserve">[0.9399, 1.3122]</w:t>
            </w:r>
          </w:p>
        </w:tc>
      </w:tr>
    </w:tbl>
    <w:p>
      <w:pPr>
        <w:pStyle w:val="BodyText"/>
      </w:pPr>
      <w:r>
        <w:t xml:space="preserve">Fit: N = 36 R2 = 0.6907 elasticity_b = 1.1261 progress_ratio_2^b = 2.1826</w:t>
      </w:r>
    </w:p>
    <w:p>
      <w:pPr>
        <w:pStyle w:val="CaptionedFigure"/>
      </w:pPr>
      <w:r>
        <w:drawing>
          <wp:inline>
            <wp:extent cx="5669280" cy="3657600"/>
            <wp:effectExtent b="0" l="0" r="0" t="0"/>
            <wp:docPr descr="Figure 1. Figure 1. Log-log relationship between mass-energy efficiency and mass payback." title="" id="87" name="Picture"/>
            <a:graphic>
              <a:graphicData uri="http://schemas.openxmlformats.org/drawingml/2006/picture">
                <pic:pic>
                  <pic:nvPicPr>
                    <pic:cNvPr descr="D:\Claude_Code\brain\collegium\candidates\dissertations\CISLUNAR_DEV_01\research_papers\p2\paper_fig1.png" id="88" name="Picture"/>
                    <pic:cNvPicPr>
                      <a:picLocks noChangeArrowheads="1" noChangeAspect="1"/>
                    </pic:cNvPicPr>
                  </pic:nvPicPr>
                  <pic:blipFill>
                    <a:blip r:embed="rId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Log-log relationship between mass-energy efficiency and mass payback.</w:t>
      </w:r>
    </w:p>
    <w:bookmarkEnd w:id="89"/>
    <w:bookmarkStart w:id="9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strategy</w:t>
            </w:r>
          </w:p>
        </w:tc>
        <w:tc>
          <w:tcPr>
            <w:tcW w:w="0" w:type="auto"/>
          </w:tcPr>
          <w:p>
            <w:pPr>
              <w:spacing w:line="240" w:lineRule="auto" w:before="0" w:after="0"/>
              <w:pStyle w:val="Compact"/>
            </w:pPr>
            <w:r>
              <w:rPr>
                <w:sz w:val="20"/>
                <w:szCs w:val="20"/>
              </w:rPr>
              <w:t xml:space="preserve">architecture_kind</w:t>
            </w:r>
          </w:p>
        </w:tc>
        <w:tc>
          <w:tcPr>
            <w:tcW w:w="0" w:type="auto"/>
          </w:tcPr>
          <w:p>
            <w:pPr>
              <w:spacing w:line="240" w:lineRule="auto" w:before="0" w:after="0"/>
              <w:pStyle w:val="Compact"/>
            </w:pPr>
            <w:r>
              <w:rPr>
                <w:sz w:val="20"/>
                <w:szCs w:val="20"/>
              </w:rPr>
              <w:t xml:space="preserve">uncertainty_point</w:t>
            </w:r>
          </w:p>
        </w:tc>
        <w:tc>
          <w:tcPr>
            <w:tcW w:w="0" w:type="auto"/>
          </w:tcPr>
          <w:p>
            <w:pPr>
              <w:spacing w:line="240" w:lineRule="auto" w:before="0" w:after="0"/>
              <w:pStyle w:val="Compact"/>
            </w:pPr>
            <w:r>
              <w:rPr>
                <w:sz w:val="20"/>
                <w:szCs w:val="20"/>
              </w:rPr>
              <w:t xml:space="preserve">uncertainty_percentile</w:t>
            </w:r>
          </w:p>
        </w:tc>
        <w:tc>
          <w:tcPr>
            <w:tcW w:w="0" w:type="auto"/>
          </w:tcPr>
          <w:p>
            <w:pPr>
              <w:spacing w:line="240" w:lineRule="auto" w:before="0" w:after="0"/>
              <w:pStyle w:val="Compact"/>
            </w:pPr>
            <w:r>
              <w:rPr>
                <w:sz w:val="20"/>
                <w:szCs w:val="20"/>
              </w:rPr>
              <w:t xml:space="preserve">oxygen_yield_pct</w:t>
            </w:r>
          </w:p>
        </w:tc>
        <w:tc>
          <w:tcPr>
            <w:tcW w:w="0" w:type="auto"/>
          </w:tcPr>
          <w:p>
            <w:pPr>
              <w:spacing w:line="240" w:lineRule="auto" w:before="0" w:after="0"/>
              <w:pStyle w:val="Compact"/>
            </w:pPr>
            <w:r>
              <w:rPr>
                <w:sz w:val="20"/>
                <w:szCs w:val="20"/>
              </w:rPr>
              <w:t xml:space="preserve">mass_payback</w:t>
            </w:r>
          </w:p>
        </w:tc>
        <w:tc>
          <w:tcPr>
            <w:tcW w:w="0" w:type="auto"/>
          </w:tcPr>
          <w:p>
            <w:pPr>
              <w:spacing w:line="240" w:lineRule="auto" w:before="0" w:after="0"/>
              <w:pStyle w:val="Compact"/>
            </w:pPr>
            <w:r>
              <w:rPr>
                <w:sz w:val="20"/>
                <w:szCs w:val="20"/>
              </w:rPr>
              <w:t xml:space="preserve">mass_energy_efficiency</w:t>
            </w:r>
          </w:p>
        </w:tc>
        <w:tc>
          <w:tcPr>
            <w:tcW w:w="0" w:type="auto"/>
          </w:tcPr>
          <w:p>
            <w:pPr>
              <w:spacing w:line="240" w:lineRule="auto" w:before="0" w:after="0"/>
              <w:pStyle w:val="Compact"/>
            </w:pPr>
            <w:r>
              <w:rPr>
                <w:sz w:val="20"/>
                <w:szCs w:val="20"/>
              </w:rPr>
              <w:t xml:space="preserve">is_hybrid_strategy</w:t>
            </w:r>
          </w:p>
        </w:tc>
        <w:tc>
          <w:tcPr>
            <w:tcW w:w="0" w:type="auto"/>
          </w:tcPr>
          <w:p>
            <w:pPr>
              <w:spacing w:line="240" w:lineRule="auto" w:before="0" w:after="0"/>
              <w:pStyle w:val="Compact"/>
            </w:pPr>
            <w:r>
              <w:rPr>
                <w:sz w:val="20"/>
                <w:szCs w:val="20"/>
              </w:rPr>
              <w:t xml:space="preserve">is_parallel_strategy</w:t>
            </w:r>
          </w:p>
        </w:tc>
        <w:tc>
          <w:tcPr>
            <w:tcW w:w="0" w:type="auto"/>
          </w:tcPr>
          <w:p>
            <w:pPr>
              <w:spacing w:line="240" w:lineRule="auto" w:before="0" w:after="0"/>
              <w:pStyle w:val="Compact"/>
            </w:pPr>
            <w:r>
              <w:rPr>
                <w:sz w:val="20"/>
                <w:szCs w:val="20"/>
              </w:rPr>
              <w:t xml:space="preserve">is_series_strategy</w:t>
            </w:r>
          </w:p>
        </w:tc>
        <w:tc>
          <w:tcPr>
            <w:tcW w:w="0" w:type="auto"/>
          </w:tcPr>
          <w:p>
            <w:pPr>
              <w:spacing w:line="240" w:lineRule="auto" w:before="0" w:after="0"/>
              <w:pStyle w:val="Compact"/>
            </w:pPr>
            <w:r>
              <w:rPr>
                <w:sz w:val="20"/>
                <w:szCs w:val="20"/>
              </w:rPr>
              <w:t xml:space="preserve">high_payback</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CR</w:t>
            </w:r>
          </w:p>
        </w:tc>
        <w:tc>
          <w:tcPr>
            <w:tcW w:w="0" w:type="auto"/>
          </w:tcPr>
          <w:p>
            <w:pPr>
              <w:spacing w:line="240" w:lineRule="auto" w:before="0" w:after="0"/>
              <w:pStyle w:val="Compact"/>
            </w:pPr>
            <w:r>
              <w:rPr>
                <w:sz w:val="20"/>
                <w:szCs w:val="20"/>
              </w:rPr>
              <w:t xml:space="preserve">carbothermal</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CR</w:t>
            </w:r>
          </w:p>
        </w:tc>
        <w:tc>
          <w:tcPr>
            <w:tcW w:w="0" w:type="auto"/>
          </w:tcPr>
          <w:p>
            <w:pPr>
              <w:spacing w:line="240" w:lineRule="auto" w:before="0" w:after="0"/>
              <w:pStyle w:val="Compact"/>
            </w:pPr>
            <w:r>
              <w:rPr>
                <w:sz w:val="20"/>
                <w:szCs w:val="20"/>
              </w:rPr>
              <w:t xml:space="preserve">carbothermal</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CR</w:t>
            </w:r>
          </w:p>
        </w:tc>
        <w:tc>
          <w:tcPr>
            <w:tcW w:w="0" w:type="auto"/>
          </w:tcPr>
          <w:p>
            <w:pPr>
              <w:spacing w:line="240" w:lineRule="auto" w:before="0" w:after="0"/>
              <w:pStyle w:val="Compact"/>
            </w:pPr>
            <w:r>
              <w:rPr>
                <w:sz w:val="20"/>
                <w:szCs w:val="20"/>
              </w:rPr>
              <w:t xml:space="preserve">carbothermal</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WE</w:t>
            </w:r>
          </w:p>
        </w:tc>
        <w:tc>
          <w:tcPr>
            <w:tcW w:w="0" w:type="auto"/>
          </w:tcPr>
          <w:p>
            <w:pPr>
              <w:spacing w:line="240" w:lineRule="auto" w:before="0" w:after="0"/>
              <w:pStyle w:val="Compact"/>
            </w:pPr>
            <w:r>
              <w:rPr>
                <w:sz w:val="20"/>
                <w:szCs w:val="20"/>
              </w:rPr>
              <w:t xml:space="preserve">water_extraction</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WE</w:t>
            </w:r>
          </w:p>
        </w:tc>
        <w:tc>
          <w:tcPr>
            <w:tcW w:w="0" w:type="auto"/>
          </w:tcPr>
          <w:p>
            <w:pPr>
              <w:spacing w:line="240" w:lineRule="auto" w:before="0" w:after="0"/>
              <w:pStyle w:val="Compact"/>
            </w:pPr>
            <w:r>
              <w:rPr>
                <w:sz w:val="20"/>
                <w:szCs w:val="20"/>
              </w:rPr>
              <w:t xml:space="preserve">water_extraction</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WE</w:t>
            </w:r>
          </w:p>
        </w:tc>
        <w:tc>
          <w:tcPr>
            <w:tcW w:w="0" w:type="auto"/>
          </w:tcPr>
          <w:p>
            <w:pPr>
              <w:spacing w:line="240" w:lineRule="auto" w:before="0" w:after="0"/>
              <w:pStyle w:val="Compact"/>
            </w:pPr>
            <w:r>
              <w:rPr>
                <w:sz w:val="20"/>
                <w:szCs w:val="20"/>
              </w:rPr>
              <w:t xml:space="preserve">water_extraction</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P.0</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P.0</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P.0</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S.0</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S.0</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S.0</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16.9</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bl>
    <w:bookmarkEnd w:id="90"/>
    <w:bookmarkStart w:id="9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mass_payback</w:t>
            </w:r>
          </w:p>
        </w:tc>
        <w:tc>
          <w:tcPr>
            <w:tcW w:w="0" w:type="auto"/>
          </w:tcPr>
          <w:p>
            <w:pPr>
              <w:spacing w:line="240" w:lineRule="auto" w:before="0" w:after="0"/>
              <w:pStyle w:val="Compact"/>
            </w:pPr>
            <w:r>
              <w:rPr>
                <w:sz w:val="20"/>
                <w:szCs w:val="20"/>
              </w:rPr>
              <w:t xml:space="preserve">Mass payback ratio from the Acta multi-criteria table.</w:t>
            </w:r>
          </w:p>
        </w:tc>
        <w:tc>
          <w:tcPr>
            <w:tcW w:w="0" w:type="auto"/>
          </w:tcPr>
          <w:p>
            <w:pPr>
              <w:spacing w:line="240" w:lineRule="auto" w:before="0" w:after="0"/>
              <w:pStyle w:val="Compact"/>
            </w:pPr>
            <w:r>
              <w:rPr>
                <w:sz w:val="20"/>
                <w:szCs w:val="20"/>
              </w:rPr>
              <w:t xml:space="preserve">Ikeya et al. 2025 Acta Astronautica 236 Table 7.</w:t>
            </w:r>
          </w:p>
        </w:tc>
      </w:tr>
      <w:tr>
        <w:tc>
          <w:tcPr>
            <w:tcW w:w="0" w:type="auto"/>
          </w:tcPr>
          <w:p>
            <w:pPr>
              <w:spacing w:line="240" w:lineRule="auto" w:before="0" w:after="0"/>
              <w:pStyle w:val="Compact"/>
            </w:pPr>
            <w:r>
              <w:rPr>
                <w:sz w:val="20"/>
                <w:szCs w:val="20"/>
              </w:rPr>
              <w:t xml:space="preserve">mass_energy_efficiency</w:t>
            </w:r>
          </w:p>
        </w:tc>
        <w:tc>
          <w:tcPr>
            <w:tcW w:w="0" w:type="auto"/>
          </w:tcPr>
          <w:p>
            <w:pPr>
              <w:spacing w:line="240" w:lineRule="auto" w:before="0" w:after="0"/>
              <w:pStyle w:val="Compact"/>
            </w:pPr>
            <w:r>
              <w:rPr>
                <w:sz w:val="20"/>
                <w:szCs w:val="20"/>
              </w:rPr>
              <w:t xml:space="preserve">Mass of oxygen per unit total energy, reported in the Acta table as 10^-5 t per kWh.</w:t>
            </w:r>
          </w:p>
        </w:tc>
        <w:tc>
          <w:tcPr>
            <w:tcW w:w="0" w:type="auto"/>
          </w:tcPr>
          <w:p>
            <w:pPr>
              <w:spacing w:line="240" w:lineRule="auto" w:before="0" w:after="0"/>
              <w:pStyle w:val="Compact"/>
            </w:pPr>
            <w:r>
              <w:rPr>
                <w:sz w:val="20"/>
                <w:szCs w:val="20"/>
              </w:rPr>
              <w:t xml:space="preserve">Ikeya et al. 2025 Acta Astronautica 236 Table 7.</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source note.</w:t>
            </w:r>
          </w:p>
        </w:tc>
        <w:tc>
          <w:tcPr>
            <w:tcW w:w="0" w:type="auto"/>
          </w:tcPr>
          <w:p>
            <w:pPr>
              <w:spacing w:line="240" w:lineRule="auto" w:before="0" w:after="0"/>
              <w:pStyle w:val="Compact"/>
            </w:pPr>
            <w:r>
              <w:rPr>
                <w:sz w:val="20"/>
                <w:szCs w:val="20"/>
              </w:rPr>
              <w:t xml:space="preserve">Last column from the compiled data CSV.</w:t>
            </w:r>
          </w:p>
        </w:tc>
      </w:tr>
    </w:tbl>
    <w:bookmarkEnd w:id="91"/>
    <w:bookmarkStart w:id="9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0.4502</w:t>
            </w:r>
          </w:p>
        </w:tc>
        <w:tc>
          <w:tcPr>
            <w:tcW w:w="0" w:type="auto"/>
          </w:tcPr>
          <w:p>
            <w:pPr>
              <w:spacing w:line="240" w:lineRule="auto" w:before="0" w:after="0"/>
              <w:pStyle w:val="Compact"/>
            </w:pPr>
            <w:r>
              <w:rPr>
                <w:sz w:val="20"/>
                <w:szCs w:val="20"/>
              </w:rPr>
              <w:t xml:space="preserve">0.1914</w:t>
            </w:r>
          </w:p>
        </w:tc>
        <w:tc>
          <w:tcPr>
            <w:tcW w:w="0" w:type="auto"/>
          </w:tcPr>
          <w:p>
            <w:pPr>
              <w:spacing w:line="240" w:lineRule="auto" w:before="0" w:after="0"/>
              <w:pStyle w:val="Compact"/>
            </w:pPr>
            <w:r>
              <w:rPr>
                <w:sz w:val="20"/>
                <w:szCs w:val="20"/>
              </w:rPr>
              <w:t xml:space="preserve">2.3517</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[0.075, 0.8253]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1.1261</w:t>
            </w:r>
          </w:p>
        </w:tc>
        <w:tc>
          <w:tcPr>
            <w:tcW w:w="0" w:type="auto"/>
          </w:tcPr>
          <w:p>
            <w:pPr>
              <w:spacing w:line="240" w:lineRule="auto" w:before="0" w:after="0"/>
              <w:pStyle w:val="Compact"/>
            </w:pPr>
            <w:r>
              <w:rPr>
                <w:sz w:val="20"/>
                <w:szCs w:val="20"/>
              </w:rPr>
              <w:t xml:space="preserve">0.095</w:t>
            </w:r>
          </w:p>
        </w:tc>
        <w:tc>
          <w:tcPr>
            <w:tcW w:w="0" w:type="auto"/>
          </w:tcPr>
          <w:p>
            <w:pPr>
              <w:spacing w:line="240" w:lineRule="auto" w:before="0" w:after="0"/>
              <w:pStyle w:val="Compact"/>
            </w:pPr>
            <w:r>
              <w:rPr>
                <w:sz w:val="20"/>
                <w:szCs w:val="20"/>
              </w:rPr>
              <w:t xml:space="preserve">11.8587</w:t>
            </w:r>
          </w:p>
        </w:tc>
        <w:tc>
          <w:tcPr>
            <w:tcW w:w="0" w:type="auto"/>
          </w:tcPr>
          <w:p>
            <w:pPr>
              <w:spacing w:line="240" w:lineRule="auto" w:before="0" w:after="0"/>
              <w:pStyle w:val="Compact"/>
            </w:pPr>
            <w:r>
              <w:rPr>
                <w:sz w:val="20"/>
                <w:szCs w:val="20"/>
              </w:rPr>
              <w:t xml:space="preserve">1.94e-32</w:t>
            </w:r>
          </w:p>
        </w:tc>
        <w:tc>
          <w:tcPr>
            <w:tcW w:w="0" w:type="auto"/>
          </w:tcPr>
          <w:p>
            <w:pPr>
              <w:spacing w:line="240" w:lineRule="auto" w:before="0" w:after="0"/>
              <w:pStyle w:val="Compact"/>
            </w:pPr>
            <w:r>
              <w:rPr>
                <w:sz w:val="20"/>
                <w:szCs w:val="20"/>
              </w:rPr>
              <w:t xml:space="preserve">[0.9399, 1.3122]</w:t>
            </w:r>
          </w:p>
        </w:tc>
      </w:tr>
    </w:tbl>
    <w:p>
      <w:pPr>
        <w:pStyle w:val="BodyText"/>
      </w:pPr>
      <w:r>
        <w:t xml:space="preserve">Fit: N = 36 R2 = 0.6907 elasticity_b = 1.1261 progress_ratio_2^b = 2.1826</w:t>
      </w:r>
    </w:p>
    <w:bookmarkEnd w:id="92"/>
    <w:bookmarkEnd w:id="93"/>
    <w:bookmarkEnd w:id="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6" Target="media/rId86.png" /><Relationship Type="http://schemas.openxmlformats.org/officeDocument/2006/relationships/hyperlink" Id="rId70" Target="https://doi.org/10.1016/j.actaastro.2025.02.004" TargetMode="External" /><Relationship Type="http://schemas.openxmlformats.org/officeDocument/2006/relationships/hyperlink" Id="rId72" Target="https://doi.org/10.1016/j.actaastro.2025.04.041" TargetMode="External" /><Relationship Type="http://schemas.openxmlformats.org/officeDocument/2006/relationships/hyperlink" Id="rId76" Target="https://doi.org/10.1016/j.actaastro.2025.05.008" TargetMode="External" /><Relationship Type="http://schemas.openxmlformats.org/officeDocument/2006/relationships/hyperlink" Id="rId78" Target="https://doi.org/10.1016/j.actaastro.2025.07.014" TargetMode="External" /><Relationship Type="http://schemas.openxmlformats.org/officeDocument/2006/relationships/hyperlink" Id="rId74" Target="https://doi.org/10.1016/j.actaastro.2025.07.033" TargetMode="External" /><Relationship Type="http://schemas.openxmlformats.org/officeDocument/2006/relationships/hyperlink" Id="rId81" Target="https://doi.org/10.1016/j.actaastro.2026.04.012" TargetMode="External" /><Relationship Type="http://schemas.openxmlformats.org/officeDocument/2006/relationships/hyperlink" Id="rId83" Target="https://doi.org/10.1016/j.pss.2019.104749"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5.02.004" TargetMode="External" /><Relationship Type="http://schemas.openxmlformats.org/officeDocument/2006/relationships/hyperlink" Id="rId72" Target="https://doi.org/10.1016/j.actaastro.2025.04.041" TargetMode="External" /><Relationship Type="http://schemas.openxmlformats.org/officeDocument/2006/relationships/hyperlink" Id="rId76" Target="https://doi.org/10.1016/j.actaastro.2025.05.008" TargetMode="External" /><Relationship Type="http://schemas.openxmlformats.org/officeDocument/2006/relationships/hyperlink" Id="rId78" Target="https://doi.org/10.1016/j.actaastro.2025.07.014" TargetMode="External" /><Relationship Type="http://schemas.openxmlformats.org/officeDocument/2006/relationships/hyperlink" Id="rId74" Target="https://doi.org/10.1016/j.actaastro.2025.07.033" TargetMode="External" /><Relationship Type="http://schemas.openxmlformats.org/officeDocument/2006/relationships/hyperlink" Id="rId81" Target="https://doi.org/10.1016/j.actaastro.2026.04.012" TargetMode="External" /><Relationship Type="http://schemas.openxmlformats.org/officeDocument/2006/relationships/hyperlink" Id="rId83" Target="https://doi.org/10.1016/j.pss.2019.10474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2026-06-27T21:33:09Z</dcterms:created>
  <dcterms:modified xsi:type="dcterms:W3CDTF">2026-06-27T21:33:09Z</dcterms:modified>
</cp:coreProperties>
</file>

<file path=docProps/custom.xml><?xml version="1.0" encoding="utf-8"?>
<Properties xmlns="http://schemas.openxmlformats.org/officeDocument/2006/custom-properties" xmlns:vt="http://schemas.openxmlformats.org/officeDocument/2006/docPropsVTypes"/>
</file>