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2" w:name="X589f7a478b63a6a0440daefe9b7f17ddb5fa775"/>
    <w:p>
      <w:pPr>
        <w:pStyle w:val="Heading1"/>
      </w:pPr>
      <w:r>
        <w:t xml:space="preserve">Mass Payback and Energy Efficiency in Lunar Oxygen Facility Strategies</w:t>
      </w:r>
    </w:p>
    <w:bookmarkStart w:id="61" w:name="abstract"/>
    <w:p>
      <w:pPr>
        <w:pStyle w:val="Heading2"/>
      </w:pPr>
      <w:r>
        <w:t xml:space="preserve">Abstract</w:t>
      </w:r>
    </w:p>
    <w:p>
      <w:pPr>
        <w:pStyle w:val="FirstParagraph"/>
      </w:pPr>
      <w:r>
        <w:t xml:space="preserve">Lunar in-situ resource utilization is often described as a cost reducer, but the cost argument depends on a hard engineering translation: whether a delivered oxygen plant returns enough oxygen mass to offset its own landed mass and operating burden. This paper tests that translation with 36 real observations from the Acta Astronautica multi-criteria table for lunar oxygen facility strategies. The observations cover 12 strategies across expected, 5 percent cumulative, and 95 percent cumulative uncertainty points, with every row traced to the same published table</w:t>
      </w:r>
      <w:r>
        <w:t xml:space="preserve"> </w:t>
      </w:r>
      <w:hyperlink w:anchor="ref-5">
        <m:oMathPara>
          <m:oMathParaPr>
            <m:jc m:val="center"/>
          </m:oMathParaPr>
          <m:oMath>
            <m:r>
              <m:t>5</m:t>
            </m:r>
          </m:oMath>
        </m:oMathPara>
      </w:hyperlink>
      <w:r>
        <w:t xml:space="preserve">. The dependent variable is mass-energy efficiency, reported in the source table as oxygen mass per unit total energy. The main explanatory variables are oxygen yield, mass payback, and indicators for parallel and series hybrid strategies. Robust OLS estimates show that mass payback is the dominant predictor of mass-energy efficiency. A one-unit increase in mass payback is associated with a 0.4000 increase in mass-energy efficiency units, with p = 8.25e-63. Series hybrid strategies also show a positive conditional association of 0.9042, p = 0.0034, while oxygen yield and parallel hybrid status are not statistically distinguishable from zero in the full model. The model explains 90.3 percent of observed variation. The result reframes the ISRU break-even problem as a portfolio design problem rather than a simple yield-maximization problem.</w:t>
      </w:r>
    </w:p>
    <w:bookmarkEnd w:id="61"/>
    <w:bookmarkStart w:id="62" w:name="introduction"/>
    <w:p>
      <w:pPr>
        <w:pStyle w:val="Heading2"/>
      </w:pPr>
      <w:r>
        <w:t xml:space="preserve">Introduction</w:t>
      </w:r>
    </w:p>
    <w:p>
      <w:pPr>
        <w:pStyle w:val="FirstParagraph"/>
      </w:pPr>
      <w:r>
        <w:t xml:space="preserve">The central economic promise of lunar ISRU is simple: a system launched from Earth may become worth its landed mass if it produces enough useful material on the Moon. The harder question is whether the architecture that delivers that production has a favorable break-even mass once power, production uncertainty, extraction pathway, and operating life are treated as binding design variables. Lunar oxygen is an ideal test case because oxygen is both a high-mass logistics item and a technically plausible product from regolith or water extraction pathways. Recent research has moved beyond broad advocacy by comparing candidate production plants, architectures, and feasibility frames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p>
    <w:p>
      <w:pPr>
        <w:pStyle w:val="FirstParagraph"/>
      </w:pPr>
      <w:r>
        <w:t xml:space="preserve">This paper uses that shift toward quantitative comparison to ask a narrow question: which design attributes explain the energy-adjusted payback performance of lunar oxygen strategies? The question matters because landed cost is not lowered merely by declaring that local resources are available. Landed cost is lowered when a resource system has a high enough ratio of output to system mass, while consuming an energy budget that can be supplied by the mission architecture. If energy-adjusted performance tracks mass payback more than raw oxygen yield, then mission planners should evaluate ISRU as an integrated production system, not as a chemical yield contest.</w:t>
      </w:r>
    </w:p>
    <w:p>
      <w:pPr>
        <w:pStyle w:val="BodyText"/>
      </w:pPr>
      <w:r>
        <w:t xml:space="preserve">The evidence comes from Ikeya and coauthors’ multi-objective decision-making study for lunar oxygen production facilities</w:t>
      </w:r>
      <w:r>
        <w:t xml:space="preserve"> </w:t>
      </w:r>
      <w:hyperlink w:anchor="ref-5">
        <m:oMathPara>
          <m:oMathParaPr>
            <m:jc m:val="center"/>
          </m:oMathParaPr>
          <m:oMath>
            <m:r>
              <m:t>5</m:t>
            </m:r>
          </m:oMath>
        </m:oMathPara>
      </w:hyperlink>
      <w:r>
        <w:t xml:space="preserve">. That study reports oxygen yield, mass payback, and mass-energy efficiency for carbothermal reduction, water extraction, parallel hybrid, and series hybrid strategies under multiple uncertainty points. The table is valuable for this dissertation because it compresses a complex engineering trade into directly comparable quantities. It also aligns with mining-feasibility logic in the lunar resources literature, which emphasizes staged feasibility, uncertainty, throughput, and system-level economics</w:t>
      </w:r>
      <w:r>
        <w:t xml:space="preserve"> </w:t>
      </w:r>
      <w:hyperlink w:anchor="ref-2">
        <m:oMathPara>
          <m:oMathParaPr>
            <m:jc m:val="center"/>
          </m:oMathParaPr>
          <m:oMath>
            <m:r>
              <m:t>2</m:t>
            </m:r>
          </m:oMath>
        </m:oMathPara>
      </w:hyperlink>
      <w:r>
        <w:t xml:space="preserve">.</w:t>
      </w:r>
    </w:p>
    <w:bookmarkEnd w:id="62"/>
    <w:bookmarkStart w:id="63" w:name="data"/>
    <w:p>
      <w:pPr>
        <w:pStyle w:val="Heading2"/>
      </w:pPr>
      <w:r>
        <w:t xml:space="preserve">Data</w:t>
      </w:r>
    </w:p>
    <w:p>
      <w:pPr>
        <w:pStyle w:val="FirstParagraph"/>
      </w:pPr>
      <w:r>
        <w:t xml:space="preserve">The dataset contains 36 real observations. Each observation is a strategy by uncertainty point. The 12 strategies include carbothermal reduction, water extraction, five parallel hybrid ratios, and five series hybrid cases. For each strategy, the source table reports an expected value, a 5 percent cumulative value, and a 95 percent cumulative value. The three outcome measures are oxygen yield, mass payback, and mass-energy efficiency. The data file used for this paper preserves the source in the final column for every row. No illustrative or synthetic row is included.</w:t>
      </w:r>
    </w:p>
    <w:p>
      <w:pPr>
        <w:pStyle w:val="BodyText"/>
      </w:pPr>
      <w:r>
        <w:t xml:space="preserve">The variables are chosen to match the policy claim being tested. Oxygen yield captures how much oxygen can be extracted relative to processed regolith mass. Mass payback captures how much oxygen is returned relative to system mass. Mass-energy efficiency captures how much oxygen is returned per unit total energy. Hybrid indicators identify whether a strategy is parallel or series relative to single-pathway carbothermal and water extraction options. Together these variables allow the analysis to distinguish between resource abundance, equipment productivity, and architecture class.</w:t>
      </w:r>
    </w:p>
    <w:bookmarkEnd w:id="63"/>
    <w:bookmarkStart w:id="64" w:name="method"/>
    <w:p>
      <w:pPr>
        <w:pStyle w:val="Heading2"/>
      </w:pPr>
      <w:r>
        <w:t xml:space="preserve">Method</w:t>
      </w:r>
    </w:p>
    <w:p>
      <w:pPr>
        <w:pStyle w:val="FirstParagraph"/>
      </w:pPr>
      <w:r>
        <w:t xml:space="preserve">The empirical specification is a robust OLS model in which mass-energy efficiency is regressed on oxygen yield, mass payback, and architecture indicators. The model is descriptive rather than causal. Its purpose is not to claim that changing one variable alone will mechanically change efficiency. Its purpose is to quantify which published performance dimensions move together after accounting for other dimensions in the table.</w:t>
      </w:r>
    </w:p>
    <w:p>
      <w:pPr>
        <w:pStyle w:val="BodyText"/>
      </w:pPr>
      <w:r>
        <w:t xml:space="preserve">The fitted model uses heteroskedasticity-robust HC1 standard errors. This is appropriate because the rows are engineering design cases, not repeated random samples from a large population. The estimator treats the table as a complete set of reported strategy outcomes and uses robust uncertainty to avoid overconfidence in equal-variance assumptions. The resulting coefficients should be interpreted as within-table associations that support a design inference: break-even mass analysis should track the variables that actually explain energy-adjusted payback.</w:t>
      </w:r>
    </w:p>
    <w:bookmarkEnd w:id="64"/>
    <w:bookmarkStart w:id="65" w:name="findings"/>
    <w:p>
      <w:pPr>
        <w:pStyle w:val="Heading2"/>
      </w:pPr>
      <w:r>
        <w:t xml:space="preserve">Findings</w:t>
      </w:r>
    </w:p>
    <w:p>
      <w:pPr>
        <w:pStyle w:val="FirstParagraph"/>
      </w:pPr>
      <w:r>
        <w:t xml:space="preserve">The model fit is strong. With N = 36, the robust OLS model reports R2 = 0.9032 and adjusted R2 = 0.8907. The overall F statistic is 88.6552, with p = 1.64e-16. The main coefficient is mass payback. Its estimate is 0.4000, standard error 0.0239, t = 16.7276, and p = 8.25e-63. The 95 percent confidence interval runs from 0.3532 to 0.4469. Within this table, energy-adjusted oxygen performance rises sharply as strategies return more oxygen per unit of landed system mass.</w:t>
      </w:r>
    </w:p>
    <w:p>
      <w:pPr>
        <w:pStyle w:val="BodyText"/>
      </w:pPr>
      <w:r>
        <w:t xml:space="preserve">Oxygen yield has a small and statistically weak conditional coefficient. The estimate is 0.0087, with p = 0.7409. That does not mean yield is irrelevant as an engineering matter. It means that once mass payback and architecture class are included, raw yield alone does not explain the energy-adjusted efficiency outcome in this table. This distinction is important for program analysis. A high-yield extraction pathway can still be unattractive if it requires a heavy or power-intensive system.</w:t>
      </w:r>
    </w:p>
    <w:p>
      <w:pPr>
        <w:pStyle w:val="BodyText"/>
      </w:pPr>
      <w:r>
        <w:t xml:space="preserve">The architecture indicators show a second result. Parallel hybrid status has a positive but statistically weak coefficient of 0.1925, p = 0.4977. Series hybrid status has a positive coefficient of 0.9042, p = 0.0034. This suggests that series hybrid strategies occupy a distinct part of the design space after controlling for yield and payback. The interpretation should remain cautious because the architecture categories are not randomized. Still, the association is strong enough to matter for a design-screening framework.</w:t>
      </w:r>
    </w:p>
    <w:bookmarkEnd w:id="65"/>
    <w:bookmarkStart w:id="66" w:name="interpretation"/>
    <w:p>
      <w:pPr>
        <w:pStyle w:val="Heading2"/>
      </w:pPr>
      <w:r>
        <w:t xml:space="preserve">Interpretation</w:t>
      </w:r>
    </w:p>
    <w:p>
      <w:pPr>
        <w:pStyle w:val="FirstParagraph"/>
      </w:pPr>
      <w:r>
        <w:t xml:space="preserve">The practical implication is that lunar ISRU break-even analysis should begin with mass payback and energy-adjusted productivity, then use extraction chemistry as a supporting explanation. The literature on hybrid lunar ISRU plants already shows that carbothermal and water extraction pathways have different mass and energy profiles</w:t>
      </w:r>
      <w:r>
        <w:t xml:space="preserve"> </w:t>
      </w:r>
      <w:hyperlink w:anchor="ref-1">
        <m:oMathPara>
          <m:oMathParaPr>
            <m:jc m:val="center"/>
          </m:oMathParaPr>
          <m:oMath>
            <m:r>
              <m:t>1</m:t>
            </m:r>
          </m:oMath>
        </m:oMathPara>
      </w:hyperlink>
      <w:r>
        <w:t xml:space="preserve">. The review literature on oxygen extraction from regolith shows that solar thermal and laser vacuum pyrolysis pathways have further system constraints</w:t>
      </w:r>
      <w:r>
        <w:t xml:space="preserve"> </w:t>
      </w:r>
      <w:hyperlink w:anchor="ref-4">
        <m:oMathPara>
          <m:oMathParaPr>
            <m:jc m:val="center"/>
          </m:oMathParaPr>
          <m:oMath>
            <m:r>
              <m:t>4</m:t>
            </m:r>
          </m:oMath>
        </m:oMathPara>
      </w:hyperlink>
      <w:r>
        <w:t xml:space="preserve">. The result here fits that broader picture: the economic question is not only whether oxygen can be extracted, but whether the plant architecture returns useful mass fast enough and efficiently enough to justify delivery.</w:t>
      </w:r>
    </w:p>
    <w:p>
      <w:pPr>
        <w:pStyle w:val="FirstParagraph"/>
      </w:pPr>
      <w:r>
        <w:t xml:space="preserve">Mining-feasibility framing reinforces this view. McKeown and coauthors argue that lunar resource research should be placed in the context of feasibility studies, including staged confidence, resource characterization, and economic thresholds</w:t>
      </w:r>
      <w:r>
        <w:t xml:space="preserve"> </w:t>
      </w:r>
      <w:hyperlink w:anchor="ref-2">
        <m:oMathPara>
          <m:oMathParaPr>
            <m:jc m:val="center"/>
          </m:oMathParaPr>
          <m:oMath>
            <m:r>
              <m:t>2</m:t>
            </m:r>
          </m:oMath>
        </m:oMathPara>
      </w:hyperlink>
      <w:r>
        <w:t xml:space="preserve">. A break-even mass screen is one such threshold. It allows a sponsor to ask whether a technology is ready for pilot demonstration, whether it should remain a laboratory study, or whether it requires a different infrastructure assumption before it becomes credible.</w:t>
      </w:r>
    </w:p>
    <w:p>
      <w:pPr>
        <w:pStyle w:val="FirstParagraph"/>
      </w:pPr>
      <w:r>
        <w:t xml:space="preserve">The finding also helps explain why lunar oxygen planning should be tied to demand. Forecasting the broader space economy is difficult, and demand for oxygen on the Moon will depend on surface power, transportation cadence, depot concepts, and mission architecture</w:t>
      </w:r>
      <w:r>
        <w:t xml:space="preserve"> </w:t>
      </w:r>
      <w:hyperlink w:anchor="ref-6">
        <m:oMathPara>
          <m:oMathParaPr>
            <m:jc m:val="center"/>
          </m:oMathParaPr>
          <m:oMath>
            <m:r>
              <m:t>6</m:t>
            </m:r>
          </m:oMath>
        </m:oMathPara>
      </w:hyperlink>
      <w:r>
        <w:t xml:space="preserve">. If demand is low or intermittent, a high-performance plant may still be underused. If demand is high and reliable, a plant with strong mass payback can create a logistics advantage. The estimator does not solve the demand problem, but it identifies the plant-side metric that should enter demand scenarios.</w:t>
      </w:r>
    </w:p>
    <w:bookmarkEnd w:id="66"/>
    <w:bookmarkStart w:id="67" w:name="limitations"/>
    <w:p>
      <w:pPr>
        <w:pStyle w:val="Heading2"/>
      </w:pPr>
      <w:r>
        <w:t xml:space="preserve">Limitations</w:t>
      </w:r>
    </w:p>
    <w:p>
      <w:pPr>
        <w:pStyle w:val="FirstParagraph"/>
      </w:pPr>
      <w:r>
        <w:t xml:space="preserve">This analysis is limited to published table values from one Acta study</w:t>
      </w:r>
      <w:r>
        <w:t xml:space="preserve"> </w:t>
      </w:r>
      <w:hyperlink w:anchor="ref-5">
        <m:oMathPara>
          <m:oMathParaPr>
            <m:jc m:val="center"/>
          </m:oMathParaPr>
          <m:oMath>
            <m:r>
              <m:t>5</m:t>
            </m:r>
          </m:oMath>
        </m:oMathPara>
      </w:hyperlink>
      <w:r>
        <w:t xml:space="preserve">. The table is technically rich, but it is still a structured model output rather than an operating lunar plant. The observations are not independent field measurements. They are design alternatives under modeled assumptions about availability, water content, production period, power margin, mass margin, and environmental conditions. The results should therefore be used as a disciplined screening result, not as a definitive cost estimate.</w:t>
      </w:r>
    </w:p>
    <w:p>
      <w:pPr>
        <w:pStyle w:val="FirstParagraph"/>
      </w:pPr>
      <w:r>
        <w:t xml:space="preserve">The model also omits landed launch price, surface transport, maintenance, spares, crew interaction, autonomy, and political risk. Those variables matter for a full business case. They are not included because the goal here is to isolate the physical payback relationship inside the published strategy table. Future work can connect this plant-side relationship to landed cost curves, cislunar transportation demand, and campaign-level logistics simulations.</w:t>
      </w:r>
    </w:p>
    <w:bookmarkEnd w:id="67"/>
    <w:bookmarkStart w:id="68" w:name="conclusion"/>
    <w:p>
      <w:pPr>
        <w:pStyle w:val="Heading2"/>
      </w:pPr>
      <w:r>
        <w:t xml:space="preserve">Conclusion</w:t>
      </w:r>
    </w:p>
    <w:p>
      <w:pPr>
        <w:pStyle w:val="FirstParagraph"/>
      </w:pPr>
      <w:r>
        <w:t xml:space="preserve">The evidence supports a focused claim: in published lunar oxygen facility strategy data, energy-adjusted performance is explained primarily by mass payback, not by oxygen yield alone. This matters for agencies and commercial planners because ISRU is often discussed as if resource availability automatically lowers landed cost. The better test is whether a specific plant architecture pays back its landed mass under realistic energy and uncertainty assumptions. For the 36 real observations analyzed here, mass payback provides that test. Lunar ISRU may lower landed cost, but only when the system is evaluated as an integrated production asset rather than a stand-alone extraction technique.</w:t>
      </w:r>
    </w:p>
    <w:bookmarkEnd w:id="68"/>
    <w:bookmarkStart w:id="82" w:name="references"/>
    <w:p>
      <w:pPr>
        <w:pStyle w:val="Heading2"/>
      </w:pPr>
      <w:r>
        <w:t xml:space="preserve">References</w:t>
      </w:r>
    </w:p>
    <w:p>
      <w:pPr>
        <w:pStyle w:val="FirstParagraph"/>
      </w:pPr>
      <w:bookmarkStart w:id="69" w:name="ref-1"/>
      <w:bookmarkEnd w:id="69"/>
      <w:r>
        <w:t xml:space="preserve">1. K. Ikeya, F. J. Guerrero-Gonzalez, L. Kiewiet, M.-A. Cardin, J. J. Cilliers, S. Starr, and K. Hadler,</w:t>
      </w:r>
      <w:r>
        <w:t xml:space="preserve"> </w:t>
      </w:r>
      <w:r>
        <w:t xml:space="preserve">“Hybrid lunar ISRU plant: A comparative analysis with carbothermal reduction and water extraction,”</w:t>
      </w:r>
      <w:r>
        <w:t xml:space="preserve"> </w:t>
      </w:r>
      <w:r>
        <w:t xml:space="preserve">Acta Astronautica, vol. 230, 2025. doi:</w:t>
      </w:r>
      <w:r>
        <w:t xml:space="preserve"> </w:t>
      </w:r>
      <w:hyperlink r:id="rId70">
        <w:r>
          <w:rPr>
            <w:rStyle w:val="Hyperlink"/>
          </w:rPr>
          <w:t xml:space="preserve">10.1016/j.actaastro.2025.02.004</w:t>
        </w:r>
      </w:hyperlink>
    </w:p>
    <w:p>
      <w:pPr>
        <w:pStyle w:val="BodyText"/>
      </w:pPr>
      <w:bookmarkStart w:id="71" w:name="ref-2"/>
      <w:bookmarkEnd w:id="71"/>
      <w:r>
        <w:t xml:space="preserve">2. B. McKeown, A. G. Dempster, S. Saydam, and J. Coulton,</w:t>
      </w:r>
      <w:r>
        <w:t xml:space="preserve"> </w:t>
      </w:r>
      <w:r>
        <w:t xml:space="preserve">“Placing lunar resources research in the context of mining feasibility studies,”</w:t>
      </w:r>
      <w:r>
        <w:t xml:space="preserve"> </w:t>
      </w:r>
      <w:r>
        <w:t xml:space="preserve">Acta Astronautica, vol. 233, 2025. doi:</w:t>
      </w:r>
      <w:r>
        <w:t xml:space="preserve"> </w:t>
      </w:r>
      <w:hyperlink r:id="rId72">
        <w:r>
          <w:rPr>
            <w:rStyle w:val="Hyperlink"/>
          </w:rPr>
          <w:t xml:space="preserve">10.1016/j.actaastro.2025.04.041</w:t>
        </w:r>
      </w:hyperlink>
    </w:p>
    <w:p>
      <w:pPr>
        <w:pStyle w:val="BodyText"/>
      </w:pPr>
      <w:bookmarkStart w:id="73" w:name="ref-3"/>
      <w:bookmarkEnd w:id="73"/>
      <w:r>
        <w:t xml:space="preserve">3. L. Salman, F. J. Guerrero-Gonzalez, R. Ubiennyh, G. Detrell, and P. Reiss,</w:t>
      </w:r>
      <w:r>
        <w:t xml:space="preserve"> </w:t>
      </w:r>
      <w:r>
        <w:t xml:space="preserve">“In-situ manufacturing of photobioreactors on the Moon using local resources,”</w:t>
      </w:r>
      <w:r>
        <w:t xml:space="preserve"> </w:t>
      </w:r>
      <w:r>
        <w:t xml:space="preserve">Acta Astronautica, vol. 236, 2025. doi:</w:t>
      </w:r>
      <w:r>
        <w:t xml:space="preserve"> </w:t>
      </w:r>
      <w:hyperlink r:id="rId74">
        <w:r>
          <w:rPr>
            <w:rStyle w:val="Hyperlink"/>
          </w:rPr>
          <w:t xml:space="preserve">10.1016/j.actaastro.2025.07.033</w:t>
        </w:r>
      </w:hyperlink>
    </w:p>
    <w:p>
      <w:pPr>
        <w:pStyle w:val="BodyText"/>
      </w:pPr>
      <w:bookmarkStart w:id="75" w:name="ref-4"/>
      <w:bookmarkEnd w:id="75"/>
      <w:r>
        <w:t xml:space="preserve">4. J. Robinot, S. Rodat, S. Abanades, A. Paillet, and A. Cowley,</w:t>
      </w:r>
      <w:r>
        <w:t xml:space="preserve"> </w:t>
      </w:r>
      <w:r>
        <w:t xml:space="preserve">“Review of in-situ oxygen extraction from lunar regolith with focus on solar thermal and laser vacuum pyrolysis,”</w:t>
      </w:r>
      <w:r>
        <w:t xml:space="preserve"> </w:t>
      </w:r>
      <w:r>
        <w:t xml:space="preserve">Acta Astronautica, vol. 234, 2025. doi:</w:t>
      </w:r>
      <w:r>
        <w:t xml:space="preserve"> </w:t>
      </w:r>
      <w:hyperlink r:id="rId76">
        <w:r>
          <w:rPr>
            <w:rStyle w:val="Hyperlink"/>
          </w:rPr>
          <w:t xml:space="preserve">10.1016/j.actaastro.2025.05.008</w:t>
        </w:r>
      </w:hyperlink>
    </w:p>
    <w:p>
      <w:pPr>
        <w:pStyle w:val="BodyText"/>
      </w:pPr>
      <w:bookmarkStart w:id="77" w:name="ref-5"/>
      <w:bookmarkEnd w:id="77"/>
      <w:r>
        <w:t xml:space="preserve">5. K. Ikeya, M.-A. Cardin, J. J. Cilliers, S. Starr, and K. Hadler,</w:t>
      </w:r>
      <w:r>
        <w:t xml:space="preserve"> </w:t>
      </w:r>
      <w:r>
        <w:t xml:space="preserve">“Multi-objective decision-making for flexible design and planning of oxygen production facilities in an uncertain lunar environment,”</w:t>
      </w:r>
      <w:r>
        <w:t xml:space="preserve"> </w:t>
      </w:r>
      <w:r>
        <w:t xml:space="preserve">Acta Astronautica, vol. 236, 2025. doi:</w:t>
      </w:r>
      <w:r>
        <w:t xml:space="preserve"> </w:t>
      </w:r>
      <w:hyperlink r:id="rId78">
        <w:r>
          <w:rPr>
            <w:rStyle w:val="Hyperlink"/>
          </w:rPr>
          <w:t xml:space="preserve">10.1016/j.actaastro.2025.07.014</w:t>
        </w:r>
      </w:hyperlink>
    </w:p>
    <w:p>
      <w:pPr>
        <w:pStyle w:val="BodyText"/>
      </w:pPr>
      <w:bookmarkStart w:id="79" w:name="ref-6"/>
      <w:bookmarkEnd w:id="79"/>
      <w:r>
        <w:t xml:space="preserve">6. OCEA,</w:t>
      </w:r>
      <w:r>
        <w:t xml:space="preserve"> </w:t>
      </w:r>
      <w:r>
        <w:t xml:space="preserve">“Forecasting the Space Economy,”</w:t>
      </w:r>
      <w:r>
        <w:t xml:space="preserve"> </w:t>
      </w:r>
      <w:r>
        <w:t xml:space="preserve">Space Economy Papers corpus, source key SD08.</w:t>
      </w:r>
    </w:p>
    <w:p>
      <w:pPr>
        <w:pStyle w:val="BodyText"/>
      </w:pPr>
      <w:bookmarkStart w:id="80" w:name="ref-7"/>
      <w:bookmarkEnd w:id="80"/>
      <w:r>
        <w:t xml:space="preserve">7. L. Malone, M.-A. Cardin, J. J. Cilliers, S. Starr, and K. Hadler,</w:t>
      </w:r>
      <w:r>
        <w:t xml:space="preserve"> </w:t>
      </w:r>
      <w:r>
        <w:t xml:space="preserve">“Controlled user study on the role of situational awareness in design decisions for future lunar In-situ resource utilization systems,”</w:t>
      </w:r>
      <w:r>
        <w:t xml:space="preserve"> </w:t>
      </w:r>
      <w:r>
        <w:t xml:space="preserve">Acta Astronautica, vol. 246, 2026. doi:</w:t>
      </w:r>
      <w:r>
        <w:t xml:space="preserve"> </w:t>
      </w:r>
      <w:hyperlink r:id="rId81">
        <w:r>
          <w:rPr>
            <w:rStyle w:val="Hyperlink"/>
          </w:rPr>
          <w:t xml:space="preserve">10.1016/j.actaastro.2026.04.012</w:t>
        </w:r>
      </w:hyperlink>
    </w:p>
    <w:bookmarkEnd w:id="82"/>
    <w:bookmarkStart w:id="83" w:name="specification"/>
    <w:p>
      <w:pPr>
        <w:pStyle w:val="Heading2"/>
      </w:pPr>
      <w:r>
        <w:t xml:space="preserve">Specification</w:t>
      </w:r>
    </w:p>
    <w:p>
      <w:pPr>
        <w:pStyle w:val="FirstParagraph"/>
      </w:pPr>
      <m:oMathPara>
        <m:oMathParaPr>
          <m:jc m:val="center"/>
        </m:oMathParaPr>
        <m:oMath>
          <m:sSub>
            <m:e>
              <m:r>
                <m:t>E</m:t>
              </m:r>
            </m:e>
            <m:sub>
              <m:r>
                <m:t>i</m:t>
              </m:r>
            </m:sub>
          </m:sSub>
          <m:r>
            <m:rPr>
              <m:sty m:val="p"/>
            </m:rPr>
            <m:t>=</m:t>
          </m:r>
          <m:r>
            <m:t>α</m:t>
          </m:r>
          <m:r>
            <m:rPr>
              <m:sty m:val="p"/>
            </m:rPr>
            <m:t>+</m:t>
          </m:r>
          <m:sSub>
            <m:e>
              <m:r>
                <m:t>β</m:t>
              </m:r>
            </m:e>
            <m:sub>
              <m:r>
                <m:t>1</m:t>
              </m:r>
            </m:sub>
          </m:sSub>
          <m:sSub>
            <m:e>
              <m:r>
                <m:t>Y</m:t>
              </m:r>
            </m:e>
            <m:sub>
              <m:r>
                <m:t>i</m:t>
              </m:r>
            </m:sub>
          </m:sSub>
          <m:r>
            <m:rPr>
              <m:sty m:val="p"/>
            </m:rPr>
            <m:t>+</m:t>
          </m:r>
          <m:sSub>
            <m:e>
              <m:r>
                <m:t>β</m:t>
              </m:r>
            </m:e>
            <m:sub>
              <m:r>
                <m:t>2</m:t>
              </m:r>
            </m:sub>
          </m:sSub>
          <m:sSub>
            <m:e>
              <m:r>
                <m:t>P</m:t>
              </m:r>
            </m:e>
            <m:sub>
              <m:r>
                <m:t>i</m:t>
              </m:r>
            </m:sub>
          </m:sSub>
          <m:r>
            <m:rPr>
              <m:sty m:val="p"/>
            </m:rPr>
            <m:t>+</m:t>
          </m:r>
          <m:sSub>
            <m:e>
              <m:r>
                <m:t>β</m:t>
              </m:r>
            </m:e>
            <m:sub>
              <m:r>
                <m:t>3</m:t>
              </m:r>
            </m:sub>
          </m:sSub>
          <m:sSubSup>
            <m:e>
              <m:r>
                <m:t>H</m:t>
              </m:r>
            </m:e>
            <m:sub>
              <m:r>
                <m:t>i</m:t>
              </m:r>
            </m:sub>
            <m:sup>
              <m:r>
                <m:t>P</m:t>
              </m:r>
            </m:sup>
          </m:sSubSup>
          <m:r>
            <m:rPr>
              <m:sty m:val="p"/>
            </m:rPr>
            <m:t>+</m:t>
          </m:r>
          <m:sSub>
            <m:e>
              <m:r>
                <m:t>β</m:t>
              </m:r>
            </m:e>
            <m:sub>
              <m:r>
                <m:t>4</m:t>
              </m:r>
            </m:sub>
          </m:sSub>
          <m:sSubSup>
            <m:e>
              <m:r>
                <m:t>H</m:t>
              </m:r>
            </m:e>
            <m:sub>
              <m:r>
                <m:t>i</m:t>
              </m:r>
            </m:sub>
            <m:sup>
              <m:r>
                <m:t>S</m:t>
              </m:r>
            </m:sup>
          </m:sSubSup>
          <m:r>
            <m:rPr>
              <m:sty m:val="p"/>
            </m:rPr>
            <m:t>+</m:t>
          </m:r>
          <m:sSub>
            <m:e>
              <m:r>
                <m:t>ε</m:t>
              </m:r>
            </m:e>
            <m:sub>
              <m:r>
                <m:t>i</m:t>
              </m:r>
            </m:sub>
          </m:sSub>
        </m:oMath>
      </m:oMathPara>
    </w:p>
    <w:bookmarkEnd w:id="83"/>
    <w:bookmarkStart w:id="8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0.4299</w:t>
            </w:r>
          </w:p>
        </w:tc>
        <w:tc>
          <w:tcPr>
            <w:tcW w:w="0" w:type="auto"/>
          </w:tcPr>
          <w:p>
            <w:pPr>
              <w:spacing w:line="240" w:lineRule="auto" w:before="0" w:after="0"/>
              <w:pStyle w:val="Compact"/>
            </w:pPr>
            <w:r>
              <w:rPr>
                <w:sz w:val="20"/>
                <w:szCs w:val="20"/>
              </w:rPr>
              <w:t xml:space="preserve">0.3382</w:t>
            </w:r>
          </w:p>
        </w:tc>
        <w:tc>
          <w:tcPr>
            <w:tcW w:w="0" w:type="auto"/>
          </w:tcPr>
          <w:p>
            <w:pPr>
              <w:spacing w:line="240" w:lineRule="auto" w:before="0" w:after="0"/>
              <w:pStyle w:val="Compact"/>
            </w:pPr>
            <w:r>
              <w:rPr>
                <w:sz w:val="20"/>
                <w:szCs w:val="20"/>
              </w:rPr>
              <w:t xml:space="preserve">1.2713</w:t>
            </w:r>
          </w:p>
        </w:tc>
        <w:tc>
          <w:tcPr>
            <w:tcW w:w="0" w:type="auto"/>
          </w:tcPr>
          <w:p>
            <w:pPr>
              <w:spacing w:line="240" w:lineRule="auto" w:before="0" w:after="0"/>
              <w:pStyle w:val="Compact"/>
            </w:pPr>
            <w:r>
              <w:rPr>
                <w:sz w:val="20"/>
                <w:szCs w:val="20"/>
              </w:rPr>
              <w:t xml:space="preserve">0.2036</w:t>
            </w:r>
          </w:p>
        </w:tc>
        <w:tc>
          <w:tcPr>
            <w:tcW w:w="0" w:type="auto"/>
          </w:tcPr>
          <w:p>
            <w:pPr>
              <w:spacing w:line="240" w:lineRule="auto" w:before="0" w:after="0"/>
              <w:pStyle w:val="Compact"/>
            </w:pPr>
            <w:r>
              <w:rPr>
                <w:sz w:val="20"/>
                <w:szCs w:val="20"/>
              </w:rPr>
              <w:t xml:space="preserve">[-0.2329, 1.0928]</w:t>
            </w:r>
          </w:p>
        </w:tc>
      </w:tr>
      <w:tr>
        <w:tc>
          <w:tcPr>
            <w:tcW w:w="0" w:type="auto"/>
          </w:tcPr>
          <w:p>
            <w:pPr>
              <w:spacing w:line="240" w:lineRule="auto" w:before="0" w:after="0"/>
              <w:pStyle w:val="Compact"/>
            </w:pPr>
            <w:r>
              <w:rPr>
                <w:sz w:val="20"/>
                <w:szCs w:val="20"/>
              </w:rPr>
              <w:t xml:space="preserve">oxygen_yield_pct</w:t>
            </w:r>
          </w:p>
        </w:tc>
        <w:tc>
          <w:tcPr>
            <w:tcW w:w="0" w:type="auto"/>
          </w:tcPr>
          <w:p>
            <w:pPr>
              <w:spacing w:line="240" w:lineRule="auto" w:before="0" w:after="0"/>
              <w:pStyle w:val="Compact"/>
            </w:pPr>
            <w:r>
              <w:rPr>
                <w:sz w:val="20"/>
                <w:szCs w:val="20"/>
              </w:rPr>
              <w:t xml:space="preserve">0.0087</w:t>
            </w:r>
          </w:p>
        </w:tc>
        <w:tc>
          <w:tcPr>
            <w:tcW w:w="0" w:type="auto"/>
          </w:tcPr>
          <w:p>
            <w:pPr>
              <w:spacing w:line="240" w:lineRule="auto" w:before="0" w:after="0"/>
              <w:pStyle w:val="Compact"/>
            </w:pPr>
            <w:r>
              <w:rPr>
                <w:sz w:val="20"/>
                <w:szCs w:val="20"/>
              </w:rPr>
              <w:t xml:space="preserve">0.0262</w:t>
            </w:r>
          </w:p>
        </w:tc>
        <w:tc>
          <w:tcPr>
            <w:tcW w:w="0" w:type="auto"/>
          </w:tcPr>
          <w:p>
            <w:pPr>
              <w:spacing w:line="240" w:lineRule="auto" w:before="0" w:after="0"/>
              <w:pStyle w:val="Compact"/>
            </w:pPr>
            <w:r>
              <w:rPr>
                <w:sz w:val="20"/>
                <w:szCs w:val="20"/>
              </w:rPr>
              <w:t xml:space="preserve">0.3306</w:t>
            </w:r>
          </w:p>
        </w:tc>
        <w:tc>
          <w:tcPr>
            <w:tcW w:w="0" w:type="auto"/>
          </w:tcPr>
          <w:p>
            <w:pPr>
              <w:spacing w:line="240" w:lineRule="auto" w:before="0" w:after="0"/>
              <w:pStyle w:val="Compact"/>
            </w:pPr>
            <w:r>
              <w:rPr>
                <w:sz w:val="20"/>
                <w:szCs w:val="20"/>
              </w:rPr>
              <w:t xml:space="preserve">0.7409</w:t>
            </w:r>
          </w:p>
        </w:tc>
        <w:tc>
          <w:tcPr>
            <w:tcW w:w="0" w:type="auto"/>
          </w:tcPr>
          <w:p>
            <w:pPr>
              <w:spacing w:line="240" w:lineRule="auto" w:before="0" w:after="0"/>
              <w:pStyle w:val="Compact"/>
            </w:pPr>
            <w:r>
              <w:rPr>
                <w:sz w:val="20"/>
                <w:szCs w:val="20"/>
              </w:rPr>
              <w:t xml:space="preserve">[-0.0426, 0.0599]</w:t>
            </w:r>
          </w:p>
        </w:tc>
      </w:tr>
      <w:tr>
        <w:tc>
          <w:tcPr>
            <w:tcW w:w="0" w:type="auto"/>
          </w:tcPr>
          <w:p>
            <w:pPr>
              <w:spacing w:line="240" w:lineRule="auto" w:before="0" w:after="0"/>
              <w:pStyle w:val="Compact"/>
            </w:pPr>
            <w:r>
              <w:rPr>
                <w:sz w:val="20"/>
                <w:szCs w:val="20"/>
              </w:rPr>
              <w:t xml:space="preserve">mass_payback</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0.0239</w:t>
            </w:r>
          </w:p>
        </w:tc>
        <w:tc>
          <w:tcPr>
            <w:tcW w:w="0" w:type="auto"/>
          </w:tcPr>
          <w:p>
            <w:pPr>
              <w:spacing w:line="240" w:lineRule="auto" w:before="0" w:after="0"/>
              <w:pStyle w:val="Compact"/>
            </w:pPr>
            <w:r>
              <w:rPr>
                <w:sz w:val="20"/>
                <w:szCs w:val="20"/>
              </w:rPr>
              <w:t xml:space="preserve">16.7276</w:t>
            </w:r>
          </w:p>
        </w:tc>
        <w:tc>
          <w:tcPr>
            <w:tcW w:w="0" w:type="auto"/>
          </w:tcPr>
          <w:p>
            <w:pPr>
              <w:spacing w:line="240" w:lineRule="auto" w:before="0" w:after="0"/>
              <w:pStyle w:val="Compact"/>
            </w:pPr>
            <w:r>
              <w:rPr>
                <w:sz w:val="20"/>
                <w:szCs w:val="20"/>
              </w:rPr>
              <w:t xml:space="preserve">8.251e-63</w:t>
            </w:r>
          </w:p>
        </w:tc>
        <w:tc>
          <w:tcPr>
            <w:tcW w:w="0" w:type="auto"/>
          </w:tcPr>
          <w:p>
            <w:pPr>
              <w:spacing w:line="240" w:lineRule="auto" w:before="0" w:after="0"/>
              <w:pStyle w:val="Compact"/>
            </w:pPr>
            <w:r>
              <w:rPr>
                <w:sz w:val="20"/>
                <w:szCs w:val="20"/>
              </w:rPr>
              <w:t xml:space="preserve">[0.3532, 0.4469]</w:t>
            </w:r>
          </w:p>
        </w:tc>
      </w:tr>
      <w:tr>
        <w:tc>
          <w:tcPr>
            <w:tcW w:w="0" w:type="auto"/>
          </w:tcPr>
          <w:p>
            <w:pPr>
              <w:spacing w:line="240" w:lineRule="auto" w:before="0" w:after="0"/>
              <w:pStyle w:val="Compact"/>
            </w:pPr>
            <w:r>
              <w:rPr>
                <w:sz w:val="20"/>
                <w:szCs w:val="20"/>
              </w:rPr>
              <w:t xml:space="preserve">is_parallel_strategy</w:t>
            </w:r>
          </w:p>
        </w:tc>
        <w:tc>
          <w:tcPr>
            <w:tcW w:w="0" w:type="auto"/>
          </w:tcPr>
          <w:p>
            <w:pPr>
              <w:spacing w:line="240" w:lineRule="auto" w:before="0" w:after="0"/>
              <w:pStyle w:val="Compact"/>
            </w:pPr>
            <w:r>
              <w:rPr>
                <w:sz w:val="20"/>
                <w:szCs w:val="20"/>
              </w:rPr>
              <w:t xml:space="preserve">0.1925</w:t>
            </w:r>
          </w:p>
        </w:tc>
        <w:tc>
          <w:tcPr>
            <w:tcW w:w="0" w:type="auto"/>
          </w:tcPr>
          <w:p>
            <w:pPr>
              <w:spacing w:line="240" w:lineRule="auto" w:before="0" w:after="0"/>
              <w:pStyle w:val="Compact"/>
            </w:pPr>
            <w:r>
              <w:rPr>
                <w:sz w:val="20"/>
                <w:szCs w:val="20"/>
              </w:rPr>
              <w:t xml:space="preserve">0.2838</w:t>
            </w:r>
          </w:p>
        </w:tc>
        <w:tc>
          <w:tcPr>
            <w:tcW w:w="0" w:type="auto"/>
          </w:tcPr>
          <w:p>
            <w:pPr>
              <w:spacing w:line="240" w:lineRule="auto" w:before="0" w:after="0"/>
              <w:pStyle w:val="Compact"/>
            </w:pPr>
            <w:r>
              <w:rPr>
                <w:sz w:val="20"/>
                <w:szCs w:val="20"/>
              </w:rPr>
              <w:t xml:space="preserve">0.6781</w:t>
            </w:r>
          </w:p>
        </w:tc>
        <w:tc>
          <w:tcPr>
            <w:tcW w:w="0" w:type="auto"/>
          </w:tcPr>
          <w:p>
            <w:pPr>
              <w:spacing w:line="240" w:lineRule="auto" w:before="0" w:after="0"/>
              <w:pStyle w:val="Compact"/>
            </w:pPr>
            <w:r>
              <w:rPr>
                <w:sz w:val="20"/>
                <w:szCs w:val="20"/>
              </w:rPr>
              <w:t xml:space="preserve">0.4977</w:t>
            </w:r>
          </w:p>
        </w:tc>
        <w:tc>
          <w:tcPr>
            <w:tcW w:w="0" w:type="auto"/>
          </w:tcPr>
          <w:p>
            <w:pPr>
              <w:spacing w:line="240" w:lineRule="auto" w:before="0" w:after="0"/>
              <w:pStyle w:val="Compact"/>
            </w:pPr>
            <w:r>
              <w:rPr>
                <w:sz w:val="20"/>
                <w:szCs w:val="20"/>
              </w:rPr>
              <w:t xml:space="preserve">[-0.3638, 0.7488]</w:t>
            </w:r>
          </w:p>
        </w:tc>
      </w:tr>
      <w:tr>
        <w:tc>
          <w:tcPr>
            <w:tcW w:w="0" w:type="auto"/>
          </w:tcPr>
          <w:p>
            <w:pPr>
              <w:spacing w:line="240" w:lineRule="auto" w:before="0" w:after="0"/>
              <w:pStyle w:val="Compact"/>
            </w:pPr>
            <w:r>
              <w:rPr>
                <w:sz w:val="20"/>
                <w:szCs w:val="20"/>
              </w:rPr>
              <w:t xml:space="preserve">is_series_strategy</w:t>
            </w:r>
          </w:p>
        </w:tc>
        <w:tc>
          <w:tcPr>
            <w:tcW w:w="0" w:type="auto"/>
          </w:tcPr>
          <w:p>
            <w:pPr>
              <w:spacing w:line="240" w:lineRule="auto" w:before="0" w:after="0"/>
              <w:pStyle w:val="Compact"/>
            </w:pPr>
            <w:r>
              <w:rPr>
                <w:sz w:val="20"/>
                <w:szCs w:val="20"/>
              </w:rPr>
              <w:t xml:space="preserve">0.9042</w:t>
            </w:r>
          </w:p>
        </w:tc>
        <w:tc>
          <w:tcPr>
            <w:tcW w:w="0" w:type="auto"/>
          </w:tcPr>
          <w:p>
            <w:pPr>
              <w:spacing w:line="240" w:lineRule="auto" w:before="0" w:after="0"/>
              <w:pStyle w:val="Compact"/>
            </w:pPr>
            <w:r>
              <w:rPr>
                <w:sz w:val="20"/>
                <w:szCs w:val="20"/>
              </w:rPr>
              <w:t xml:space="preserve">0.3089</w:t>
            </w:r>
          </w:p>
        </w:tc>
        <w:tc>
          <w:tcPr>
            <w:tcW w:w="0" w:type="auto"/>
          </w:tcPr>
          <w:p>
            <w:pPr>
              <w:spacing w:line="240" w:lineRule="auto" w:before="0" w:after="0"/>
              <w:pStyle w:val="Compact"/>
            </w:pPr>
            <w:r>
              <w:rPr>
                <w:sz w:val="20"/>
                <w:szCs w:val="20"/>
              </w:rPr>
              <w:t xml:space="preserve">2.9276</w:t>
            </w:r>
          </w:p>
        </w:tc>
        <w:tc>
          <w:tcPr>
            <w:tcW w:w="0" w:type="auto"/>
          </w:tcPr>
          <w:p>
            <w:pPr>
              <w:spacing w:line="240" w:lineRule="auto" w:before="0" w:after="0"/>
              <w:pStyle w:val="Compact"/>
            </w:pPr>
            <w:r>
              <w:rPr>
                <w:sz w:val="20"/>
                <w:szCs w:val="20"/>
              </w:rPr>
              <w:t xml:space="preserve">0.0034</w:t>
            </w:r>
          </w:p>
        </w:tc>
        <w:tc>
          <w:tcPr>
            <w:tcW w:w="0" w:type="auto"/>
          </w:tcPr>
          <w:p>
            <w:pPr>
              <w:spacing w:line="240" w:lineRule="auto" w:before="0" w:after="0"/>
              <w:pStyle w:val="Compact"/>
            </w:pPr>
            <w:r>
              <w:rPr>
                <w:sz w:val="20"/>
                <w:szCs w:val="20"/>
              </w:rPr>
              <w:t xml:space="preserve">[0.2989, 1.5096]</w:t>
            </w:r>
          </w:p>
        </w:tc>
      </w:tr>
    </w:tbl>
    <w:p>
      <w:pPr>
        <w:pStyle w:val="BodyText"/>
      </w:pPr>
      <w:r>
        <w:t xml:space="preserve">Fit: N = 36 R2 = 0.9032 R2_adj = 0.8907 F = 88.6552 F_p = 1.637e-16</w:t>
      </w:r>
    </w:p>
    <w:p>
      <w:pPr>
        <w:pStyle w:val="CaptionedFigure"/>
      </w:pPr>
      <w:r>
        <w:drawing>
          <wp:inline>
            <wp:extent cx="5669280" cy="3657600"/>
            <wp:effectExtent b="0" l="0" r="0" t="0"/>
            <wp:docPr descr="Figure 1. Figure 1. Mass payback and mass-energy efficiency across lunar oxygen facility decision strategies." title="" id="85" name="Picture"/>
            <a:graphic>
              <a:graphicData uri="http://schemas.openxmlformats.org/drawingml/2006/picture">
                <pic:pic>
                  <pic:nvPicPr>
                    <pic:cNvPr descr="D:\Claude_Code\brain\collegium\candidates\dissertations\CISLUNAR_DEV_01\research_papers\p1\paper_fig1.png" id="86" name="Picture"/>
                    <pic:cNvPicPr>
                      <a:picLocks noChangeArrowheads="1" noChangeAspect="1"/>
                    </pic:cNvPicPr>
                  </pic:nvPicPr>
                  <pic:blipFill>
                    <a:blip r:embed="rId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Mass payback and mass-energy efficiency across lunar oxygen facility decision strategies.</w:t>
      </w:r>
    </w:p>
    <w:bookmarkEnd w:id="87"/>
    <w:bookmarkStart w:id="9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strategy</w:t>
            </w:r>
          </w:p>
        </w:tc>
        <w:tc>
          <w:tcPr>
            <w:tcW w:w="0" w:type="auto"/>
          </w:tcPr>
          <w:p>
            <w:pPr>
              <w:spacing w:line="240" w:lineRule="auto" w:before="0" w:after="0"/>
              <w:pStyle w:val="Compact"/>
            </w:pPr>
            <w:r>
              <w:rPr>
                <w:sz w:val="20"/>
                <w:szCs w:val="20"/>
              </w:rPr>
              <w:t xml:space="preserve">architecture_kind</w:t>
            </w:r>
          </w:p>
        </w:tc>
        <w:tc>
          <w:tcPr>
            <w:tcW w:w="0" w:type="auto"/>
          </w:tcPr>
          <w:p>
            <w:pPr>
              <w:spacing w:line="240" w:lineRule="auto" w:before="0" w:after="0"/>
              <w:pStyle w:val="Compact"/>
            </w:pPr>
            <w:r>
              <w:rPr>
                <w:sz w:val="20"/>
                <w:szCs w:val="20"/>
              </w:rPr>
              <w:t xml:space="preserve">uncertainty_point</w:t>
            </w:r>
          </w:p>
        </w:tc>
        <w:tc>
          <w:tcPr>
            <w:tcW w:w="0" w:type="auto"/>
          </w:tcPr>
          <w:p>
            <w:pPr>
              <w:spacing w:line="240" w:lineRule="auto" w:before="0" w:after="0"/>
              <w:pStyle w:val="Compact"/>
            </w:pPr>
            <w:r>
              <w:rPr>
                <w:sz w:val="20"/>
                <w:szCs w:val="20"/>
              </w:rPr>
              <w:t xml:space="preserve">uncertainty_percentile</w:t>
            </w:r>
          </w:p>
        </w:tc>
        <w:tc>
          <w:tcPr>
            <w:tcW w:w="0" w:type="auto"/>
          </w:tcPr>
          <w:p>
            <w:pPr>
              <w:spacing w:line="240" w:lineRule="auto" w:before="0" w:after="0"/>
              <w:pStyle w:val="Compact"/>
            </w:pPr>
            <w:r>
              <w:rPr>
                <w:sz w:val="20"/>
                <w:szCs w:val="20"/>
              </w:rPr>
              <w:t xml:space="preserve">oxygen_yield_pct</w:t>
            </w:r>
          </w:p>
        </w:tc>
        <w:tc>
          <w:tcPr>
            <w:tcW w:w="0" w:type="auto"/>
          </w:tcPr>
          <w:p>
            <w:pPr>
              <w:spacing w:line="240" w:lineRule="auto" w:before="0" w:after="0"/>
              <w:pStyle w:val="Compact"/>
            </w:pPr>
            <w:r>
              <w:rPr>
                <w:sz w:val="20"/>
                <w:szCs w:val="20"/>
              </w:rPr>
              <w:t xml:space="preserve">mass_payback</w:t>
            </w:r>
          </w:p>
        </w:tc>
        <w:tc>
          <w:tcPr>
            <w:tcW w:w="0" w:type="auto"/>
          </w:tcPr>
          <w:p>
            <w:pPr>
              <w:spacing w:line="240" w:lineRule="auto" w:before="0" w:after="0"/>
              <w:pStyle w:val="Compact"/>
            </w:pPr>
            <w:r>
              <w:rPr>
                <w:sz w:val="20"/>
                <w:szCs w:val="20"/>
              </w:rPr>
              <w:t xml:space="preserve">mass_energy_efficiency</w:t>
            </w:r>
          </w:p>
        </w:tc>
        <w:tc>
          <w:tcPr>
            <w:tcW w:w="0" w:type="auto"/>
          </w:tcPr>
          <w:p>
            <w:pPr>
              <w:spacing w:line="240" w:lineRule="auto" w:before="0" w:after="0"/>
              <w:pStyle w:val="Compact"/>
            </w:pPr>
            <w:r>
              <w:rPr>
                <w:sz w:val="20"/>
                <w:szCs w:val="20"/>
              </w:rPr>
              <w:t xml:space="preserve">is_hybrid_strategy</w:t>
            </w:r>
          </w:p>
        </w:tc>
        <w:tc>
          <w:tcPr>
            <w:tcW w:w="0" w:type="auto"/>
          </w:tcPr>
          <w:p>
            <w:pPr>
              <w:spacing w:line="240" w:lineRule="auto" w:before="0" w:after="0"/>
              <w:pStyle w:val="Compact"/>
            </w:pPr>
            <w:r>
              <w:rPr>
                <w:sz w:val="20"/>
                <w:szCs w:val="20"/>
              </w:rPr>
              <w:t xml:space="preserve">is_parallel_strategy</w:t>
            </w:r>
          </w:p>
        </w:tc>
        <w:tc>
          <w:tcPr>
            <w:tcW w:w="0" w:type="auto"/>
          </w:tcPr>
          <w:p>
            <w:pPr>
              <w:spacing w:line="240" w:lineRule="auto" w:before="0" w:after="0"/>
              <w:pStyle w:val="Compact"/>
            </w:pPr>
            <w:r>
              <w:rPr>
                <w:sz w:val="20"/>
                <w:szCs w:val="20"/>
              </w:rPr>
              <w:t xml:space="preserve">is_series_strategy</w:t>
            </w:r>
          </w:p>
        </w:tc>
        <w:tc>
          <w:tcPr>
            <w:tcW w:w="0" w:type="auto"/>
          </w:tcPr>
          <w:p>
            <w:pPr>
              <w:spacing w:line="240" w:lineRule="auto" w:before="0" w:after="0"/>
              <w:pStyle w:val="Compact"/>
            </w:pPr>
            <w:r>
              <w:rPr>
                <w:sz w:val="20"/>
                <w:szCs w:val="20"/>
              </w:rPr>
              <w:t xml:space="preserve">high_payback</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CR</w:t>
            </w:r>
          </w:p>
        </w:tc>
        <w:tc>
          <w:tcPr>
            <w:tcW w:w="0" w:type="auto"/>
          </w:tcPr>
          <w:p>
            <w:pPr>
              <w:spacing w:line="240" w:lineRule="auto" w:before="0" w:after="0"/>
              <w:pStyle w:val="Compact"/>
            </w:pPr>
            <w:r>
              <w:rPr>
                <w:sz w:val="20"/>
                <w:szCs w:val="20"/>
              </w:rPr>
              <w:t xml:space="preserve">carbothermal</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CR</w:t>
            </w:r>
          </w:p>
        </w:tc>
        <w:tc>
          <w:tcPr>
            <w:tcW w:w="0" w:type="auto"/>
          </w:tcPr>
          <w:p>
            <w:pPr>
              <w:spacing w:line="240" w:lineRule="auto" w:before="0" w:after="0"/>
              <w:pStyle w:val="Compact"/>
            </w:pPr>
            <w:r>
              <w:rPr>
                <w:sz w:val="20"/>
                <w:szCs w:val="20"/>
              </w:rPr>
              <w:t xml:space="preserve">carbothermal</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CR</w:t>
            </w:r>
          </w:p>
        </w:tc>
        <w:tc>
          <w:tcPr>
            <w:tcW w:w="0" w:type="auto"/>
          </w:tcPr>
          <w:p>
            <w:pPr>
              <w:spacing w:line="240" w:lineRule="auto" w:before="0" w:after="0"/>
              <w:pStyle w:val="Compact"/>
            </w:pPr>
            <w:r>
              <w:rPr>
                <w:sz w:val="20"/>
                <w:szCs w:val="20"/>
              </w:rPr>
              <w:t xml:space="preserve">carbothermal</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WE</w:t>
            </w:r>
          </w:p>
        </w:tc>
        <w:tc>
          <w:tcPr>
            <w:tcW w:w="0" w:type="auto"/>
          </w:tcPr>
          <w:p>
            <w:pPr>
              <w:spacing w:line="240" w:lineRule="auto" w:before="0" w:after="0"/>
              <w:pStyle w:val="Compact"/>
            </w:pPr>
            <w:r>
              <w:rPr>
                <w:sz w:val="20"/>
                <w:szCs w:val="20"/>
              </w:rPr>
              <w:t xml:space="preserve">water_extraction</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WE</w:t>
            </w:r>
          </w:p>
        </w:tc>
        <w:tc>
          <w:tcPr>
            <w:tcW w:w="0" w:type="auto"/>
          </w:tcPr>
          <w:p>
            <w:pPr>
              <w:spacing w:line="240" w:lineRule="auto" w:before="0" w:after="0"/>
              <w:pStyle w:val="Compact"/>
            </w:pPr>
            <w:r>
              <w:rPr>
                <w:sz w:val="20"/>
                <w:szCs w:val="20"/>
              </w:rPr>
              <w:t xml:space="preserve">water_extraction</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WE</w:t>
            </w:r>
          </w:p>
        </w:tc>
        <w:tc>
          <w:tcPr>
            <w:tcW w:w="0" w:type="auto"/>
          </w:tcPr>
          <w:p>
            <w:pPr>
              <w:spacing w:line="240" w:lineRule="auto" w:before="0" w:after="0"/>
              <w:pStyle w:val="Compact"/>
            </w:pPr>
            <w:r>
              <w:rPr>
                <w:sz w:val="20"/>
                <w:szCs w:val="20"/>
              </w:rPr>
              <w:t xml:space="preserve">water_extraction</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P.0</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P.0</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P.0</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P.1</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P.1</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P.1</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15.9</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P.2</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P.2</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P.2</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P.3</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P.3</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P.3</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P.4</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P.4</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P.4</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S.0</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S.0</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S.0</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16.9</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bl>
    <w:bookmarkEnd w:id="88"/>
    <w:bookmarkStart w:id="8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mass_energy_efficiency</w:t>
            </w:r>
          </w:p>
        </w:tc>
        <w:tc>
          <w:tcPr>
            <w:tcW w:w="0" w:type="auto"/>
          </w:tcPr>
          <w:p>
            <w:pPr>
              <w:spacing w:line="240" w:lineRule="auto" w:before="0" w:after="0"/>
              <w:pStyle w:val="Compact"/>
            </w:pPr>
            <w:r>
              <w:rPr>
                <w:sz w:val="20"/>
                <w:szCs w:val="20"/>
              </w:rPr>
              <w:t xml:space="preserve">Oxygen produced per total energy, in Table 7 units of 1e-5 t per kWh</w:t>
            </w:r>
          </w:p>
        </w:tc>
        <w:tc>
          <w:tcPr>
            <w:tcW w:w="0" w:type="auto"/>
          </w:tcPr>
          <w:p>
            <w:pPr>
              <w:spacing w:line="240" w:lineRule="auto" w:before="0" w:after="0"/>
              <w:pStyle w:val="Compact"/>
            </w:pPr>
            <w:r>
              <w:rPr>
                <w:sz w:val="20"/>
                <w:szCs w:val="20"/>
              </w:rPr>
              <w:t xml:space="preserve">Copied from Ikeya et al. 2025 Table 7(c)</w:t>
            </w:r>
          </w:p>
        </w:tc>
      </w:tr>
      <w:tr>
        <w:tc>
          <w:tcPr>
            <w:tcW w:w="0" w:type="auto"/>
          </w:tcPr>
          <w:p>
            <w:pPr>
              <w:spacing w:line="240" w:lineRule="auto" w:before="0" w:after="0"/>
              <w:pStyle w:val="Compact"/>
            </w:pPr>
            <w:r>
              <w:rPr>
                <w:sz w:val="20"/>
                <w:szCs w:val="20"/>
              </w:rPr>
              <w:t xml:space="preserve">oxygen_yield_pct</w:t>
            </w:r>
          </w:p>
        </w:tc>
        <w:tc>
          <w:tcPr>
            <w:tcW w:w="0" w:type="auto"/>
          </w:tcPr>
          <w:p>
            <w:pPr>
              <w:spacing w:line="240" w:lineRule="auto" w:before="0" w:after="0"/>
              <w:pStyle w:val="Compact"/>
            </w:pPr>
            <w:r>
              <w:rPr>
                <w:sz w:val="20"/>
                <w:szCs w:val="20"/>
              </w:rPr>
              <w:t xml:space="preserve">Oxygen yield as percent of processed regolith mass</w:t>
            </w:r>
          </w:p>
        </w:tc>
        <w:tc>
          <w:tcPr>
            <w:tcW w:w="0" w:type="auto"/>
          </w:tcPr>
          <w:p>
            <w:pPr>
              <w:spacing w:line="240" w:lineRule="auto" w:before="0" w:after="0"/>
              <w:pStyle w:val="Compact"/>
            </w:pPr>
            <w:r>
              <w:rPr>
                <w:sz w:val="20"/>
                <w:szCs w:val="20"/>
              </w:rPr>
              <w:t xml:space="preserve">Copied from Ikeya et al. 2025 Table 7(a)</w:t>
            </w:r>
          </w:p>
        </w:tc>
      </w:tr>
      <w:tr>
        <w:tc>
          <w:tcPr>
            <w:tcW w:w="0" w:type="auto"/>
          </w:tcPr>
          <w:p>
            <w:pPr>
              <w:spacing w:line="240" w:lineRule="auto" w:before="0" w:after="0"/>
              <w:pStyle w:val="Compact"/>
            </w:pPr>
            <w:r>
              <w:rPr>
                <w:sz w:val="20"/>
                <w:szCs w:val="20"/>
              </w:rPr>
              <w:t xml:space="preserve">mass_payback</w:t>
            </w:r>
          </w:p>
        </w:tc>
        <w:tc>
          <w:tcPr>
            <w:tcW w:w="0" w:type="auto"/>
          </w:tcPr>
          <w:p>
            <w:pPr>
              <w:spacing w:line="240" w:lineRule="auto" w:before="0" w:after="0"/>
              <w:pStyle w:val="Compact"/>
            </w:pPr>
            <w:r>
              <w:rPr>
                <w:sz w:val="20"/>
                <w:szCs w:val="20"/>
              </w:rPr>
              <w:t xml:space="preserve">Oxygen produced per landed system mass</w:t>
            </w:r>
          </w:p>
        </w:tc>
        <w:tc>
          <w:tcPr>
            <w:tcW w:w="0" w:type="auto"/>
          </w:tcPr>
          <w:p>
            <w:pPr>
              <w:spacing w:line="240" w:lineRule="auto" w:before="0" w:after="0"/>
              <w:pStyle w:val="Compact"/>
            </w:pPr>
            <w:r>
              <w:rPr>
                <w:sz w:val="20"/>
                <w:szCs w:val="20"/>
              </w:rPr>
              <w:t xml:space="preserve">Copied from Ikeya et al. 2025 Table 7(b)</w:t>
            </w:r>
          </w:p>
        </w:tc>
      </w:tr>
      <w:tr>
        <w:tc>
          <w:tcPr>
            <w:tcW w:w="0" w:type="auto"/>
          </w:tcPr>
          <w:p>
            <w:pPr>
              <w:spacing w:line="240" w:lineRule="auto" w:before="0" w:after="0"/>
              <w:pStyle w:val="Compact"/>
            </w:pPr>
            <w:r>
              <w:rPr>
                <w:sz w:val="20"/>
                <w:szCs w:val="20"/>
              </w:rPr>
              <w:t xml:space="preserve">is_parallel_strategy</w:t>
            </w:r>
          </w:p>
        </w:tc>
        <w:tc>
          <w:tcPr>
            <w:tcW w:w="0" w:type="auto"/>
          </w:tcPr>
          <w:p>
            <w:pPr>
              <w:spacing w:line="240" w:lineRule="auto" w:before="0" w:after="0"/>
              <w:pStyle w:val="Compact"/>
            </w:pPr>
            <w:r>
              <w:rPr>
                <w:sz w:val="20"/>
                <w:szCs w:val="20"/>
              </w:rPr>
              <w:t xml:space="preserve">Indicator for a parallel hybrid decision strategy</w:t>
            </w:r>
          </w:p>
        </w:tc>
        <w:tc>
          <w:tcPr>
            <w:tcW w:w="0" w:type="auto"/>
          </w:tcPr>
          <w:p>
            <w:pPr>
              <w:spacing w:line="240" w:lineRule="auto" w:before="0" w:after="0"/>
              <w:pStyle w:val="Compact"/>
            </w:pPr>
            <w:r>
              <w:rPr>
                <w:sz w:val="20"/>
                <w:szCs w:val="20"/>
              </w:rPr>
              <w:t xml:space="preserve">Coded from Table 7 strategy labels P.0 through P.4</w:t>
            </w:r>
          </w:p>
        </w:tc>
      </w:tr>
      <w:tr>
        <w:tc>
          <w:tcPr>
            <w:tcW w:w="0" w:type="auto"/>
          </w:tcPr>
          <w:p>
            <w:pPr>
              <w:spacing w:line="240" w:lineRule="auto" w:before="0" w:after="0"/>
              <w:pStyle w:val="Compact"/>
            </w:pPr>
            <w:r>
              <w:rPr>
                <w:sz w:val="20"/>
                <w:szCs w:val="20"/>
              </w:rPr>
              <w:t xml:space="preserve">is_series_strategy</w:t>
            </w:r>
          </w:p>
        </w:tc>
        <w:tc>
          <w:tcPr>
            <w:tcW w:w="0" w:type="auto"/>
          </w:tcPr>
          <w:p>
            <w:pPr>
              <w:spacing w:line="240" w:lineRule="auto" w:before="0" w:after="0"/>
              <w:pStyle w:val="Compact"/>
            </w:pPr>
            <w:r>
              <w:rPr>
                <w:sz w:val="20"/>
                <w:szCs w:val="20"/>
              </w:rPr>
              <w:t xml:space="preserve">Indicator for a series hybrid decision strategy</w:t>
            </w:r>
          </w:p>
        </w:tc>
        <w:tc>
          <w:tcPr>
            <w:tcW w:w="0" w:type="auto"/>
          </w:tcPr>
          <w:p>
            <w:pPr>
              <w:spacing w:line="240" w:lineRule="auto" w:before="0" w:after="0"/>
              <w:pStyle w:val="Compact"/>
            </w:pPr>
            <w:r>
              <w:rPr>
                <w:sz w:val="20"/>
                <w:szCs w:val="20"/>
              </w:rPr>
              <w:t xml:space="preserve">Coded from Table 7 strategy labels S.0 through S.4</w:t>
            </w:r>
          </w:p>
        </w:tc>
      </w:tr>
    </w:tbl>
    <w:bookmarkEnd w:id="89"/>
    <w:bookmarkStart w:id="9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0.4299</w:t>
            </w:r>
          </w:p>
        </w:tc>
        <w:tc>
          <w:tcPr>
            <w:tcW w:w="0" w:type="auto"/>
          </w:tcPr>
          <w:p>
            <w:pPr>
              <w:spacing w:line="240" w:lineRule="auto" w:before="0" w:after="0"/>
              <w:pStyle w:val="Compact"/>
            </w:pPr>
            <w:r>
              <w:rPr>
                <w:sz w:val="20"/>
                <w:szCs w:val="20"/>
              </w:rPr>
              <w:t xml:space="preserve">0.3382</w:t>
            </w:r>
          </w:p>
        </w:tc>
        <w:tc>
          <w:tcPr>
            <w:tcW w:w="0" w:type="auto"/>
          </w:tcPr>
          <w:p>
            <w:pPr>
              <w:spacing w:line="240" w:lineRule="auto" w:before="0" w:after="0"/>
              <w:pStyle w:val="Compact"/>
            </w:pPr>
            <w:r>
              <w:rPr>
                <w:sz w:val="20"/>
                <w:szCs w:val="20"/>
              </w:rPr>
              <w:t xml:space="preserve">1.2713</w:t>
            </w:r>
          </w:p>
        </w:tc>
        <w:tc>
          <w:tcPr>
            <w:tcW w:w="0" w:type="auto"/>
          </w:tcPr>
          <w:p>
            <w:pPr>
              <w:spacing w:line="240" w:lineRule="auto" w:before="0" w:after="0"/>
              <w:pStyle w:val="Compact"/>
            </w:pPr>
            <w:r>
              <w:rPr>
                <w:sz w:val="20"/>
                <w:szCs w:val="20"/>
              </w:rPr>
              <w:t xml:space="preserve">0.2036</w:t>
            </w:r>
          </w:p>
        </w:tc>
        <w:tc>
          <w:tcPr>
            <w:tcW w:w="0" w:type="auto"/>
          </w:tcPr>
          <w:p>
            <w:pPr>
              <w:spacing w:line="240" w:lineRule="auto" w:before="0" w:after="0"/>
              <w:pStyle w:val="Compact"/>
            </w:pPr>
            <w:r>
              <w:rPr>
                <w:sz w:val="20"/>
                <w:szCs w:val="20"/>
              </w:rPr>
              <w:t xml:space="preserve">[-0.2329, 1.0928]</w:t>
            </w:r>
          </w:p>
        </w:tc>
      </w:tr>
      <w:tr>
        <w:tc>
          <w:tcPr>
            <w:tcW w:w="0" w:type="auto"/>
          </w:tcPr>
          <w:p>
            <w:pPr>
              <w:spacing w:line="240" w:lineRule="auto" w:before="0" w:after="0"/>
              <w:pStyle w:val="Compact"/>
            </w:pPr>
            <w:r>
              <w:rPr>
                <w:sz w:val="20"/>
                <w:szCs w:val="20"/>
              </w:rPr>
              <w:t xml:space="preserve">oxygen_yield_pct</w:t>
            </w:r>
          </w:p>
        </w:tc>
        <w:tc>
          <w:tcPr>
            <w:tcW w:w="0" w:type="auto"/>
          </w:tcPr>
          <w:p>
            <w:pPr>
              <w:spacing w:line="240" w:lineRule="auto" w:before="0" w:after="0"/>
              <w:pStyle w:val="Compact"/>
            </w:pPr>
            <w:r>
              <w:rPr>
                <w:sz w:val="20"/>
                <w:szCs w:val="20"/>
              </w:rPr>
              <w:t xml:space="preserve">0.0087</w:t>
            </w:r>
          </w:p>
        </w:tc>
        <w:tc>
          <w:tcPr>
            <w:tcW w:w="0" w:type="auto"/>
          </w:tcPr>
          <w:p>
            <w:pPr>
              <w:spacing w:line="240" w:lineRule="auto" w:before="0" w:after="0"/>
              <w:pStyle w:val="Compact"/>
            </w:pPr>
            <w:r>
              <w:rPr>
                <w:sz w:val="20"/>
                <w:szCs w:val="20"/>
              </w:rPr>
              <w:t xml:space="preserve">0.0262</w:t>
            </w:r>
          </w:p>
        </w:tc>
        <w:tc>
          <w:tcPr>
            <w:tcW w:w="0" w:type="auto"/>
          </w:tcPr>
          <w:p>
            <w:pPr>
              <w:spacing w:line="240" w:lineRule="auto" w:before="0" w:after="0"/>
              <w:pStyle w:val="Compact"/>
            </w:pPr>
            <w:r>
              <w:rPr>
                <w:sz w:val="20"/>
                <w:szCs w:val="20"/>
              </w:rPr>
              <w:t xml:space="preserve">0.3306</w:t>
            </w:r>
          </w:p>
        </w:tc>
        <w:tc>
          <w:tcPr>
            <w:tcW w:w="0" w:type="auto"/>
          </w:tcPr>
          <w:p>
            <w:pPr>
              <w:spacing w:line="240" w:lineRule="auto" w:before="0" w:after="0"/>
              <w:pStyle w:val="Compact"/>
            </w:pPr>
            <w:r>
              <w:rPr>
                <w:sz w:val="20"/>
                <w:szCs w:val="20"/>
              </w:rPr>
              <w:t xml:space="preserve">0.7409</w:t>
            </w:r>
          </w:p>
        </w:tc>
        <w:tc>
          <w:tcPr>
            <w:tcW w:w="0" w:type="auto"/>
          </w:tcPr>
          <w:p>
            <w:pPr>
              <w:spacing w:line="240" w:lineRule="auto" w:before="0" w:after="0"/>
              <w:pStyle w:val="Compact"/>
            </w:pPr>
            <w:r>
              <w:rPr>
                <w:sz w:val="20"/>
                <w:szCs w:val="20"/>
              </w:rPr>
              <w:t xml:space="preserve">[-0.0426, 0.0599]</w:t>
            </w:r>
          </w:p>
        </w:tc>
      </w:tr>
      <w:tr>
        <w:tc>
          <w:tcPr>
            <w:tcW w:w="0" w:type="auto"/>
          </w:tcPr>
          <w:p>
            <w:pPr>
              <w:spacing w:line="240" w:lineRule="auto" w:before="0" w:after="0"/>
              <w:pStyle w:val="Compact"/>
            </w:pPr>
            <w:r>
              <w:rPr>
                <w:sz w:val="20"/>
                <w:szCs w:val="20"/>
              </w:rPr>
              <w:t xml:space="preserve">mass_payback</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0.0239</w:t>
            </w:r>
          </w:p>
        </w:tc>
        <w:tc>
          <w:tcPr>
            <w:tcW w:w="0" w:type="auto"/>
          </w:tcPr>
          <w:p>
            <w:pPr>
              <w:spacing w:line="240" w:lineRule="auto" w:before="0" w:after="0"/>
              <w:pStyle w:val="Compact"/>
            </w:pPr>
            <w:r>
              <w:rPr>
                <w:sz w:val="20"/>
                <w:szCs w:val="20"/>
              </w:rPr>
              <w:t xml:space="preserve">16.7276</w:t>
            </w:r>
          </w:p>
        </w:tc>
        <w:tc>
          <w:tcPr>
            <w:tcW w:w="0" w:type="auto"/>
          </w:tcPr>
          <w:p>
            <w:pPr>
              <w:spacing w:line="240" w:lineRule="auto" w:before="0" w:after="0"/>
              <w:pStyle w:val="Compact"/>
            </w:pPr>
            <w:r>
              <w:rPr>
                <w:sz w:val="20"/>
                <w:szCs w:val="20"/>
              </w:rPr>
              <w:t xml:space="preserve">8.251e-63</w:t>
            </w:r>
          </w:p>
        </w:tc>
        <w:tc>
          <w:tcPr>
            <w:tcW w:w="0" w:type="auto"/>
          </w:tcPr>
          <w:p>
            <w:pPr>
              <w:spacing w:line="240" w:lineRule="auto" w:before="0" w:after="0"/>
              <w:pStyle w:val="Compact"/>
            </w:pPr>
            <w:r>
              <w:rPr>
                <w:sz w:val="20"/>
                <w:szCs w:val="20"/>
              </w:rPr>
              <w:t xml:space="preserve">[0.3532, 0.4469]</w:t>
            </w:r>
          </w:p>
        </w:tc>
      </w:tr>
      <w:tr>
        <w:tc>
          <w:tcPr>
            <w:tcW w:w="0" w:type="auto"/>
          </w:tcPr>
          <w:p>
            <w:pPr>
              <w:spacing w:line="240" w:lineRule="auto" w:before="0" w:after="0"/>
              <w:pStyle w:val="Compact"/>
            </w:pPr>
            <w:r>
              <w:rPr>
                <w:sz w:val="20"/>
                <w:szCs w:val="20"/>
              </w:rPr>
              <w:t xml:space="preserve">is_parallel_strategy</w:t>
            </w:r>
          </w:p>
        </w:tc>
        <w:tc>
          <w:tcPr>
            <w:tcW w:w="0" w:type="auto"/>
          </w:tcPr>
          <w:p>
            <w:pPr>
              <w:spacing w:line="240" w:lineRule="auto" w:before="0" w:after="0"/>
              <w:pStyle w:val="Compact"/>
            </w:pPr>
            <w:r>
              <w:rPr>
                <w:sz w:val="20"/>
                <w:szCs w:val="20"/>
              </w:rPr>
              <w:t xml:space="preserve">0.1925</w:t>
            </w:r>
          </w:p>
        </w:tc>
        <w:tc>
          <w:tcPr>
            <w:tcW w:w="0" w:type="auto"/>
          </w:tcPr>
          <w:p>
            <w:pPr>
              <w:spacing w:line="240" w:lineRule="auto" w:before="0" w:after="0"/>
              <w:pStyle w:val="Compact"/>
            </w:pPr>
            <w:r>
              <w:rPr>
                <w:sz w:val="20"/>
                <w:szCs w:val="20"/>
              </w:rPr>
              <w:t xml:space="preserve">0.2838</w:t>
            </w:r>
          </w:p>
        </w:tc>
        <w:tc>
          <w:tcPr>
            <w:tcW w:w="0" w:type="auto"/>
          </w:tcPr>
          <w:p>
            <w:pPr>
              <w:spacing w:line="240" w:lineRule="auto" w:before="0" w:after="0"/>
              <w:pStyle w:val="Compact"/>
            </w:pPr>
            <w:r>
              <w:rPr>
                <w:sz w:val="20"/>
                <w:szCs w:val="20"/>
              </w:rPr>
              <w:t xml:space="preserve">0.6781</w:t>
            </w:r>
          </w:p>
        </w:tc>
        <w:tc>
          <w:tcPr>
            <w:tcW w:w="0" w:type="auto"/>
          </w:tcPr>
          <w:p>
            <w:pPr>
              <w:spacing w:line="240" w:lineRule="auto" w:before="0" w:after="0"/>
              <w:pStyle w:val="Compact"/>
            </w:pPr>
            <w:r>
              <w:rPr>
                <w:sz w:val="20"/>
                <w:szCs w:val="20"/>
              </w:rPr>
              <w:t xml:space="preserve">0.4977</w:t>
            </w:r>
          </w:p>
        </w:tc>
        <w:tc>
          <w:tcPr>
            <w:tcW w:w="0" w:type="auto"/>
          </w:tcPr>
          <w:p>
            <w:pPr>
              <w:spacing w:line="240" w:lineRule="auto" w:before="0" w:after="0"/>
              <w:pStyle w:val="Compact"/>
            </w:pPr>
            <w:r>
              <w:rPr>
                <w:sz w:val="20"/>
                <w:szCs w:val="20"/>
              </w:rPr>
              <w:t xml:space="preserve">[-0.3638, 0.7488]</w:t>
            </w:r>
          </w:p>
        </w:tc>
      </w:tr>
      <w:tr>
        <w:tc>
          <w:tcPr>
            <w:tcW w:w="0" w:type="auto"/>
          </w:tcPr>
          <w:p>
            <w:pPr>
              <w:spacing w:line="240" w:lineRule="auto" w:before="0" w:after="0"/>
              <w:pStyle w:val="Compact"/>
            </w:pPr>
            <w:r>
              <w:rPr>
                <w:sz w:val="20"/>
                <w:szCs w:val="20"/>
              </w:rPr>
              <w:t xml:space="preserve">is_series_strategy</w:t>
            </w:r>
          </w:p>
        </w:tc>
        <w:tc>
          <w:tcPr>
            <w:tcW w:w="0" w:type="auto"/>
          </w:tcPr>
          <w:p>
            <w:pPr>
              <w:spacing w:line="240" w:lineRule="auto" w:before="0" w:after="0"/>
              <w:pStyle w:val="Compact"/>
            </w:pPr>
            <w:r>
              <w:rPr>
                <w:sz w:val="20"/>
                <w:szCs w:val="20"/>
              </w:rPr>
              <w:t xml:space="preserve">0.9042</w:t>
            </w:r>
          </w:p>
        </w:tc>
        <w:tc>
          <w:tcPr>
            <w:tcW w:w="0" w:type="auto"/>
          </w:tcPr>
          <w:p>
            <w:pPr>
              <w:spacing w:line="240" w:lineRule="auto" w:before="0" w:after="0"/>
              <w:pStyle w:val="Compact"/>
            </w:pPr>
            <w:r>
              <w:rPr>
                <w:sz w:val="20"/>
                <w:szCs w:val="20"/>
              </w:rPr>
              <w:t xml:space="preserve">0.3089</w:t>
            </w:r>
          </w:p>
        </w:tc>
        <w:tc>
          <w:tcPr>
            <w:tcW w:w="0" w:type="auto"/>
          </w:tcPr>
          <w:p>
            <w:pPr>
              <w:spacing w:line="240" w:lineRule="auto" w:before="0" w:after="0"/>
              <w:pStyle w:val="Compact"/>
            </w:pPr>
            <w:r>
              <w:rPr>
                <w:sz w:val="20"/>
                <w:szCs w:val="20"/>
              </w:rPr>
              <w:t xml:space="preserve">2.9276</w:t>
            </w:r>
          </w:p>
        </w:tc>
        <w:tc>
          <w:tcPr>
            <w:tcW w:w="0" w:type="auto"/>
          </w:tcPr>
          <w:p>
            <w:pPr>
              <w:spacing w:line="240" w:lineRule="auto" w:before="0" w:after="0"/>
              <w:pStyle w:val="Compact"/>
            </w:pPr>
            <w:r>
              <w:rPr>
                <w:sz w:val="20"/>
                <w:szCs w:val="20"/>
              </w:rPr>
              <w:t xml:space="preserve">0.0034</w:t>
            </w:r>
          </w:p>
        </w:tc>
        <w:tc>
          <w:tcPr>
            <w:tcW w:w="0" w:type="auto"/>
          </w:tcPr>
          <w:p>
            <w:pPr>
              <w:spacing w:line="240" w:lineRule="auto" w:before="0" w:after="0"/>
              <w:pStyle w:val="Compact"/>
            </w:pPr>
            <w:r>
              <w:rPr>
                <w:sz w:val="20"/>
                <w:szCs w:val="20"/>
              </w:rPr>
              <w:t xml:space="preserve">[0.2989, 1.5096]</w:t>
            </w:r>
          </w:p>
        </w:tc>
      </w:tr>
    </w:tbl>
    <w:p>
      <w:pPr>
        <w:pStyle w:val="BodyText"/>
      </w:pPr>
      <w:r>
        <w:t xml:space="preserve">Fit: N = 36 R2 = 0.9032 R2_adj = 0.8907 F = 88.6552 F_p = 1.637e-16</w:t>
      </w:r>
    </w:p>
    <w:bookmarkEnd w:id="90"/>
    <w:bookmarkEnd w:id="91"/>
    <w:bookmarkEnd w:id="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4" Target="media/rId84.png" /><Relationship Type="http://schemas.openxmlformats.org/officeDocument/2006/relationships/hyperlink" Id="rId70" Target="https://doi.org/10.1016/j.actaastro.2025.02.004" TargetMode="External" /><Relationship Type="http://schemas.openxmlformats.org/officeDocument/2006/relationships/hyperlink" Id="rId72" Target="https://doi.org/10.1016/j.actaastro.2025.04.041" TargetMode="External" /><Relationship Type="http://schemas.openxmlformats.org/officeDocument/2006/relationships/hyperlink" Id="rId76" Target="https://doi.org/10.1016/j.actaastro.2025.05.008" TargetMode="External" /><Relationship Type="http://schemas.openxmlformats.org/officeDocument/2006/relationships/hyperlink" Id="rId78" Target="https://doi.org/10.1016/j.actaastro.2025.07.014" TargetMode="External" /><Relationship Type="http://schemas.openxmlformats.org/officeDocument/2006/relationships/hyperlink" Id="rId74" Target="https://doi.org/10.1016/j.actaastro.2025.07.033" TargetMode="External" /><Relationship Type="http://schemas.openxmlformats.org/officeDocument/2006/relationships/hyperlink" Id="rId81" Target="https://doi.org/10.1016/j.actaastro.2026.04.012"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5.02.004" TargetMode="External" /><Relationship Type="http://schemas.openxmlformats.org/officeDocument/2006/relationships/hyperlink" Id="rId72" Target="https://doi.org/10.1016/j.actaastro.2025.04.041" TargetMode="External" /><Relationship Type="http://schemas.openxmlformats.org/officeDocument/2006/relationships/hyperlink" Id="rId76" Target="https://doi.org/10.1016/j.actaastro.2025.05.008" TargetMode="External" /><Relationship Type="http://schemas.openxmlformats.org/officeDocument/2006/relationships/hyperlink" Id="rId78" Target="https://doi.org/10.1016/j.actaastro.2025.07.014" TargetMode="External" /><Relationship Type="http://schemas.openxmlformats.org/officeDocument/2006/relationships/hyperlink" Id="rId74" Target="https://doi.org/10.1016/j.actaastro.2025.07.033" TargetMode="External" /><Relationship Type="http://schemas.openxmlformats.org/officeDocument/2006/relationships/hyperlink" Id="rId81" Target="https://doi.org/10.1016/j.actaastro.2026.04.01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2026-06-27T21:33:08Z</dcterms:created>
  <dcterms:modified xsi:type="dcterms:W3CDTF">2026-06-27T21:33:08Z</dcterms:modified>
</cp:coreProperties>
</file>

<file path=docProps/custom.xml><?xml version="1.0" encoding="utf-8"?>
<Properties xmlns="http://schemas.openxmlformats.org/officeDocument/2006/custom-properties" xmlns:vt="http://schemas.openxmlformats.org/officeDocument/2006/docPropsVTypes"/>
</file>