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DOES IN-SITU RESOURCE UTILIZATION ACTUALLY LOWER LANDED COST? A BREAK-EVEN MASS</w:t>
      </w:r>
    </w:p>
    <w:p>
      <w:pPr>
        <w:jc w:val="center"/>
      </w:pPr>
    </w:p>
    <w:p>
      <w:pPr>
        <w:jc w:val="center"/>
      </w:pPr>
      <w:r>
        <w:rPr>
          <w:rFonts w:ascii="Times New Roman" w:hAnsi="Times New Roman"/>
          <w:sz w:val="24"/>
        </w:rPr>
        <w:t>by</w:t>
      </w:r>
    </w:p>
    <w:p>
      <w:pPr>
        <w:jc w:val="center"/>
      </w:pPr>
      <w:r>
        <w:rPr>
          <w:rFonts w:ascii="Times New Roman" w:hAnsi="Times New Roman"/>
          <w:b/>
          <w:sz w:val="28"/>
        </w:rPr>
        <w:t>Joon Voss</w:t>
      </w:r>
    </w:p>
    <w:p>
      <w:pPr>
        <w:jc w:val="center"/>
      </w:pPr>
      <w:r>
        <w:rPr>
          <w:rFonts w:ascii="Times New Roman" w:hAnsi="Times New Roman"/>
          <w:sz w:val="24"/>
        </w:rPr>
        <w:t>1B-LUN-140</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9" w:name="chapter-1.-introduction"/>
    <w:p>
      <w:pPr>
        <w:pStyle w:val="Heading1"/>
        <w:spacing w:line="480" w:lineRule="auto"/>
      </w:pPr>
      <w:r>
        <w:t xml:space="preserve">Chapter 1. Introduction</w:t>
      </w:r>
    </w:p>
    <w:p>
      <w:pPr>
        <w:pStyle w:val="FirstParagraph"/>
        <w:spacing w:line="480" w:lineRule="auto"/>
      </w:pPr>
      <w:r>
        <w:t xml:space="preserve">Nearly every cislunar planning document leans on one proposition: local resources will lower the cost of operating in space. You find it in mission concepts, in surface architecture trades, in the pitch decks investors circulate, and in the cost-share bargaining that steers which lunar ventures draw public money. Hearing it stated so often, a reader starts to treat it as established. But the evidence behind the proposition is much weaker than the assurance with which people repeat it.</w:t>
      </w:r>
    </w:p>
    <w:p>
      <w:pPr>
        <w:pStyle w:val="BodyText"/>
        <w:spacing w:line="480" w:lineRule="auto"/>
        <w:ind w:firstLine="720"/>
      </w:pPr>
      <w:r>
        <w:t xml:space="preserve">My aim is to make that one proposition earn its keep. The claim I test is deliberately small, and its smallness is what makes it answerable. Land a lunar in-situ resource utilization plant, run it to pull oxygen or water from regolith, turn that into propellant or crew consumables, and then ask the hard question: does a kilogram of product delivered to a useful orbit really come in cheaper than a kilogram shipped up from Earth? The answer resists intuition. The plant is not free mass; someone paid to launch it. It draws power, wants maintenance, produces at a rate nobody can pin down in advance, and recovers its own delivery cost only after enough operating time has passed for its returns to exceed what it took to put there. Since the puzzle is numeric, a number settles it, and that number is the cumulative output at which the homegrown option finally overtakes the launch option.</w:t>
      </w:r>
    </w:p>
    <w:p>
      <w:pPr>
        <w:pStyle w:val="BodyText"/>
        <w:spacing w:line="480" w:lineRule="auto"/>
        <w:ind w:firstLine="720"/>
      </w:pPr>
      <w:r>
        <w:t xml:space="preserve">I label that quantity M</w:t>
      </w:r>
      <w:r>
        <w:rPr>
          <w:i/>
          <w:iCs/>
        </w:rPr>
        <w:t xml:space="preserve">. One figure, and the entire argument turns on it. Each chapter after this one does one of four things: pin down what M</w:t>
      </w:r>
      <w:r>
        <w:t xml:space="preserve"> </w:t>
      </w:r>
      <w:r>
        <w:t xml:space="preserve">means, assemble the evidence that lets someone estimate it, report the estimate, or press on what the estimate can honestly be asked to support.</w:t>
      </w:r>
    </w:p>
    <w:bookmarkStart w:id="61" w:name="X9c16fb0297e5b23f69e6588eb2e609f440eaa70"/>
    <w:p>
      <w:pPr>
        <w:pStyle w:val="Heading2"/>
        <w:spacing w:line="480" w:lineRule="auto"/>
      </w:pPr>
      <w:r>
        <w:t xml:space="preserve">1.1 The problem and why it resists an easy answer</w:t>
      </w:r>
    </w:p>
    <w:p>
      <w:pPr>
        <w:pStyle w:val="FirstParagraph"/>
        <w:spacing w:line="480" w:lineRule="auto"/>
      </w:pPr>
      <w:r>
        <w:t xml:space="preserve">Set the problem in front of a program manager tasked with scoping an Artemis-era surface architecture. Her choice is real money: back a regolith oxygen plant, back a polar water extraction facility, back some blend of the two, or back none of them and keep resupplying from Earth. On the engineering, the papers she can pull are genuinely strong, quoting candidate plant masses, power draws, oxygen yields as a fraction of the regolith fed in, and the thermodynamic limits that separate one extraction route from another</w:t>
      </w:r>
      <w:r>
        <w:t xml:space="preserve"> </w:t>
      </w:r>
      <w:hyperlink w:anchor="ref-1">
        <w:r>
          <w:rPr>
            <w:rStyle w:val="Hyperlink"/>
          </w:rPr>
          <w:t xml:space="preserve">[1]</w:t>
        </w:r>
      </w:hyperlink>
      <w:r>
        <w:t xml:space="preserve"> </w:t>
      </w:r>
      <w:hyperlink w:anchor="ref-4">
        <w:r>
          <w:rPr>
            <w:rStyle w:val="Hyperlink"/>
          </w:rPr>
          <w:t xml:space="preserve">[4]</w:t>
        </w:r>
      </w:hyperlink>
      <w:r>
        <w:t xml:space="preserve">. The one thing they never hand her, gathered in one place, is the crossover point. Past what cumulative output does building beat shipping? Short of what output should she just launch the oxygen and skip the plant?</w:t>
      </w:r>
    </w:p>
    <w:p>
      <w:pPr>
        <w:pStyle w:val="BodyText"/>
        <w:spacing w:line="480" w:lineRule="auto"/>
        <w:ind w:firstLine="720"/>
      </w:pPr>
      <w:r>
        <w:t xml:space="preserve">Why the literature keeps ducking the crossover is a matter of how the studies are built, not of carelessness. Every trade study tunes itself inside one architecture, carrying its own private guesses about ore grade, power supply, discounting, and how fast demand shows up, and those guesses seldom line up from one study to the next. Take the hybrid-plant work: it weighs carbothermal against water extraction on yield and energy, and it does the comparison carefully, yet it never presses through to the output level where either design overtakes Earth launch</w:t>
      </w:r>
      <w:r>
        <w:t xml:space="preserve"> </w:t>
      </w:r>
      <w:hyperlink w:anchor="ref-1">
        <w:r>
          <w:rPr>
            <w:rStyle w:val="Hyperlink"/>
          </w:rPr>
          <w:t xml:space="preserve">[1]</w:t>
        </w:r>
      </w:hyperlink>
      <w:r>
        <w:t xml:space="preserve">. A mining-feasibility treatment borrows the reserve, recovery, and ramp rules that discipline any terrestrial capital project, and it admits outright that earlier cost-breakeven attempts on cislunar propellant amount to a thin, unresolved corner of the conference record</w:t>
      </w:r>
      <w:r>
        <w:t xml:space="preserve"> </w:t>
      </w:r>
      <w:hyperlink w:anchor="ref-2">
        <w:r>
          <w:rPr>
            <w:rStyle w:val="Hyperlink"/>
          </w:rPr>
          <w:t xml:space="preserve">[2]</w:t>
        </w:r>
      </w:hyperlink>
      <w:r>
        <w:t xml:space="preserve">. A flexible-design study proves that it is uncertainty in demand, not the chemistry, that governs an oxygen plant’s worth, and even that finding has never been rolled into a single breakeven rule a program office could pick up and apply</w:t>
      </w:r>
      <w:r>
        <w:t xml:space="preserve"> </w:t>
      </w:r>
      <w:hyperlink w:anchor="ref-5">
        <w:r>
          <w:rPr>
            <w:rStyle w:val="Hyperlink"/>
          </w:rPr>
          <w:t xml:space="preserve">[5]</w:t>
        </w:r>
      </w:hyperlink>
      <w:r>
        <w:t xml:space="preserve">.</w:t>
      </w:r>
    </w:p>
    <w:p>
      <w:pPr>
        <w:pStyle w:val="BodyText"/>
        <w:spacing w:line="480" w:lineRule="auto"/>
        <w:ind w:firstLine="720"/>
      </w:pPr>
      <w:r>
        <w:t xml:space="preserve">So she is left with three strong literatures spread across her desk and no way to combine them into the single figure she actually needs. Engineering is not what is short. What is short is a shared ledger, one on which plant capital, running costs, logistics, and demand risk all appear in matching units and settle into a threshold.</w:t>
      </w:r>
    </w:p>
    <w:bookmarkEnd w:id="61"/>
    <w:bookmarkStart w:id="62" w:name="why-the-stakes-are-real-and-immediate"/>
    <w:p>
      <w:pPr>
        <w:pStyle w:val="Heading2"/>
        <w:spacing w:line="480" w:lineRule="auto"/>
      </w:pPr>
      <w:r>
        <w:t xml:space="preserve">1.2 Why the stakes are real and immediate</w:t>
      </w:r>
    </w:p>
    <w:p>
      <w:pPr>
        <w:pStyle w:val="FirstParagraph"/>
        <w:spacing w:line="480" w:lineRule="auto"/>
      </w:pPr>
      <w:r>
        <w:t xml:space="preserve">Start with the calendar, because it is the first reason the question refuses to wait. People are scoping surface infrastructure and commercial lunar-resource ventures right now, and money is moving on the strength of the cost-reduction promise. Let a promise steer billions in emplacement spending while no one has named the threshold behind it, and the spending is riding on advocacy where it ought to ride on a measured crossover. That is a governance failure at least as much as an engineering one.</w:t>
      </w:r>
    </w:p>
    <w:p>
      <w:pPr>
        <w:pStyle w:val="BodyText"/>
        <w:spacing w:line="480" w:lineRule="auto"/>
        <w:ind w:firstLine="720"/>
      </w:pPr>
      <w:r>
        <w:t xml:space="preserve">A second stake is methodological. Nobody in the field has agreed on a way to pull plant capital apart from operations, operations apart from logistics, and logistics apart from demand risk. Leave those tangled and every cost figure arrives as a sealed box, and sealed boxes cannot be audited, set side by side, or shown wrong. Write the breakeven out in the open and the pieces have to separate. Separated, the estimate becomes something a reader with no stake in the answer can rebuild for herself, which is the least you can ask before a skeptic will credit the number.</w:t>
      </w:r>
    </w:p>
    <w:bookmarkEnd w:id="62"/>
    <w:bookmarkStart w:id="63" w:name="the-one-falsifiable-contribution"/>
    <w:p>
      <w:pPr>
        <w:pStyle w:val="Heading2"/>
        <w:spacing w:line="480" w:lineRule="auto"/>
      </w:pPr>
      <w:r>
        <w:t xml:space="preserve">1.3 The one falsifiable contribution</w:t>
      </w:r>
    </w:p>
    <w:p>
      <w:pPr>
        <w:pStyle w:val="FirstParagraph"/>
        <w:spacing w:line="480" w:lineRule="auto"/>
      </w:pPr>
      <w:r>
        <w:t xml:space="preserve">Here is the contribution, drawn as tightly as the words allow. Let LCOE_ISRU(M) stand for the discounted landed cost of a kilogram of useful product from a lunar in-situ resource utilization architecture, measured once cumulative production has reached M kilograms and counting plant emplacement, operations, and logistics. Let LCOE_ETO stand for the discounted landed cost of a kilogram of that same product when it instead rides up from Earth and transfers out to cislunar space across the same span. Breakeven is the least cumulative output at which building stops costing more than launching:</w:t>
      </w:r>
    </w:p>
    <w:p>
      <w:pPr>
        <w:pStyle w:val="BodyText"/>
        <w:spacing w:line="480" w:lineRule="auto"/>
        <w:ind w:firstLine="720"/>
      </w:pPr>
      <w:r>
        <w:t xml:space="preserve">M* = min { M : LCOE_ISRU(M) &lt;= LCOE_ETO }.</w:t>
      </w:r>
    </w:p>
    <w:p>
      <w:pPr>
        <w:pStyle w:val="BodyText"/>
        <w:spacing w:line="480" w:lineRule="auto"/>
        <w:ind w:firstLine="720"/>
      </w:pPr>
      <w:r>
        <w:t xml:space="preserve">From that definition two rival hypotheses drop out at once. Under the null, the reference hybrid hydrogen-reduction-plus-carbothermal architecture, running on central published parameters, carries an M* larger than all the cislunar propellant demand the central forecast expects through 2045</w:t>
      </w:r>
      <w:r>
        <w:t xml:space="preserve"> </w:t>
      </w:r>
      <w:hyperlink w:anchor="ref-6">
        <w:r>
          <w:rPr>
            <w:rStyle w:val="Hyperlink"/>
          </w:rPr>
          <w:t xml:space="preserve">[6]</w:t>
        </w:r>
      </w:hyperlink>
      <w:r>
        <w:t xml:space="preserve">. Should the null stand, the plant never recoups inside the program’s life, and the cost-reduction promise collapses for that design. Under the alternative, the same architecture on the same parameters lands M* squarely inside the projected demand window, and the result holds up when launch cost, plant mass, and regolith grade are pushed across a stated sensitivity envelope.</w:t>
      </w:r>
    </w:p>
    <w:p>
      <w:pPr>
        <w:pStyle w:val="BodyText"/>
        <w:spacing w:line="480" w:lineRule="auto"/>
        <w:ind w:firstLine="720"/>
      </w:pPr>
      <w:r>
        <w:t xml:space="preserve">What makes the design falsifiable is that M* is one number and the demand horizon is fixed from outside. The threshold either sits inside the demand window or it sits beyond it; no clever rewording gets a losing result off the hook, which is precisely why the test is worth running. A claim engineered to survive every result has told you nothing, and this particular claim has escaped a real test far too long by refusing to name a number at all.</w:t>
      </w:r>
    </w:p>
    <w:bookmarkEnd w:id="63"/>
    <w:bookmarkStart w:id="64" w:name="the-empirical-spine"/>
    <w:p>
      <w:pPr>
        <w:pStyle w:val="Heading2"/>
        <w:spacing w:line="480" w:lineRule="auto"/>
      </w:pPr>
      <w:r>
        <w:t xml:space="preserve">1.4 The empirical spine</w:t>
      </w:r>
    </w:p>
    <w:p>
      <w:pPr>
        <w:pStyle w:val="FirstParagraph"/>
        <w:spacing w:line="480" w:lineRule="auto"/>
      </w:pPr>
      <w:r>
        <w:t xml:space="preserve">Assertion is not the foundation. The foundation is 36 genuine observations lifted from a published multi-criteria table of lunar oxygen facility strategies</w:t>
      </w:r>
      <w:r>
        <w:t xml:space="preserve"> </w:t>
      </w:r>
      <w:hyperlink w:anchor="ref-5">
        <w:r>
          <w:rPr>
            <w:rStyle w:val="Hyperlink"/>
          </w:rPr>
          <w:t xml:space="preserve">[5]</w:t>
        </w:r>
      </w:hyperlink>
      <w:r>
        <w:t xml:space="preserve">. They span twelve separate strategies, carbothermal reduction, water extraction, five parallel hybrid ratios, and five series hybrid cases, and each strategy shows up three times, once at its expected value and once each at the 5 percent and 95 percent cumulative uncertainty points. Every strategy in the source carries an oxygen yield, a mass payback, and a mass-energy efficiency, and those figures are the bedrock the two empirical papers stand on when they estimate the relationships the breakeven model needs.</w:t>
      </w:r>
    </w:p>
    <w:p>
      <w:pPr>
        <w:pStyle w:val="BodyText"/>
        <w:spacing w:line="480" w:lineRule="auto"/>
        <w:ind w:firstLine="720"/>
      </w:pPr>
      <w:r>
        <w:t xml:space="preserve">The first paper goes after the question of which design traits account for the energy-adjusted payback the strategies post, regressing mass-energy efficiency on oxygen yield, mass payback, and hybrid-architecture indicators with a robust ordinary least squares fit. Inside the table its verdict leaves no ambiguity: mass payback carries the explanation, and once payback and architecture are pinned down, raw oxygen yield is indistinguishable from nothing. The second paper takes the identical 36 observations into proportional space, fitting a log-log elasticity of mass payback on mass-energy efficiency, and it lands an elasticity just over one, so the high-efficiency strategies pick up payback faster than proportionally. Both papers end in the same reframing: breakeven is a question of portfolio and architecture, not a race to maximize yield.</w:t>
      </w:r>
    </w:p>
    <w:p>
      <w:pPr>
        <w:pStyle w:val="BodyText"/>
        <w:spacing w:line="480" w:lineRule="auto"/>
        <w:ind w:firstLine="720"/>
      </w:pPr>
      <w:r>
        <w:t xml:space="preserve">I want no confusion about what those rows actually are. They are structured outputs of a model, design options worked out under stated assumptions, not readings taken off a plant running on the Moon, because no such plant is running. Honesty here means treating the table as the full set of strategy outcomes the source reported and wrapping robust uncertainty around whatever associations the fits recover. Chapter 6 puts the coefficients down precisely as the estimators hand them over, and Chapter 7 refuses to soften how little a modeled table can prove.</w:t>
      </w:r>
    </w:p>
    <w:bookmarkEnd w:id="64"/>
    <w:bookmarkStart w:id="65" w:name="how-the-argument-is-built"/>
    <w:p>
      <w:pPr>
        <w:pStyle w:val="Heading2"/>
        <w:spacing w:line="480" w:lineRule="auto"/>
      </w:pPr>
      <w:r>
        <w:t xml:space="preserve">1.5 How the argument is built</w:t>
      </w:r>
    </w:p>
    <w:p>
      <w:pPr>
        <w:pStyle w:val="FirstParagraph"/>
        <w:spacing w:line="480" w:lineRule="auto"/>
      </w:pPr>
      <w:r>
        <w:t xml:space="preserve">What follows unfolds in a set order. Chapter 2 places the study against its predecessors, tracing where the hybrid-plant analyses, the mining-feasibility argument, the oxygen-extraction reviews, and the demand-scale studies each carry the problem forward and where each halts before a breakeven condition. It reaches, too, into the neighboring work on situational awareness and integrated resource-utilization logistics to fence in the assumptions the estimator has to shoulder</w:t>
      </w:r>
      <w:r>
        <w:t xml:space="preserve"> </w:t>
      </w:r>
      <w:hyperlink w:anchor="ref-7">
        <w:r>
          <w:rPr>
            <w:rStyle w:val="Hyperlink"/>
          </w:rPr>
          <w:t xml:space="preserve">[7]</w:t>
        </w:r>
      </w:hyperlink>
      <w:r>
        <w:t xml:space="preserve"> </w:t>
      </w:r>
      <w:hyperlink w:anchor="ref-23">
        <w:r>
          <w:rPr>
            <w:rStyle w:val="Hyperlink"/>
          </w:rPr>
          <w:t xml:space="preserve">[23]</w:t>
        </w:r>
      </w:hyperlink>
      <w:r>
        <w:t xml:space="preserve">.</w:t>
      </w:r>
    </w:p>
    <w:p>
      <w:pPr>
        <w:pStyle w:val="BodyText"/>
        <w:spacing w:line="480" w:lineRule="auto"/>
        <w:ind w:firstLine="720"/>
      </w:pPr>
      <w:r>
        <w:t xml:space="preserve">Chapter 3 lays down the theory, constructing the chain that ties mass payback, energy efficiency, and demand timing to landed cost, and naming the predictions that chain forces. Here is where the hunch behind M* hardens into something rigorous: the reason payback ought to beat yield, the reason energy and mass pull on each other, the reason holding demand outside the model buys a lower-bound test rather than a market solution.</w:t>
      </w:r>
    </w:p>
    <w:p>
      <w:pPr>
        <w:pStyle w:val="BodyText"/>
        <w:spacing w:line="480" w:lineRule="auto"/>
        <w:ind w:firstLine="720"/>
      </w:pPr>
      <w:r>
        <w:t xml:space="preserve">Chapter 4 puts down the methodology and the identification argument. It writes out the two estimators, the robust ordinary least squares fit and the log-log elasticity fit, and it argues why each recovers the association it says it recovers even though the rows are design cases and not a random sample. It also lays the discounted life-cycle cost structure the estimated relationships feed into, together with the mining-feasibility discipline that stops the model from pretending a plant hits full rate the day it lands</w:t>
      </w:r>
      <w:r>
        <w:t xml:space="preserve"> </w:t>
      </w:r>
      <w:hyperlink w:anchor="ref-2">
        <w:r>
          <w:rPr>
            <w:rStyle w:val="Hyperlink"/>
          </w:rPr>
          <w:t xml:space="preserve">[2]</w:t>
        </w:r>
      </w:hyperlink>
      <w:r>
        <w:t xml:space="preserve">.</w:t>
      </w:r>
    </w:p>
    <w:p>
      <w:pPr>
        <w:pStyle w:val="BodyText"/>
        <w:spacing w:line="480" w:lineRule="auto"/>
        <w:ind w:firstLine="720"/>
      </w:pPr>
      <w:r>
        <w:t xml:space="preserve">Chapter 5 sets out the data and measurement without gaps, defining each variable, tracing each source, stating the count, and spelling out how the hybrid indicators were built, so that a reader can audit the estimate one row at a time.</w:t>
      </w:r>
    </w:p>
    <w:p>
      <w:pPr>
        <w:pStyle w:val="BodyText"/>
        <w:spacing w:line="480" w:lineRule="auto"/>
        <w:ind w:firstLine="720"/>
      </w:pPr>
      <w:r>
        <w:t xml:space="preserve">Chapter 6 delivers the results. Both papers’ estimator outputs land exactly as the runs and the write-ups state them, coefficients, standard errors, p-values, confidence intervals, and sample size, and every sign and magnitude is read back against the chain from Chapter 3.</w:t>
      </w:r>
    </w:p>
    <w:p>
      <w:pPr>
        <w:pStyle w:val="BodyText"/>
        <w:spacing w:line="480" w:lineRule="auto"/>
        <w:ind w:firstLine="720"/>
      </w:pPr>
      <w:r>
        <w:t xml:space="preserve">Chapter 7 moves to discussion and limits, naming the threats to validity without flinching: parameters cherry-picked from a single research lineage, the shortcut of exogenous demand, the leap of carrying terrestrial mining discipline onto a first-of-a-kind off-world facility, and the situational-awareness biases a controlled study has shown steer design choices</w:t>
      </w:r>
      <w:r>
        <w:t xml:space="preserve"> </w:t>
      </w:r>
      <w:hyperlink w:anchor="ref-7">
        <w:r>
          <w:rPr>
            <w:rStyle w:val="Hyperlink"/>
          </w:rPr>
          <w:t xml:space="preserve">[7]</w:t>
        </w:r>
      </w:hyperlink>
      <w:r>
        <w:t xml:space="preserve">. It says plainly what a modeled table is unable to show.</w:t>
      </w:r>
    </w:p>
    <w:p>
      <w:pPr>
        <w:pStyle w:val="BodyText"/>
        <w:spacing w:line="480" w:lineRule="auto"/>
        <w:ind w:firstLine="720"/>
      </w:pPr>
      <w:r>
        <w:t xml:space="preserve">Chapter 8 finishes on conclusions and implications. It puts the contribution in plain terms, ties it to governance and program stakes, and traces the future work that would push the plant-side relationship established here out to full campaign-level landed-cost curves.</w:t>
      </w:r>
    </w:p>
    <w:bookmarkEnd w:id="65"/>
    <w:bookmarkStart w:id="66" w:name="scope-and-what-is-deliberately-out-of-it"/>
    <w:p>
      <w:pPr>
        <w:pStyle w:val="Heading2"/>
        <w:spacing w:line="480" w:lineRule="auto"/>
      </w:pPr>
      <w:r>
        <w:t xml:space="preserve">1.6 Scope and what is deliberately out of it</w:t>
      </w:r>
    </w:p>
    <w:p>
      <w:pPr>
        <w:pStyle w:val="FirstParagraph"/>
        <w:spacing w:line="480" w:lineRule="auto"/>
      </w:pPr>
      <w:r>
        <w:t xml:space="preserve">A dissertation buys its clarity by marking its own borders. This one concerns the plant-side economics of lunar oxygen and propellant production and the breakeven mass those economics imply. It is not a full business case for any named venture, and it will not try to forecast the lunar economy. A handful of things fall outside the borders on purpose, and calling them out now keeps the reader from waiting on answers the evidence was never going to deliver.</w:t>
      </w:r>
    </w:p>
    <w:p>
      <w:pPr>
        <w:pStyle w:val="BodyText"/>
        <w:spacing w:line="480" w:lineRule="auto"/>
        <w:ind w:firstLine="720"/>
      </w:pPr>
      <w:r>
        <w:t xml:space="preserve">Launch price rides in as an outside parameter, pushed around in the sensitivity work rather than derived from scratch, so where launch economics are heading is an input here and not a subject. Demand stays fixed from outside, pulled from a named forecast band</w:t>
      </w:r>
      <w:r>
        <w:t xml:space="preserve"> </w:t>
      </w:r>
      <w:hyperlink w:anchor="ref-6">
        <w:r>
          <w:rPr>
            <w:rStyle w:val="Hyperlink"/>
          </w:rPr>
          <w:t xml:space="preserve">[6]</w:t>
        </w:r>
      </w:hyperlink>
      <w:r>
        <w:t xml:space="preserve">, because the goal is a lower-bound threshold and not a market solution, and letting demand respond to the plant’s own output would swap the falsifiability of one threshold for the shakiness of a made-up equilibrium. Political risk, financing, workforce, and the governance of the cislunar operating environment get their due where they weigh on operating burden, but the model does not resolve them. The biology and chemistry of extraction are taken as the source studies report them rather than rederived, since the contribution is economic identification and not process engineering.</w:t>
      </w:r>
    </w:p>
    <w:p>
      <w:pPr>
        <w:pStyle w:val="BodyText"/>
        <w:spacing w:line="480" w:lineRule="auto"/>
        <w:ind w:firstLine="720"/>
      </w:pPr>
      <w:r>
        <w:t xml:space="preserve">Inside the borders sits the relationship among mass payback, energy efficiency, architecture, and yield across the published strategy data, the two estimators that pull it out, and the breakeven condition that swallows it. Holding the scope this narrow is exactly what lets the central claim carry weight. Try to settle everything about lunar resource economics in one pass and you settle nothing that can be shown wrong, whereas settling one falsifiable question cleanly is worth the restraint.</w:t>
      </w:r>
    </w:p>
    <w:bookmarkEnd w:id="66"/>
    <w:bookmarkStart w:id="67" w:name="the-readers-decision-problem"/>
    <w:p>
      <w:pPr>
        <w:pStyle w:val="Heading2"/>
        <w:spacing w:line="480" w:lineRule="auto"/>
      </w:pPr>
      <w:r>
        <w:t xml:space="preserve">1.7 The reader’s decision problem</w:t>
      </w:r>
    </w:p>
    <w:p>
      <w:pPr>
        <w:pStyle w:val="FirstParagraph"/>
        <w:spacing w:line="480" w:lineRule="auto"/>
      </w:pPr>
      <w:r>
        <w:t xml:space="preserve">A concrete reader kept in mind helps throughout. Imagine an acquisition official weighing two proposals for a lunar oxygen capability, one selling its high extraction yield and one selling a lean mass and power profile. Instinct, both the official’s and the field’s, reaches for the higher-yield chemistry. This dissertation argues the instinct is often mistaken, because yield is not what sets breakeven, and a disciplined screen on mass payback and energy efficiency would, in some cases, flip the ranking outright. Read one way, the chapters ahead are a long reply to that official’s problem, laying out which attributes to press, in what sequence, and with what confidence, all from evidence the official could in principle regenerate.</w:t>
      </w:r>
    </w:p>
    <w:p>
      <w:pPr>
        <w:pStyle w:val="BodyText"/>
        <w:spacing w:line="480" w:lineRule="auto"/>
        <w:ind w:firstLine="720"/>
      </w:pPr>
      <w:r>
        <w:t xml:space="preserve">The same scene explains why the study is so insistent on transparency. An acquisition call resting on a cost model no one can audit is a call that buckles the moment it is contested, and lunar resource calls are contested now, in cost-share talks and program reviews. A breakeven claim the official can chase back to named sources and a pre-registered parameter sheet holds up in front of a hostile stakeholder. Building that kind of claim, over a flashier one nobody can check, drives everything from which estimators got picked to which reproducibility promises got made.</w:t>
      </w:r>
    </w:p>
    <w:bookmarkEnd w:id="67"/>
    <w:bookmarkStart w:id="68" w:name="what-success-looks-like"/>
    <w:p>
      <w:pPr>
        <w:pStyle w:val="Heading2"/>
        <w:spacing w:line="480" w:lineRule="auto"/>
      </w:pPr>
      <w:r>
        <w:t xml:space="preserve">1.8 What success looks like</w:t>
      </w:r>
    </w:p>
    <w:p>
      <w:pPr>
        <w:pStyle w:val="FirstParagraph"/>
        <w:spacing w:line="480" w:lineRule="auto"/>
      </w:pPr>
      <w:r>
        <w:t xml:space="preserve">Finish this dissertation and you should be able to do something you could not do walking in. Hand yourself a candidate lunar oxygen architecture with its published mass, energy, and payback figures, and you should be able to set it against a breakeven threshold and say, with your uncertainty stated, whether it is a near-term landed-cost reducer, a technology still owed a pilot demonstration, or a bench study that has no business being sold as an economic win yet. That is the deliverable, kept small on purpose and made hard to fake on purpose.</w:t>
      </w:r>
    </w:p>
    <w:p>
      <w:pPr>
        <w:pStyle w:val="BodyText"/>
        <w:spacing w:line="480" w:lineRule="auto"/>
        <w:ind w:firstLine="720"/>
      </w:pPr>
      <w:r>
        <w:t xml:space="preserve">One last framing belongs up front. The study handles the cost-reduction claim not as a creed to guard or attack but as a hypothesis to put on trial, and that stance colors the tone of all that follows. Where the evidence backs the claim, the text says so; where the evidence falls short of the claim, the text says that too, and never lets the pull of a tidy conclusion drag the argument past what the data will bear. Such restraint is rare in a field where resource utilization gets championed more than examined, and the discipline is chosen: a threshold an advocate hands you is worth less than one handed over by someone willing to report that it failed. Expect a study as candid about its limits as about its findings, because a breakeven number only helps a decision-maker if its uncertainty is stated as bluntly as its value.</w:t>
      </w:r>
    </w:p>
    <w:p>
      <w:pPr>
        <w:pStyle w:val="BodyText"/>
        <w:spacing w:line="480" w:lineRule="auto"/>
        <w:ind w:firstLine="720"/>
      </w:pPr>
      <w:r>
        <w:t xml:space="preserve">For some architectures under some demand scenarios the cost-reduction claim may hold. The evidence gathered here points to it holding exactly when the production system pairs high mass payback with strong energy efficiency, and failing when it does not, however dazzling the raw oxygen yield. Telling the winning cases from the losing ones takes a number. This dissertation makes that number and lays its workings bare, and the chapters ahead are those workings, so the reader is welcome to test every step, because a breakeven claim no one can check is worth nothing more than the advocacy it was built to replace.</w:t>
      </w:r>
    </w:p>
    <w:bookmarkEnd w:id="68"/>
    <w:bookmarkEnd w:id="69"/>
    <w:bookmarkStart w:id="79" w:name="chapter-2.-literature-review"/>
    <w:p>
      <w:pPr>
        <w:pStyle w:val="Heading1"/>
        <w:spacing w:line="480" w:lineRule="auto"/>
      </w:pPr>
      <w:r>
        <w:t xml:space="preserve">Chapter 2. Literature Review</w:t>
      </w:r>
    </w:p>
    <w:p>
      <w:pPr>
        <w:pStyle w:val="FirstParagraph"/>
        <w:spacing w:line="480" w:lineRule="auto"/>
      </w:pPr>
      <w:r>
        <w:t xml:space="preserve">Work on lunar resource utilization has grown fast, and it has grown lopsided. The engineering half is by now detailed, numerate, and steadily more comparative. The economic half is not. That half, the one that decides whether any of the engineering earns its launch, stays a loose pile of trade studies with no common ledger between them. This chapter crosses the ground, notes what each line of work has nailed down, and pinpoints the exact join where a breakeven-mass condition ought to sit and so far does not.</w:t>
      </w:r>
    </w:p>
    <w:p>
      <w:pPr>
        <w:pStyle w:val="BodyText"/>
        <w:spacing w:line="480" w:lineRule="auto"/>
        <w:ind w:firstLine="720"/>
      </w:pPr>
      <w:r>
        <w:t xml:space="preserve">Four questions organize the survey, each one the field has been chipping at. What can a lunar plant really make, and what does it cost in mass and energy to make it? How ought a resource claim be disciplined before a budget ever touches it? What does demand do to a plant’s worth? And how do the people designing these systems tilt the assumptions that pour into the cost case? Every question owns a body of work, and every body of work quits one pace before the threshold this dissertation hands over.</w:t>
      </w:r>
    </w:p>
    <w:bookmarkStart w:id="70" w:name="X284b96aa50d971fd5a92c8f0f2b71ff4a65f25d"/>
    <w:p>
      <w:pPr>
        <w:pStyle w:val="Heading2"/>
        <w:spacing w:line="480" w:lineRule="auto"/>
      </w:pPr>
      <w:r>
        <w:t xml:space="preserve">2.1 What the plant can produce: the engineering frontier</w:t>
      </w:r>
    </w:p>
    <w:p>
      <w:pPr>
        <w:pStyle w:val="FirstParagraph"/>
        <w:spacing w:line="480" w:lineRule="auto"/>
      </w:pPr>
      <w:r>
        <w:t xml:space="preserve">The plant is where to begin, and the closest recent match is the hybrid lunar plant study by Ikeya and coauthors, setting carbothermal reduction against water extraction and against blends of both</w:t>
      </w:r>
      <w:r>
        <w:t xml:space="preserve"> </w:t>
      </w:r>
      <w:hyperlink w:anchor="ref-1">
        <w:r>
          <w:rPr>
            <w:rStyle w:val="Hyperlink"/>
          </w:rPr>
          <w:t xml:space="preserve">[1]</w:t>
        </w:r>
      </w:hyperlink>
      <w:r>
        <w:t xml:space="preserve">. Its worth to the present work is that it will not reduce oxygen production to a single route. That refusal matters. Carbothermal reduction posts a comparatively high oxygen yield as a share of the regolith it processes, but it pays for that in energy, while water extraction flips the picture, giving up yield to gain more favorable mass payback across several of the reported cases. The paper’s message is that choosing between them is not about grabbing the richer chemistry; it is about how mass, power, and yield play off one another inside a system you actually had to deliver. That is the germ of the argument I grow, even though the paper stops before the output level at which either configuration overtakes Earth launch.</w:t>
      </w:r>
    </w:p>
    <w:p>
      <w:pPr>
        <w:pStyle w:val="BodyText"/>
        <w:spacing w:line="480" w:lineRule="auto"/>
        <w:ind w:firstLine="720"/>
      </w:pPr>
      <w:r>
        <w:t xml:space="preserve">Under the plant comparison lies a review of oxygen-extraction routes by Robinot and colleagues, canvassing solar thermal and laser vacuum pyrolysis paths for driving oxygen out of regolith</w:t>
      </w:r>
      <w:r>
        <w:t xml:space="preserve"> </w:t>
      </w:r>
      <w:hyperlink w:anchor="ref-4">
        <w:r>
          <w:rPr>
            <w:rStyle w:val="Hyperlink"/>
          </w:rPr>
          <w:t xml:space="preserve">[4]</w:t>
        </w:r>
      </w:hyperlink>
      <w:r>
        <w:t xml:space="preserve">. Its value is that it stays clear-eyed about what a system costs. Heat source, material handling, process control, thermal management, each exacts a penalty that a bare yield number quietly buries, and a route that shines in a crucible looks otherwise once you weigh the heat-delivery hardware and the power to drive it. The review presses a point this dissertation keeps returning to: picking a route is a system-level call, and the number that matters economically is never the extraction percentage standing alone.</w:t>
      </w:r>
    </w:p>
    <w:p>
      <w:pPr>
        <w:pStyle w:val="BodyText"/>
        <w:spacing w:line="480" w:lineRule="auto"/>
        <w:ind w:firstLine="720"/>
      </w:pPr>
      <w:r>
        <w:t xml:space="preserve">The materials-characterization literature backs this up. Schild and coauthors study the metal products of molten salt electrolysis on highland regolith simulants, showing that the byproducts and behavior of extraction can themselves be measured and hem in a plant’s design</w:t>
      </w:r>
      <w:r>
        <w:t xml:space="preserve"> </w:t>
      </w:r>
      <w:hyperlink w:anchor="ref-22">
        <w:r>
          <w:rPr>
            <w:rStyle w:val="Hyperlink"/>
          </w:rPr>
          <w:t xml:space="preserve">[22]</w:t>
        </w:r>
      </w:hyperlink>
      <w:r>
        <w:t xml:space="preserve">. Tucker and colleagues run Raman spectroscopy on highland simulants meant for utilization, which counts because feedstock grade is an input the cost model dare not wave away</w:t>
      </w:r>
      <w:r>
        <w:t xml:space="preserve"> </w:t>
      </w:r>
      <w:hyperlink w:anchor="ref-26">
        <w:r>
          <w:rPr>
            <w:rStyle w:val="Hyperlink"/>
          </w:rPr>
          <w:t xml:space="preserve">[26]</w:t>
        </w:r>
      </w:hyperlink>
      <w:r>
        <w:t xml:space="preserve">. Neither study reaches cost, yet both stock the parameter space with hard values for how regolith behaves, and both push back on any picture of feedstock as tidy and obliging.</w:t>
      </w:r>
    </w:p>
    <w:p>
      <w:pPr>
        <w:pStyle w:val="BodyText"/>
        <w:spacing w:line="480" w:lineRule="auto"/>
        <w:ind w:firstLine="720"/>
      </w:pPr>
      <w:r>
        <w:t xml:space="preserve">One more literature bears on the plant. A neighboring process-design literature stretches in-situ manufacturing past propellant. Salman and coauthors work out how to build photobioreactors on the Moon from local material, which bears on the present study less for the biology than for proving that surface processing chains can rise from regolith-derived feedstock</w:t>
      </w:r>
      <w:r>
        <w:t xml:space="preserve"> </w:t>
      </w:r>
      <w:hyperlink w:anchor="ref-3">
        <w:r>
          <w:rPr>
            <w:rStyle w:val="Hyperlink"/>
          </w:rPr>
          <w:t xml:space="preserve">[3]</w:t>
        </w:r>
      </w:hyperlink>
      <w:r>
        <w:t xml:space="preserve">. The bearing is structural: if you can manufacture ancillary surface systems on site, the mass you must launch to stand up production shrinks, and that nudges the breakeven arithmetic in a direction the plant-only studies never register.</w:t>
      </w:r>
    </w:p>
    <w:bookmarkEnd w:id="70"/>
    <w:bookmarkStart w:id="71" w:name="X7c61c97535b098c05777dcb8df57a682135b25d"/>
    <w:p>
      <w:pPr>
        <w:pStyle w:val="Heading2"/>
        <w:spacing w:line="480" w:lineRule="auto"/>
      </w:pPr>
      <w:r>
        <w:t xml:space="preserve">2.2 Disciplining the claim: mining feasibility as a corrective</w:t>
      </w:r>
    </w:p>
    <w:p>
      <w:pPr>
        <w:pStyle w:val="FirstParagraph"/>
        <w:spacing w:line="480" w:lineRule="auto"/>
      </w:pPr>
      <w:r>
        <w:t xml:space="preserve">The sharpest corrective in the recent record is the mining-feasibility argument from McKeown and coauthors</w:t>
      </w:r>
      <w:r>
        <w:t xml:space="preserve"> </w:t>
      </w:r>
      <w:hyperlink w:anchor="ref-2">
        <w:r>
          <w:rPr>
            <w:rStyle w:val="Hyperlink"/>
          </w:rPr>
          <w:t xml:space="preserve">[2]</w:t>
        </w:r>
      </w:hyperlink>
      <w:r>
        <w:t xml:space="preserve">. They contend that lunar resource work habitually races from what is technically possible to what is economically promising, skipping the staged discipline any serious terrestrial capital project obeys. Terrestrial mining does not open a plant because ore is present. Ore is never enough. A plant opens only after resource confidence, recovery performance, capital intensity, operating reliability, and a sequence of staged decision gates have each been established, tested, and signed off, which is a bar the lunar literature has rarely thought to clear. The paper carries that vocabulary onto the Moon and, revealingly, remarks that earlier cost-breakeven work on cislunar ISRU propellant is a slim strand of the conference record never squared with the flexible-design and oxygen-extraction studies that came after.</w:t>
      </w:r>
    </w:p>
    <w:p>
      <w:pPr>
        <w:pStyle w:val="BodyText"/>
        <w:spacing w:line="480" w:lineRule="auto"/>
        <w:ind w:firstLine="720"/>
      </w:pPr>
      <w:r>
        <w:t xml:space="preserve">That remark reads almost as an open invitation. The feasibility argument furnishes the reserve, recovery, and ramp discipline that keeps a cost model from assuming full-rate output in year one, which is the very assumption that flatters every lazy breakeven figure. A plant does not hit nameplate the moment it touches down; it ramps, it loses availability, and its output piles up slowly under a discount rate that punishes every delay. A believable M* has to take that discipline aboard, and McKeown is where I take it.</w:t>
      </w:r>
    </w:p>
    <w:p>
      <w:pPr>
        <w:pStyle w:val="BodyText"/>
        <w:spacing w:line="480" w:lineRule="auto"/>
        <w:ind w:firstLine="720"/>
      </w:pPr>
      <w:r>
        <w:t xml:space="preserve">The mining analogy is not risk-free, and the review owns up to that. Hauling terrestrial discipline over may still understate the discount a first-of-a-kind off-world facility deserves, one with no operating record, no supply chain, and no labor market waiting for it. I park that as a threat to validity for Chapter 7 rather than a fixed parameter. For the survey, the takeaway is tighter: McKeown and colleagues cracked the door to a disciplined breakeven, and they left it to someone else to walk through to an actual threshold.</w:t>
      </w:r>
    </w:p>
    <w:bookmarkEnd w:id="71"/>
    <w:bookmarkStart w:id="72" w:name="X960bcc0052d4d184c412dd398b019792435660f"/>
    <w:p>
      <w:pPr>
        <w:pStyle w:val="Heading2"/>
        <w:spacing w:line="480" w:lineRule="auto"/>
      </w:pPr>
      <w:r>
        <w:t xml:space="preserve">2.3 What demand does: the flexible-design turn</w:t>
      </w:r>
    </w:p>
    <w:p>
      <w:pPr>
        <w:pStyle w:val="FirstParagraph"/>
        <w:spacing w:line="480" w:lineRule="auto"/>
      </w:pPr>
      <w:r>
        <w:t xml:space="preserve">The third line recasts the whole problem as one of uncertainty. In a separate multi-objective decision study, Ikeya and coauthors demonstrate that uncertainty in demand governs the worth of a lunar oxygen plant</w:t>
      </w:r>
      <w:r>
        <w:t xml:space="preserve"> </w:t>
      </w:r>
      <w:hyperlink w:anchor="ref-5">
        <w:r>
          <w:rPr>
            <w:rStyle w:val="Hyperlink"/>
          </w:rPr>
          <w:t xml:space="preserve">[5]</w:t>
        </w:r>
      </w:hyperlink>
      <w:r>
        <w:t xml:space="preserve">. This is the empirical backbone of the dissertation, since the multi-criteria table in that study supplies all 36 observations the results dissect. Its contribution is to read capacity expansion as a staged choice under uncertainty rather than a one-shot sizing job. Size a plant to expected demand and it is wrong at both ends, idle if demand comes up short and jammed if demand runs hot. Flexible design paces its capacity additions to uncertainty as it resolves, and the study shows the worth that flexibility creates can outrun the worth separating one chemistry from another.</w:t>
      </w:r>
    </w:p>
    <w:p>
      <w:pPr>
        <w:pStyle w:val="BodyText"/>
        <w:spacing w:line="480" w:lineRule="auto"/>
        <w:ind w:firstLine="720"/>
      </w:pPr>
      <w:r>
        <w:t xml:space="preserve">Earlier work on the scale of utilization needed to satisfy lunar oxygen demand corroborates the demand-side logic. Cilliers, Rasera, and Hadler put a number on the operational scale plausible demand requires and find that demand assumptions can swamp both plant sizing and operational worth</w:t>
      </w:r>
      <w:r>
        <w:t xml:space="preserve"> </w:t>
      </w:r>
      <w:hyperlink w:anchor="ref-13">
        <w:r>
          <w:rPr>
            <w:rStyle w:val="Hyperlink"/>
          </w:rPr>
          <w:t xml:space="preserve">[13]</w:t>
        </w:r>
      </w:hyperlink>
      <w:r>
        <w:t xml:space="preserve">. Same lesson, other vantage. The demand side rules. Where demand is thin or fitful, even a strong plant idles and never reaches its breakeven output, while under high, dependable demand a plant with real mass payback earns a lasting logistics edge. The estimator here does not crack the demand problem and makes no such pretense; it holds demand exogenous precisely so the breakeven result stays a lower-bound test, uncontaminated by demand reacting to supply.</w:t>
      </w:r>
    </w:p>
    <w:p>
      <w:pPr>
        <w:pStyle w:val="BodyText"/>
        <w:spacing w:line="480" w:lineRule="auto"/>
        <w:ind w:firstLine="720"/>
      </w:pPr>
      <w:r>
        <w:t xml:space="preserve">None of this demand-side work rolls its own insight back into a single breakeven mass. The flexible-design study yields a dense strategy table but leaves the reader to work out what it means for the cost-reduction claim, and closing that inference is the contribution here.</w:t>
      </w:r>
    </w:p>
    <w:bookmarkEnd w:id="72"/>
    <w:bookmarkStart w:id="73" w:name="Xeea2a46b85dc1acdb21a7ecdc55f29093a9f2e3"/>
    <w:p>
      <w:pPr>
        <w:pStyle w:val="Heading2"/>
        <w:spacing w:line="480" w:lineRule="auto"/>
      </w:pPr>
      <w:r>
        <w:t xml:space="preserve">2.4 The human factor: situational awareness and design bias</w:t>
      </w:r>
    </w:p>
    <w:p>
      <w:pPr>
        <w:pStyle w:val="FirstParagraph"/>
        <w:spacing w:line="480" w:lineRule="auto"/>
      </w:pPr>
      <w:r>
        <w:t xml:space="preserve">A fourth line is easy to miss and hard to shrug off. Malone and coauthors run a controlled user study on how situational awareness shapes design decisions for lunar utilization systems and find that decision-makers latch onto partial information</w:t>
      </w:r>
      <w:r>
        <w:t xml:space="preserve"> </w:t>
      </w:r>
      <w:hyperlink w:anchor="ref-7">
        <w:r>
          <w:rPr>
            <w:rStyle w:val="Hyperlink"/>
          </w:rPr>
          <w:t xml:space="preserve">[7]</w:t>
        </w:r>
      </w:hyperlink>
      <w:r>
        <w:t xml:space="preserve">. The result unsettles any cost model, since it means the parameter values feeding a breakeven estimate are themselves bent by whatever the designer happened to be watching. A designer keenly alert to energy limits and only dimly alert to demand risk will produce a cost case skewed one way, where a designer with the opposite attention skews it the other.</w:t>
      </w:r>
    </w:p>
    <w:p>
      <w:pPr>
        <w:pStyle w:val="BodyText"/>
        <w:spacing w:line="480" w:lineRule="auto"/>
        <w:ind w:firstLine="720"/>
      </w:pPr>
      <w:r>
        <w:t xml:space="preserve">The methodological answer this study demands is a documented assumption ledger and a pre-registered parameter sheet that locks central values ahead of any sensitivity work. That discipline runs through the whole design of the present estimator. The situational-awareness result is no side note; it is why the estimate is engineered to be rebuildable by a reader who shares none of the author’s priors, and it earns a place among the named threats to validity in Chapter 7.</w:t>
      </w:r>
    </w:p>
    <w:bookmarkEnd w:id="73"/>
    <w:bookmarkStart w:id="74" w:name="X1a295b20e69f38e51e525157db0b4a547ba25b4"/>
    <w:p>
      <w:pPr>
        <w:pStyle w:val="Heading2"/>
        <w:spacing w:line="480" w:lineRule="auto"/>
      </w:pPr>
      <w:r>
        <w:t xml:space="preserve">2.5 Broader integration: logistics and the Mars analogy</w:t>
      </w:r>
    </w:p>
    <w:p>
      <w:pPr>
        <w:pStyle w:val="FirstParagraph"/>
        <w:spacing w:line="480" w:lineRule="auto"/>
      </w:pPr>
      <w:r>
        <w:t xml:space="preserve">The lunar case is not an island. Integrated resource-utilization system design has been carried further for Mars, and that work instructs by analogy. Chen and coauthors offer an integrated in-situ resource utilization system design and logistics framework for Mars exploration, one that ties plant performance to campaign logistics instead of treating the plant as a lone unit</w:t>
      </w:r>
      <w:r>
        <w:t xml:space="preserve"> </w:t>
      </w:r>
      <w:hyperlink w:anchor="ref-23">
        <w:r>
          <w:rPr>
            <w:rStyle w:val="Hyperlink"/>
          </w:rPr>
          <w:t xml:space="preserve">[23]</w:t>
        </w:r>
      </w:hyperlink>
      <w:r>
        <w:t xml:space="preserve">. The lesson ports without friction: a plant’s economic worth is a function of the logistics web it lives inside, not just of its own throughput, and a breakeven mass blind to logistics runs optimistic.</w:t>
      </w:r>
    </w:p>
    <w:p>
      <w:pPr>
        <w:pStyle w:val="BodyText"/>
        <w:spacing w:line="480" w:lineRule="auto"/>
        <w:ind w:firstLine="720"/>
      </w:pPr>
      <w:r>
        <w:t xml:space="preserve">Flight experience further anchors the operational reality of resource utilization. The MOXIE experiment made oxygen on the Martian surface and, back in its pre-landing planning, laid bare the distance between what the lab expected and what the unit actually did</w:t>
      </w:r>
      <w:r>
        <w:t xml:space="preserve"> </w:t>
      </w:r>
      <w:hyperlink w:anchor="ref-28">
        <w:r>
          <w:rPr>
            <w:rStyle w:val="Hyperlink"/>
          </w:rPr>
          <w:t xml:space="preserve">[28]</w:t>
        </w:r>
      </w:hyperlink>
      <w:r>
        <w:t xml:space="preserve">. MOXIE is no lunar plant and its scale is slight, yet it is the nearest thing to an operating series the field owns, and it earns the caution against reading modeled tables straight across to delivered performance. When Chapter 7 insists the 36 observations are design cases and not field readings, MOXIE is the reminder of how far the two can drift.</w:t>
      </w:r>
    </w:p>
    <w:bookmarkEnd w:id="74"/>
    <w:bookmarkStart w:id="75" w:name="X9b5085d5f692c0524913f4bbaffdd672fd401d6"/>
    <w:p>
      <w:pPr>
        <w:pStyle w:val="Heading2"/>
        <w:spacing w:line="480" w:lineRule="auto"/>
      </w:pPr>
      <w:r>
        <w:t xml:space="preserve">2.6 The operating environment: cislunar awareness and its cost shadow</w:t>
      </w:r>
    </w:p>
    <w:p>
      <w:pPr>
        <w:pStyle w:val="FirstParagraph"/>
        <w:spacing w:line="480" w:lineRule="auto"/>
      </w:pPr>
      <w:r>
        <w:t xml:space="preserve">A resource plant runs inside a governance environment, not a vacuum of one, and a strand of the cislunar space domain awareness literature bears on what a cost model must carry. Banks and coauthors set out a sensor-rich approach to lunar and cislunar space domain awareness, establishing that the operating region is one where position knowledge, coordination, and monitoring levy their own infrastructure demands</w:t>
      </w:r>
      <w:r>
        <w:t xml:space="preserve"> </w:t>
      </w:r>
      <w:hyperlink w:anchor="ref-17">
        <w:r>
          <w:rPr>
            <w:rStyle w:val="Hyperlink"/>
          </w:rPr>
          <w:t xml:space="preserve">[17]</w:t>
        </w:r>
      </w:hyperlink>
      <w:r>
        <w:t xml:space="preserve">. The link to a breakeven estimate is indirect but real: a plant planted in a poorly charted region carries heavier coordination and risk overhead, which loads the operating burden in the cost decomposition. Sustainability and coordination framings press further that trusted stakeholder coordination is a precondition for orderly operations wherever the regime is contested or crowded</w:t>
      </w:r>
      <w:r>
        <w:t xml:space="preserve"> </w:t>
      </w:r>
      <w:hyperlink w:anchor="ref-14">
        <w:r>
          <w:rPr>
            <w:rStyle w:val="Hyperlink"/>
          </w:rPr>
          <w:t xml:space="preserve">[14]</w:t>
        </w:r>
      </w:hyperlink>
      <w:r>
        <w:t xml:space="preserve">, and though these are not resource-economics papers, they fence in the assumption that a plant runs free of governance friction.</w:t>
      </w:r>
    </w:p>
    <w:p>
      <w:pPr>
        <w:pStyle w:val="BodyText"/>
        <w:spacing w:line="480" w:lineRule="auto"/>
        <w:ind w:firstLine="720"/>
      </w:pPr>
      <w:r>
        <w:t xml:space="preserve">This strand earns its place chiefly as a warning against a cost model that pictures the lunar surface as a frictionless factory floor. The awareness and coordination literature makes plain that cislunar space is an active operational domain with demands of its own, and a breakeven estimate that drops coordination overhead runs optimistic in a way the plant-side tables cannot even see. The present study handles it by folding such overhead into the operating burden carried from outside sources rather than anything the strategy table records, and by flagging the table’s silence on it outright.</w:t>
      </w:r>
    </w:p>
    <w:bookmarkEnd w:id="75"/>
    <w:bookmarkStart w:id="76" w:name="X68e28abfc0165ccbb1e71e474470aa0975cae79"/>
    <w:p>
      <w:pPr>
        <w:pStyle w:val="Heading2"/>
        <w:spacing w:line="480" w:lineRule="auto"/>
      </w:pPr>
      <w:r>
        <w:t xml:space="preserve">2.7 The methodological gap in cost-breakeven work</w:t>
      </w:r>
    </w:p>
    <w:p>
      <w:pPr>
        <w:pStyle w:val="FirstParagraph"/>
        <w:spacing w:line="480" w:lineRule="auto"/>
      </w:pPr>
      <w:r>
        <w:t xml:space="preserve">Past the substantive gaps sits a methodological one the survey has to name. As the feasibility argument observes, the cost-breakeven studies that do exist in the cislunar propellant literature are a slim, unreconciled strand</w:t>
      </w:r>
      <w:r>
        <w:t xml:space="preserve"> </w:t>
      </w:r>
      <w:hyperlink w:anchor="ref-2">
        <w:r>
          <w:rPr>
            <w:rStyle w:val="Hyperlink"/>
          </w:rPr>
          <w:t xml:space="preserve">[2]</w:t>
        </w:r>
      </w:hyperlink>
      <w:r>
        <w:t xml:space="preserve">. Three weaknesses recur in them. They tune inside one architecture rather than sweeping the design space, so they cannot tell whether the favorable case they hit is typical or freakish. They peg demand at a point rather than sweeping a projected band, so they cannot part a genuinely favorable plant from one that only flatters itself at a handy demand figure. And they rarely pre-register their parameters, so a reader cannot learn whether the central values were fixed before or after the result was in view, which the situational-awareness evidence shows is no pedant’s worry</w:t>
      </w:r>
      <w:r>
        <w:t xml:space="preserve"> </w:t>
      </w:r>
      <w:hyperlink w:anchor="ref-7">
        <w:r>
          <w:rPr>
            <w:rStyle w:val="Hyperlink"/>
          </w:rPr>
          <w:t xml:space="preserve">[7]</w:t>
        </w:r>
      </w:hyperlink>
      <w:r>
        <w:t xml:space="preserve">.</w:t>
      </w:r>
    </w:p>
    <w:p>
      <w:pPr>
        <w:pStyle w:val="BodyText"/>
        <w:spacing w:line="480" w:lineRule="auto"/>
        <w:ind w:firstLine="720"/>
      </w:pPr>
      <w:r>
        <w:t xml:space="preserve">The present study is built to answer each weakness. It estimates over the full twelve-strategy design space rather than one architecture. It holds demand exogenous and sweeps it across a named forecast band</w:t>
      </w:r>
      <w:r>
        <w:t xml:space="preserve"> </w:t>
      </w:r>
      <w:hyperlink w:anchor="ref-6">
        <w:r>
          <w:rPr>
            <w:rStyle w:val="Hyperlink"/>
          </w:rPr>
          <w:t xml:space="preserve">[6]</w:t>
        </w:r>
      </w:hyperlink>
      <w:r>
        <w:t xml:space="preserve">. And it pre-registers the parameter sheet ahead of the sensitivity work. Cataloging the methodological gap is not meant to belittle the prior work, much of it exploratory by necessity in a data-starved field. It is meant to spell out exactly what a more disciplined breakeven study has to do differently, and to hold the present study to that specification.</w:t>
      </w:r>
    </w:p>
    <w:bookmarkEnd w:id="76"/>
    <w:bookmarkStart w:id="77" w:name="Xd55a1cdb0c2c6c04806f35775e84a32efc563ad"/>
    <w:p>
      <w:pPr>
        <w:pStyle w:val="Heading2"/>
        <w:spacing w:line="480" w:lineRule="auto"/>
      </w:pPr>
      <w:r>
        <w:t xml:space="preserve">2.8 Adjacent process and materials work as parameter anchors</w:t>
      </w:r>
    </w:p>
    <w:p>
      <w:pPr>
        <w:pStyle w:val="FirstParagraph"/>
        <w:spacing w:line="480" w:lineRule="auto"/>
      </w:pPr>
      <w:r>
        <w:t xml:space="preserve">Two further bodies of work sit off the argument’s spine yet supply the hard parameter values a breakeven model wants, and a survey that skipped them would leave the cost model’s inputs unaccountable. The molten salt electrolysis characterization of highland regolith simulants shows that extraction throws off measurable metal byproducts and behaves in quantifiable ways, which pins down the process-side assumptions a plant model has to make</w:t>
      </w:r>
      <w:r>
        <w:t xml:space="preserve"> </w:t>
      </w:r>
      <w:hyperlink w:anchor="ref-22">
        <w:r>
          <w:rPr>
            <w:rStyle w:val="Hyperlink"/>
          </w:rPr>
          <w:t xml:space="preserve">[22]</w:t>
        </w:r>
      </w:hyperlink>
      <w:r>
        <w:t xml:space="preserve">. The Raman characterization of highland simulants for utilization anchors the feedstock-grade assumptions, so regolith is not read as a tidy, obliging input</w:t>
      </w:r>
      <w:r>
        <w:t xml:space="preserve"> </w:t>
      </w:r>
      <w:hyperlink w:anchor="ref-26">
        <w:r>
          <w:rPr>
            <w:rStyle w:val="Hyperlink"/>
          </w:rPr>
          <w:t xml:space="preserve">[26]</w:t>
        </w:r>
      </w:hyperlink>
      <w:r>
        <w:t xml:space="preserve">. Neither estimates cost, yet both stock the parameter space with independent values that do not trace to the primary strategy-table lineage, which is exactly what a study exposed to single-lineage optimism ought to hunt for.</w:t>
      </w:r>
    </w:p>
    <w:p>
      <w:pPr>
        <w:pStyle w:val="BodyText"/>
        <w:spacing w:line="480" w:lineRule="auto"/>
        <w:ind w:firstLine="720"/>
      </w:pPr>
      <w:r>
        <w:t xml:space="preserve">These anchors matter for a quiet reason the survey should say aloud. A breakeven estimate is only as independent as its least independent parameter. Trace every input to one research group and the estimate turns into that group’s assumptions dressed up as an economic finding. Pulling feedstock and process parameters from separate characterization work buys the inputs a measure of independence the strategy table cannot give them on its own. The survey marks where that independence holds and, above all, where it fails, so Chapter 7 can weigh the single-lineage exposure honestly.</w:t>
      </w:r>
    </w:p>
    <w:bookmarkEnd w:id="77"/>
    <w:bookmarkStart w:id="78" w:name="the-seam-this-dissertation-fills"/>
    <w:p>
      <w:pPr>
        <w:pStyle w:val="Heading2"/>
        <w:spacing w:line="480" w:lineRule="auto"/>
      </w:pPr>
      <w:r>
        <w:t xml:space="preserve">2.9 The seam this dissertation fills</w:t>
      </w:r>
    </w:p>
    <w:p>
      <w:pPr>
        <w:pStyle w:val="FirstParagraph"/>
        <w:spacing w:line="480" w:lineRule="auto"/>
      </w:pPr>
      <w:r>
        <w:t xml:space="preserve">Gather the strands and the picture is coherent while the gap is sharp. The engineering literature settles what plants can make and at what cost in mass and energy</w:t>
      </w:r>
      <w:r>
        <w:t xml:space="preserve"> </w:t>
      </w:r>
      <w:hyperlink w:anchor="ref-1">
        <w:r>
          <w:rPr>
            <w:rStyle w:val="Hyperlink"/>
          </w:rPr>
          <w:t xml:space="preserve">[1]</w:t>
        </w:r>
      </w:hyperlink>
      <w:r>
        <w:t xml:space="preserve"> </w:t>
      </w:r>
      <w:hyperlink w:anchor="ref-4">
        <w:r>
          <w:rPr>
            <w:rStyle w:val="Hyperlink"/>
          </w:rPr>
          <w:t xml:space="preserve">[4]</w:t>
        </w:r>
      </w:hyperlink>
      <w:r>
        <w:t xml:space="preserve"> </w:t>
      </w:r>
      <w:hyperlink w:anchor="ref-22">
        <w:r>
          <w:rPr>
            <w:rStyle w:val="Hyperlink"/>
          </w:rPr>
          <w:t xml:space="preserve">[22]</w:t>
        </w:r>
      </w:hyperlink>
      <w:r>
        <w:t xml:space="preserve"> </w:t>
      </w:r>
      <w:hyperlink w:anchor="ref-26">
        <w:r>
          <w:rPr>
            <w:rStyle w:val="Hyperlink"/>
          </w:rPr>
          <w:t xml:space="preserve">[26]</w:t>
        </w:r>
      </w:hyperlink>
      <w:r>
        <w:t xml:space="preserve">. The feasibility literature hands over the discipline a breakeven calculation has to inherit and flags outright that no one has produced the reconciled threshold</w:t>
      </w:r>
      <w:r>
        <w:t xml:space="preserve"> </w:t>
      </w:r>
      <w:hyperlink w:anchor="ref-2">
        <w:r>
          <w:rPr>
            <w:rStyle w:val="Hyperlink"/>
          </w:rPr>
          <w:t xml:space="preserve">[2]</w:t>
        </w:r>
      </w:hyperlink>
      <w:r>
        <w:t xml:space="preserve">. The demand literature proves uncertainty governs worth and leaves the breakeven inference hanging</w:t>
      </w:r>
      <w:r>
        <w:t xml:space="preserve"> </w:t>
      </w:r>
      <w:hyperlink w:anchor="ref-5">
        <w:r>
          <w:rPr>
            <w:rStyle w:val="Hyperlink"/>
          </w:rPr>
          <w:t xml:space="preserve">[5]</w:t>
        </w:r>
      </w:hyperlink>
      <w:r>
        <w:t xml:space="preserve"> </w:t>
      </w:r>
      <w:hyperlink w:anchor="ref-13">
        <w:r>
          <w:rPr>
            <w:rStyle w:val="Hyperlink"/>
          </w:rPr>
          <w:t xml:space="preserve">[13]</w:t>
        </w:r>
      </w:hyperlink>
      <w:r>
        <w:t xml:space="preserve">. The human-factors literature explains why the assumptions have to be pre-registered and audited</w:t>
      </w:r>
      <w:r>
        <w:t xml:space="preserve"> </w:t>
      </w:r>
      <w:hyperlink w:anchor="ref-7">
        <w:r>
          <w:rPr>
            <w:rStyle w:val="Hyperlink"/>
          </w:rPr>
          <w:t xml:space="preserve">[7]</w:t>
        </w:r>
      </w:hyperlink>
      <w:r>
        <w:t xml:space="preserve">. The integration and flight literatures warn that logistics and operational reality bound whatever a modeled estimate can claim</w:t>
      </w:r>
      <w:r>
        <w:t xml:space="preserve"> </w:t>
      </w:r>
      <w:hyperlink w:anchor="ref-23">
        <w:r>
          <w:rPr>
            <w:rStyle w:val="Hyperlink"/>
          </w:rPr>
          <w:t xml:space="preserve">[23]</w:t>
        </w:r>
      </w:hyperlink>
      <w:r>
        <w:t xml:space="preserve"> </w:t>
      </w:r>
      <w:hyperlink w:anchor="ref-28">
        <w:r>
          <w:rPr>
            <w:rStyle w:val="Hyperlink"/>
          </w:rPr>
          <w:t xml:space="preserve">[28]</w:t>
        </w:r>
      </w:hyperlink>
      <w:r>
        <w:t xml:space="preserve">.</w:t>
      </w:r>
    </w:p>
    <w:p>
      <w:pPr>
        <w:pStyle w:val="BodyText"/>
        <w:spacing w:line="480" w:lineRule="auto"/>
        <w:ind w:firstLine="720"/>
      </w:pPr>
      <w:r>
        <w:t xml:space="preserve">The seam shows clearest if you ask, of each strand, what would turn it into a breakeven threshold, and then notice each halts one step shy. The hybrid-plant analysis needs only a launch baseline and a solve for crossover output, and never takes either step</w:t>
      </w:r>
      <w:r>
        <w:t xml:space="preserve"> </w:t>
      </w:r>
      <w:hyperlink w:anchor="ref-1">
        <w:r>
          <w:rPr>
            <w:rStyle w:val="Hyperlink"/>
          </w:rPr>
          <w:t xml:space="preserve">[1]</w:t>
        </w:r>
      </w:hyperlink>
      <w:r>
        <w:t xml:space="preserve">. The feasibility argument supplies the ramp discipline a threshold wants and names the missing reconciliation, yet performs neither</w:t>
      </w:r>
      <w:r>
        <w:t xml:space="preserve"> </w:t>
      </w:r>
      <w:hyperlink w:anchor="ref-2">
        <w:r>
          <w:rPr>
            <w:rStyle w:val="Hyperlink"/>
          </w:rPr>
          <w:t xml:space="preserve">[2]</w:t>
        </w:r>
      </w:hyperlink>
      <w:r>
        <w:t xml:space="preserve">. The flexible-design study yields the very strategy table a threshold would be estimated from, then leaves the estimation to the reader</w:t>
      </w:r>
      <w:r>
        <w:t xml:space="preserve"> </w:t>
      </w:r>
      <w:hyperlink w:anchor="ref-5">
        <w:r>
          <w:rPr>
            <w:rStyle w:val="Hyperlink"/>
          </w:rPr>
          <w:t xml:space="preserve">[5]</w:t>
        </w:r>
      </w:hyperlink>
      <w:r>
        <w:t xml:space="preserve">. The demand-scale study fixes the horizon a threshold must be judged against, without judging a threshold against it</w:t>
      </w:r>
      <w:r>
        <w:t xml:space="preserve"> </w:t>
      </w:r>
      <w:hyperlink w:anchor="ref-13">
        <w:r>
          <w:rPr>
            <w:rStyle w:val="Hyperlink"/>
          </w:rPr>
          <w:t xml:space="preserve">[13]</w:t>
        </w:r>
      </w:hyperlink>
      <w:r>
        <w:t xml:space="preserve">. Each strand passes the next the piece it needs, and no one assembles the set.</w:t>
      </w:r>
    </w:p>
    <w:p>
      <w:pPr>
        <w:pStyle w:val="BodyText"/>
        <w:spacing w:line="480" w:lineRule="auto"/>
        <w:ind w:firstLine="720"/>
      </w:pPr>
      <w:r>
        <w:t xml:space="preserve">No single work solves for M*, the cumulative production mass at which discounted landed cost per kilogram from local production meets that of Earth launch, and no work reports that threshold against an exogenous demand horizon with a stated sensitivity envelope. That is the seam. The rest of this dissertation settles into it, taking the flexible-design strategy table as the empirical anchor, the mining-feasibility argument as the discipline, and the situational-awareness finding as the reason to keep every assumption in the open. The two empirical papers ahead estimate the plant-side relationships, mass payback against energy efficiency and against architecture, that a defensible breakeven model demands, and they do it from named, retrievable sources rather than vendor optimism.</w:t>
      </w:r>
    </w:p>
    <w:bookmarkEnd w:id="78"/>
    <w:bookmarkEnd w:id="79"/>
    <w:bookmarkStart w:id="90" w:name="chapter-3.-theory-and-hypotheses"/>
    <w:p>
      <w:pPr>
        <w:pStyle w:val="Heading1"/>
        <w:spacing w:line="480" w:lineRule="auto"/>
      </w:pPr>
      <w:r>
        <w:t xml:space="preserve">Chapter 3. Theory and Hypotheses</w:t>
      </w:r>
    </w:p>
    <w:p>
      <w:pPr>
        <w:pStyle w:val="FirstParagraph"/>
        <w:spacing w:line="480" w:lineRule="auto"/>
      </w:pPr>
      <w:r>
        <w:t xml:space="preserve">Theory earns its place here by doing precise work. It accounts for why a breakeven mass exists in the first place, why mass payback ought to drive it ahead of oxygen yield, why energy efficiency and payback rise together, and why fixing demand from outside buys a lower-bound test instead of an equilibrium. Each of those becomes a claim you can test, and the two empirical papers exist to test them. This chapter assembles the mechanism and names the predictions before a single datum is touched.</w:t>
      </w:r>
    </w:p>
    <w:bookmarkStart w:id="80" w:name="X9e0536c8e6c7268e0854a227fdcbe245b9215dd"/>
    <w:p>
      <w:pPr>
        <w:pStyle w:val="Heading2"/>
        <w:spacing w:line="480" w:lineRule="auto"/>
      </w:pPr>
      <w:r>
        <w:t xml:space="preserve">3.1 The accounting identity behind break-even</w:t>
      </w:r>
    </w:p>
    <w:p>
      <w:pPr>
        <w:pStyle w:val="FirstParagraph"/>
        <w:spacing w:line="480" w:lineRule="auto"/>
      </w:pPr>
      <w:r>
        <w:t xml:space="preserve">Open with what argument cannot dislodge. It is bookkeeping, not modeling. A lunar plant flown from Earth arrives with a landed mass, and that mass ate launch capacity that could have flown something else, in the limit the very product the plant is built to make. The plant justifies its delivery only if, across its working life, it hands back more useful mass than it displaced, counted in matching discounted units. No modeler is free to write this differently; it is an accounting identity, and it is why a breakeven mass has to exist for any plant that makes anything at all.</w:t>
      </w:r>
    </w:p>
    <w:p>
      <w:pPr>
        <w:pStyle w:val="BodyText"/>
        <w:spacing w:line="480" w:lineRule="auto"/>
        <w:ind w:firstLine="720"/>
      </w:pPr>
      <w:r>
        <w:t xml:space="preserve">Denote the discounted landed cost of a kilogram of local product LCOE_ISRU(M), a function of cumulative output M, since the fixed emplacement burden gets spread over everything the plant will ever make. Early on the arithmetic is unforgiving. M is small, the fixed burden rules, and the per-kilogram cost sits high. Let M climb and the fixed burden amortizes, so the per-kilogram cost drops. The launch baseline LCOE_ETO amortizes nothing, because each launched kilogram costs about what the last one did. One curve falls, one stays flat, and they meet at a single point, which is M*. The shape of the two cost functions guarantees the threshold exists. Where it lands is the only thing left open, and that is precisely the quantity every later chapter labors to fix, because a threshold whose existence is certain but whose location is unknown decides nothing for a program office weighing whether to build or to keep launching.</w:t>
      </w:r>
    </w:p>
    <w:p>
      <w:pPr>
        <w:pStyle w:val="BodyText"/>
        <w:spacing w:line="480" w:lineRule="auto"/>
        <w:ind w:firstLine="720"/>
      </w:pPr>
      <w:r>
        <w:t xml:space="preserve">Where it lands is what a decision hangs on. Everything turns on location. Land M* well below the demand the plant will truly serve and the plant recoups with room to spare, so the cost-reduction claim holds. Land M* well above that demand and the plant never amortizes inside its useful life, so the claim fails. The whole dissertation is a campaign to locate M* and to fence in the uncertainty around its location.</w:t>
      </w:r>
    </w:p>
    <w:bookmarkEnd w:id="80"/>
    <w:bookmarkStart w:id="81" w:name="why-mass-payback-should-dominate-yield"/>
    <w:p>
      <w:pPr>
        <w:pStyle w:val="Heading2"/>
        <w:spacing w:line="480" w:lineRule="auto"/>
      </w:pPr>
      <w:r>
        <w:t xml:space="preserve">3.2 Why mass payback should dominate yield</w:t>
      </w:r>
    </w:p>
    <w:p>
      <w:pPr>
        <w:pStyle w:val="FirstParagraph"/>
        <w:spacing w:line="480" w:lineRule="auto"/>
      </w:pPr>
      <w:r>
        <w:t xml:space="preserve">Yield is the metric intuition reaches for: how much oxygen leaves per unit of regolith fed in. Here intuition stumbles. Yield reports the chemistry, not the economics, and it says nothing whatever about the mass of the system it takes to reach that yield or the energy that system has to burn to keep running.</w:t>
      </w:r>
    </w:p>
    <w:p>
      <w:pPr>
        <w:pStyle w:val="BodyText"/>
        <w:spacing w:line="480" w:lineRule="auto"/>
        <w:ind w:firstLine="720"/>
      </w:pPr>
      <w:r>
        <w:t xml:space="preserve">A division sits at the heart of the mechanism. Landed cost per kilogram of product is, to first order, the plant’s landed mass and operating burden over the cumulative product it returns. System mass and energy provision rule the numerator. Cumulative output is the denominator. Mass payback, oxygen returned per unit of landed system mass, comes out nearly the reciprocal of the quantity that fixes breakeven, and the two ends of the trade fall out at once: a rich-yield route saddled with a heavy, power-thirsty plant can post feeble mass payback and so a large M</w:t>
      </w:r>
      <w:r>
        <w:rPr>
          <w:i/>
          <w:iCs/>
        </w:rPr>
        <w:t xml:space="preserve">, while a leaner-yield route housed in a light, efficient plant can post strong payback and a small M</w:t>
      </w:r>
      <w:r>
        <w:t xml:space="preserve">.</w:t>
      </w:r>
    </w:p>
    <w:p>
      <w:pPr>
        <w:pStyle w:val="BodyText"/>
        <w:spacing w:line="480" w:lineRule="auto"/>
        <w:ind w:firstLine="720"/>
      </w:pPr>
      <w:r>
        <w:t xml:space="preserve">Out of this drops the first testable prediction. If the mechanism holds, then across a run of published strategies mass payback should account for energy-adjusted performance far more than raw oxygen yield once both share a model. The prediction can fail: were yield the true driver, it would keep its explanatory power after payback is held fixed, and it should not. The reference table from the flexible-design study carries exactly the strategies the test needs, running from high-yield carbothermal reduction through low-yield water extraction to the hybrids between</w:t>
      </w:r>
      <w:r>
        <w:t xml:space="preserve"> </w:t>
      </w:r>
      <w:hyperlink w:anchor="ref-5">
        <w:r>
          <w:rPr>
            <w:rStyle w:val="Hyperlink"/>
          </w:rPr>
          <w:t xml:space="preserve">[5]</w:t>
        </w:r>
      </w:hyperlink>
      <w:r>
        <w:t xml:space="preserve">. The hybrid-plant analysis motivates the same expectation from the engineering side, showing carbothermal and water routes part company more in mass and energy than their yields alone would hint</w:t>
      </w:r>
      <w:r>
        <w:t xml:space="preserve"> </w:t>
      </w:r>
      <w:hyperlink w:anchor="ref-1">
        <w:r>
          <w:rPr>
            <w:rStyle w:val="Hyperlink"/>
          </w:rPr>
          <w:t xml:space="preserve">[1]</w:t>
        </w:r>
      </w:hyperlink>
      <w:r>
        <w:t xml:space="preserve">.</w:t>
      </w:r>
    </w:p>
    <w:bookmarkEnd w:id="81"/>
    <w:bookmarkStart w:id="82" w:name="Xeb7930e6d601aef8e67283c5385695049bd632d"/>
    <w:p>
      <w:pPr>
        <w:pStyle w:val="Heading2"/>
        <w:spacing w:line="480" w:lineRule="auto"/>
      </w:pPr>
      <w:r>
        <w:t xml:space="preserve">3.3 Why energy efficiency and payback are coupled</w:t>
      </w:r>
    </w:p>
    <w:p>
      <w:pPr>
        <w:pStyle w:val="FirstParagraph"/>
        <w:spacing w:line="480" w:lineRule="auto"/>
      </w:pPr>
      <w:r>
        <w:t xml:space="preserve">The second mechanism is about how energy and mass work on each other. A plant’s energy appetite is not free; generation and thermal-management hardware, carrying mass of its own, has to feed it. Trim the energy burden per unit of oxygen and you relax the mass of the supporting power system, which lifts mass payback in turn. Energy efficiency and mass payback are not independent merits, then; the mass of the energy plant chains them together.</w:t>
      </w:r>
    </w:p>
    <w:p>
      <w:pPr>
        <w:pStyle w:val="BodyText"/>
        <w:spacing w:line="480" w:lineRule="auto"/>
        <w:ind w:firstLine="720"/>
      </w:pPr>
      <w:r>
        <w:t xml:space="preserve">The oxygen-extraction review makes it tangible. Solar thermal and laser vacuum pyrolysis routes carry their own heat-delivery and thermal-management penalties, and those penalties are mass penalties as much as energy penalties</w:t>
      </w:r>
      <w:r>
        <w:t xml:space="preserve"> </w:t>
      </w:r>
      <w:hyperlink w:anchor="ref-4">
        <w:r>
          <w:rPr>
            <w:rStyle w:val="Hyperlink"/>
          </w:rPr>
          <w:t xml:space="preserve">[4]</w:t>
        </w:r>
      </w:hyperlink>
      <w:r>
        <w:t xml:space="preserve">. A more energy-efficient route can allow smaller supporting gear, longer feasible running inside a power budget, and steadier utilization, and all three lift cumulative output against landed mass.</w:t>
      </w:r>
    </w:p>
    <w:p>
      <w:pPr>
        <w:pStyle w:val="BodyText"/>
        <w:spacing w:line="480" w:lineRule="auto"/>
        <w:ind w:firstLine="720"/>
      </w:pPr>
      <w:r>
        <w:t xml:space="preserve">The prediction that follows is proportional rather than additive. If energy and mass couple through the power system, mass payback should climb with mass-energy efficiency faster than proportionally, because a gain in efficiency both shrinks the energy numerator and lightens the supporting mass. Stated formally, the elasticity clears one: a one percent gain in mass-energy efficiency should pair with more than a one percent gain in mass payback. A log-log specification on the same strategy table tests it directly, and it can fail, since an elasticity at or below unity would refute the coupling.</w:t>
      </w:r>
    </w:p>
    <w:bookmarkEnd w:id="82"/>
    <w:bookmarkStart w:id="83" w:name="architecture-as-a-distinct-dimension"/>
    <w:p>
      <w:pPr>
        <w:pStyle w:val="Heading2"/>
        <w:spacing w:line="480" w:lineRule="auto"/>
      </w:pPr>
      <w:r>
        <w:t xml:space="preserve">3.4 Architecture as a distinct dimension</w:t>
      </w:r>
    </w:p>
    <w:p>
      <w:pPr>
        <w:pStyle w:val="FirstParagraph"/>
        <w:spacing w:line="480" w:lineRule="auto"/>
      </w:pPr>
      <w:r>
        <w:t xml:space="preserve">Hybrid architectures raise a third consideration that will not collapse into yield or payback alone. A parallel hybrid runs carbothermal and water extraction lines side by side at some ratio, where a series hybrid feeds material or process outputs through a joined pathway. These are not just other spots on a yield-payback curve; they inhabit other regions of the design space, because they spread mass and energy across their subsystems differently.</w:t>
      </w:r>
    </w:p>
    <w:p>
      <w:pPr>
        <w:pStyle w:val="BodyText"/>
        <w:spacing w:line="480" w:lineRule="auto"/>
        <w:ind w:firstLine="720"/>
      </w:pPr>
      <w:r>
        <w:t xml:space="preserve">Theory expects architecture class to carry conditional information about energy-adjusted performance even after yield and payback are held fixed. Series hybrids especially, by chaining processes, may recover energy or material a parallel layout throws away, and that should surface as a positive conditional association apart from the payback effect. The prediction is that at least one architecture indicator will separate from zero in a model already carrying payback and yield, and that its effect will be modest against payback. This keeps the architecture claim honest, forecasting a real but secondary effect rather than a ruling one, so a null across all architecture indicators would count against treating architecture as its own lever.</w:t>
      </w:r>
    </w:p>
    <w:bookmarkEnd w:id="83"/>
    <w:bookmarkStart w:id="84" w:name="why-demand-is-held-exogenous"/>
    <w:p>
      <w:pPr>
        <w:pStyle w:val="Heading2"/>
        <w:spacing w:line="480" w:lineRule="auto"/>
      </w:pPr>
      <w:r>
        <w:t xml:space="preserve">3.5 Why demand is held exogenous</w:t>
      </w:r>
    </w:p>
    <w:p>
      <w:pPr>
        <w:pStyle w:val="FirstParagraph"/>
        <w:spacing w:line="480" w:lineRule="auto"/>
      </w:pPr>
      <w:r>
        <w:t xml:space="preserve">A plant’s worth turns on demand, and demand is genuinely uncertain. The flexible-design literature shows demand uncertainty can govern an oxygen facility’s worth, outrunning the spread among chemistries</w:t>
      </w:r>
      <w:r>
        <w:t xml:space="preserve"> </w:t>
      </w:r>
      <w:hyperlink w:anchor="ref-5">
        <w:r>
          <w:rPr>
            <w:rStyle w:val="Hyperlink"/>
          </w:rPr>
          <w:t xml:space="preserve">[5]</w:t>
        </w:r>
      </w:hyperlink>
      <w:r>
        <w:t xml:space="preserve">, and the scale-of-operations literature arrives at the same place from the demand side, finding demand assumptions can govern plant sizing</w:t>
      </w:r>
      <w:r>
        <w:t xml:space="preserve"> </w:t>
      </w:r>
      <w:hyperlink w:anchor="ref-13">
        <w:r>
          <w:rPr>
            <w:rStyle w:val="Hyperlink"/>
          </w:rPr>
          <w:t xml:space="preserve">[13]</w:t>
        </w:r>
      </w:hyperlink>
      <w:r>
        <w:t xml:space="preserve">. A fully endogenous treatment would let the lunar price of propellant answer to local production, feed that back into demand, and chase a market-clearing equilibrium.</w:t>
      </w:r>
    </w:p>
    <w:p>
      <w:pPr>
        <w:pStyle w:val="BodyText"/>
        <w:spacing w:line="480" w:lineRule="auto"/>
        <w:ind w:firstLine="720"/>
      </w:pPr>
      <w:r>
        <w:t xml:space="preserve">I refuse that path deliberately, and the reason comes down to which claim I mean to defend. Holding cumulative demand exogenous, and sweeping it across the projected utilization band</w:t>
      </w:r>
      <w:r>
        <w:t xml:space="preserve"> </w:t>
      </w:r>
      <w:hyperlink w:anchor="ref-6">
        <w:r>
          <w:rPr>
            <w:rStyle w:val="Hyperlink"/>
          </w:rPr>
          <w:t xml:space="preserve">[6]</w:t>
        </w:r>
      </w:hyperlink>
      <w:r>
        <w:t xml:space="preserve">, keeps the breakeven result clear of any demand response to the plant’s own output. As a result M* becomes a lower-bound test. It answers one thing: even with demand pinned high and generous, does the plant amortize inside the horizon? If the answer is no under exogenous demand, endogenous feedback cannot save it, because feedback that cuts price to draw demand also cuts the revenue per kilogram that funds payback. Exogeneity therefore delivers a conservative, defensible threshold rather than a brittle equilibrium, and I carry M* as a threshold throughout, never as a market clearing.</w:t>
      </w:r>
    </w:p>
    <w:bookmarkEnd w:id="84"/>
    <w:bookmarkStart w:id="85" w:name="the-mechanism-assembled"/>
    <w:p>
      <w:pPr>
        <w:pStyle w:val="Heading2"/>
        <w:spacing w:line="480" w:lineRule="auto"/>
      </w:pPr>
      <w:r>
        <w:t xml:space="preserve">3.6 The mechanism assembled</w:t>
      </w:r>
    </w:p>
    <w:p>
      <w:pPr>
        <w:pStyle w:val="FirstParagraph"/>
        <w:spacing w:line="480" w:lineRule="auto"/>
      </w:pPr>
      <w:r>
        <w:t xml:space="preserve">The parts assemble into one logic. Read them in order. Breakeven exists because fixed emplacement mass amortizes over cumulative output while launch does not (3.1). Mass payback, not yield, fixes where breakeven lands, because it is output over the system mass that had to be delivered (3.2). Energy efficiency lifts payback more than proportionally because energy and supporting mass are coupled (3.3). Architecture class shifts the payback-efficiency relationship by redistributing mass and energy across subsystems (3.4). And demand is held exogenous so the resulting threshold is a conservative lower-bound test rather than an equilibrium (3.5). Each link rests on a specific slice of engineering work, and each throws off a prediction the strategy table can confront.</w:t>
      </w:r>
    </w:p>
    <w:bookmarkEnd w:id="85"/>
    <w:bookmarkStart w:id="86" w:name="the-hypotheses"/>
    <w:p>
      <w:pPr>
        <w:pStyle w:val="Heading2"/>
        <w:spacing w:line="480" w:lineRule="auto"/>
      </w:pPr>
      <w:r>
        <w:t xml:space="preserve">3.7 The hypotheses</w:t>
      </w:r>
    </w:p>
    <w:p>
      <w:pPr>
        <w:pStyle w:val="FirstParagraph"/>
        <w:spacing w:line="480" w:lineRule="auto"/>
      </w:pPr>
      <w:r>
        <w:t xml:space="preserve">The dissertation’s governing hypotheses recast the breakeven question in falsifiable form. Under the null, the reference hybrid architecture on central published parameters</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4">
        <w:r>
          <w:rPr>
            <w:rStyle w:val="Hyperlink"/>
          </w:rPr>
          <w:t xml:space="preserve">[4]</w:t>
        </w:r>
      </w:hyperlink>
      <w:r>
        <w:t xml:space="preserve"> </w:t>
      </w:r>
      <w:hyperlink w:anchor="ref-5">
        <w:r>
          <w:rPr>
            <w:rStyle w:val="Hyperlink"/>
          </w:rPr>
          <w:t xml:space="preserve">[5]</w:t>
        </w:r>
      </w:hyperlink>
      <w:r>
        <w:t xml:space="preserve"> </w:t>
      </w:r>
      <w:r>
        <w:t xml:space="preserve">carries an M* larger than cumulative cislunar propellant demand projected through 2045 in the central forecast</w:t>
      </w:r>
      <w:r>
        <w:t xml:space="preserve"> </w:t>
      </w:r>
      <w:hyperlink w:anchor="ref-6">
        <w:r>
          <w:rPr>
            <w:rStyle w:val="Hyperlink"/>
          </w:rPr>
          <w:t xml:space="preserve">[6]</w:t>
        </w:r>
      </w:hyperlink>
      <w:r>
        <w:t xml:space="preserve">, so the plant fails to recoup inside the horizon. Under the alternative, M* lands strictly inside the projected demand window and survives a stated sensitivity envelope on launch cost, plant mass, and regolith grade.</w:t>
      </w:r>
    </w:p>
    <w:p>
      <w:pPr>
        <w:pStyle w:val="BodyText"/>
        <w:spacing w:line="480" w:lineRule="auto"/>
        <w:ind w:firstLine="720"/>
      </w:pPr>
      <w:r>
        <w:t xml:space="preserve">Beneath those governing hypotheses run the two plant-side predictions the empirical papers test head-on. The first paper hypothesizes that higher mass payback pairs with higher mass-energy efficiency once oxygen yield and hybrid architecture type are accounted for, against a null of no association. The second paper hypothesizes that strategies with higher mass-energy efficiency post higher mass payback on a log-log basis, with the sharper edge that the elasticity clears one. These are the mechanism’s fingerprints, and each prediction is matched to a specific way it could fail, which is what turns the pair into a genuine test rather than a description in disguise. Payback dominance fails if yield keeps explanatory power once payback is held fixed. The elasticity prediction fails if the estimated coefficient sits at or below one. Architecture’s secondary role fails if every architecture indicator is null, or if one overruns the payback term. Only when the results fall on the predicted side of all three does the coupling logic hold, and any one of the three failure modes sends the mechanism back to be rebuilt.</w:t>
      </w:r>
    </w:p>
    <w:p>
      <w:pPr>
        <w:pStyle w:val="BodyText"/>
        <w:spacing w:line="480" w:lineRule="auto"/>
        <w:ind w:firstLine="720"/>
      </w:pPr>
      <w:r>
        <w:t xml:space="preserve">If mass payback beats yield and the elasticity clears unity, the coupling logic underwriting the breakeven model stands. If either prediction fails, the mechanism is wrong and the breakeven framing resting on it would have to be rebuilt from other premises.</w:t>
      </w:r>
    </w:p>
    <w:bookmarkEnd w:id="86"/>
    <w:bookmarkStart w:id="87" w:name="a-decomposition-of-landed-cost"/>
    <w:p>
      <w:pPr>
        <w:pStyle w:val="Heading2"/>
        <w:spacing w:line="480" w:lineRule="auto"/>
      </w:pPr>
      <w:r>
        <w:t xml:space="preserve">3.8 A decomposition of landed cost</w:t>
      </w:r>
    </w:p>
    <w:p>
      <w:pPr>
        <w:pStyle w:val="FirstParagraph"/>
        <w:spacing w:line="480" w:lineRule="auto"/>
      </w:pPr>
      <w:r>
        <w:t xml:space="preserve">To sharpen the mechanism, break the discounted landed cost of a kilogram of local product into its parts. A fixed emplacement burden comes first, the launched mass of the plant and its power system, priced at launch cost per kilogram and discounted to the emplacement date. An operating burden comes next, the power, consumables, maintenance, and logistics the plant wants per period, discounted over its life. And cumulative output comes last, the useful product the plant returns over the horizon, itself a function of yield, availability, ramp, and operating life.</w:t>
      </w:r>
    </w:p>
    <w:p>
      <w:pPr>
        <w:pStyle w:val="BodyText"/>
        <w:spacing w:line="480" w:lineRule="auto"/>
        <w:ind w:firstLine="720"/>
      </w:pPr>
      <w:r>
        <w:t xml:space="preserve">Landed cost per kilogram is, to first order, the discounted fixed and operating burdens summed and divided by discounted cumulative output. Mass payback lives in that expression as output over the launched system mass that rules the fixed burden, which is why it reads almost as the reciprocal of the quantity that fixes breakeven. Energy efficiency lives in it twice, once in the operating burden, since a more efficient plant burns less power per unit output, and once in the fixed burden, since a more efficient plant flies a smaller power system. That double appearance is the formal reason the elasticity of payback on efficiency should clear one. Yield enters only through cumulative output, and its reach there goes slack whenever the plant delivering the yield is heavy or power-hungry, which is the formal reason yield sheds explanatory power once payback and efficiency are present.</w:t>
      </w:r>
    </w:p>
    <w:p>
      <w:pPr>
        <w:pStyle w:val="BodyText"/>
        <w:spacing w:line="480" w:lineRule="auto"/>
        <w:ind w:firstLine="720"/>
      </w:pPr>
      <w:r>
        <w:t xml:space="preserve">The decomposition also explains why the mechanism forecasts the exact significance pattern the results will show. Payback should register because it carries the ruling fixed-burden term. Efficiency-coupled effects should run more than proportional because efficiency enters the cost expression twice. Yield should come up insignificant conditional on payback because its lone channel, cumulative output, is already summed up by payback in the delivered-system framing. Architecture should carry a secondary effect because it reshuffles how mass and energy distribute across subsystems without touching the basic structure of the decomposition. Each prediction is a reading of a specific term in the cost identity, which is what makes them falsifiable and not merely plausible.</w:t>
      </w:r>
    </w:p>
    <w:bookmarkEnd w:id="87"/>
    <w:bookmarkStart w:id="88" w:name="the-plausibility-of-the-null"/>
    <w:p>
      <w:pPr>
        <w:pStyle w:val="Heading2"/>
        <w:spacing w:line="480" w:lineRule="auto"/>
      </w:pPr>
      <w:r>
        <w:t xml:space="preserve">3.9 The plausibility of the null</w:t>
      </w:r>
    </w:p>
    <w:p>
      <w:pPr>
        <w:pStyle w:val="FirstParagraph"/>
        <w:spacing w:line="480" w:lineRule="auto"/>
      </w:pPr>
      <w:r>
        <w:t xml:space="preserve">A well-posed test wants a null that could honestly turn out true, and this one is no straw man. It is fully plausible that for a reference hybrid architecture on central parameters, the breakeven mass overruns cumulative demand through 2045. The reasons are structural. Emplacement mass runs large because a plant and its power system have to be flown to the surface. Ramp runs slow because a first-of-a-kind facility does not reach nameplate at once. Discounting punishes the deferred output amortization leans on. And demand, though held exogenous and generous, stays finite over the horizon. Any one of these can shove M* past the demand window, and several acting at once easily do.</w:t>
      </w:r>
    </w:p>
    <w:p>
      <w:pPr>
        <w:pStyle w:val="BodyText"/>
        <w:spacing w:line="480" w:lineRule="auto"/>
        <w:ind w:firstLine="720"/>
      </w:pPr>
      <w:r>
        <w:t xml:space="preserve">The null is also the historically favored position. The mining-feasibility argument observes that cost-breakeven work on cislunar propellant stays thin and unreconciled, which fits a field that has not managed to show favorable breakeven under disciplined assumptions</w:t>
      </w:r>
      <w:r>
        <w:t xml:space="preserve"> </w:t>
      </w:r>
      <w:hyperlink w:anchor="ref-2">
        <w:r>
          <w:rPr>
            <w:rStyle w:val="Hyperlink"/>
          </w:rPr>
          <w:t xml:space="preserve">[2]</w:t>
        </w:r>
      </w:hyperlink>
      <w:r>
        <w:t xml:space="preserve">. Making the null the default, and forcing the alternative to earn acceptance through a threshold that lands inside the demand window and clears the sensitivity envelope, is the conservative stance. It sets the burden of proof on the cost-reduction claim instead of granting it, which flips the field’s habitual advocacy default and is the whole methodological point of stating the hypotheses this way.</w:t>
      </w:r>
    </w:p>
    <w:bookmarkEnd w:id="88"/>
    <w:bookmarkStart w:id="89" w:name="X267eeedb21d5868a58467af64353c69dc91220c"/>
    <w:p>
      <w:pPr>
        <w:pStyle w:val="Heading2"/>
        <w:spacing w:line="480" w:lineRule="auto"/>
      </w:pPr>
      <w:r>
        <w:t xml:space="preserve">3.10 What a positive result would and would not license</w:t>
      </w:r>
    </w:p>
    <w:p>
      <w:pPr>
        <w:pStyle w:val="FirstParagraph"/>
        <w:spacing w:line="480" w:lineRule="auto"/>
      </w:pPr>
      <w:r>
        <w:t xml:space="preserve">Grant that both predictions hold, as Chapter 6 will report they do. What does that permit? It permits the claim that within published strategy data the plant-side determinants of breakeven behave as the coupling mechanism says, and that a breakeven screen built on mass payback and energy efficiency rests on relationships internally consistent in the source. It does not permit the claim that any particular plant will recoup on the actual Moon, because the observations are modeled design cases and not operating records, and because the governing hypotheses about M* against the demand horizon lean on cost and demand parameters carrying their own uncertainty.</w:t>
      </w:r>
    </w:p>
    <w:p>
      <w:pPr>
        <w:pStyle w:val="BodyText"/>
        <w:spacing w:line="480" w:lineRule="auto"/>
        <w:ind w:firstLine="720"/>
      </w:pPr>
      <w:r>
        <w:t xml:space="preserve">This restraint is not false modesty; it is an exact statement of what a design table can and cannot certify. A mechanism confirmed inside the table tells a decision-maker the plant-side determinants of breakeven behave as theory says, which is enough to hang a screening rule on. It does not tell her that any modeled strategy will reproduce its tabled performance once it is a real plant on a real surface, because the table never watched a real plant. The mechanism earns a screening rule; it does not earn a guarantee, and the theory is written to claim the former alone.</w:t>
      </w:r>
    </w:p>
    <w:p>
      <w:pPr>
        <w:pStyle w:val="BodyText"/>
        <w:spacing w:line="480" w:lineRule="auto"/>
        <w:ind w:firstLine="720"/>
      </w:pPr>
      <w:r>
        <w:t xml:space="preserve">The situational-awareness finding is the reason for the restraint</w:t>
      </w:r>
      <w:r>
        <w:t xml:space="preserve"> </w:t>
      </w:r>
      <w:hyperlink w:anchor="ref-7">
        <w:r>
          <w:rPr>
            <w:rStyle w:val="Hyperlink"/>
          </w:rPr>
          <w:t xml:space="preserve">[7]</w:t>
        </w:r>
      </w:hyperlink>
      <w:r>
        <w:t xml:space="preserve">. If designers latch onto partial information, then even internally consistent tables can carry a skewed picture of the trade space, and a mechanism confirmed inside such a table is confirmed conditionally. The theory therefore forecasts not truth about the Moon but structure in the evidence, and it is that structure the results confront. Chapter 4 turns to how the two estimators recover it and why each identifies the association it claims.</w:t>
      </w:r>
    </w:p>
    <w:bookmarkEnd w:id="89"/>
    <w:bookmarkEnd w:id="90"/>
    <w:bookmarkStart w:id="103" w:name="X940caaf6d3ac92c12a69529db0381ad3e868d7e"/>
    <w:p>
      <w:pPr>
        <w:pStyle w:val="Heading1"/>
        <w:spacing w:line="480" w:lineRule="auto"/>
      </w:pPr>
      <w:r>
        <w:t xml:space="preserve">Chapter 4. Methodology and Identification</w:t>
      </w:r>
    </w:p>
    <w:p>
      <w:pPr>
        <w:pStyle w:val="FirstParagraph"/>
        <w:spacing w:line="480" w:lineRule="auto"/>
      </w:pPr>
      <w:r>
        <w:t xml:space="preserve">Two estimators carry the empirical load of this dissertation, and a third structure, the discounted life-cycle cost model, converts their outputs into a breakeven mass. This chapter pins down all three. It writes each estimator out formally, argues why it recovers the association it claims, faces the fact that the observations are engineering design cases and not a random sample, and lays out the feasibility discipline that keeps the cost model from flattering itself. The sequence is chosen. It is not arbitrary. Plant-side estimators come first, since they establish the relationships the cost model swallows, and only then does the cost structure appear, gathering those relationships together with externally sourced mass, power, launch, ramp, and demand parameters into the single quantity M* that the whole apparatus exists to produce.</w:t>
      </w:r>
    </w:p>
    <w:bookmarkStart w:id="91" w:name="X154b03b1b85ba3b02215398f70291ef54af0c35"/>
    <w:p>
      <w:pPr>
        <w:pStyle w:val="Heading2"/>
        <w:spacing w:line="480" w:lineRule="auto"/>
      </w:pPr>
      <w:r>
        <w:t xml:space="preserve">4.1 The estimand and the nature of the sample</w:t>
      </w:r>
    </w:p>
    <w:p>
      <w:pPr>
        <w:pStyle w:val="FirstParagraph"/>
        <w:spacing w:line="480" w:lineRule="auto"/>
      </w:pPr>
      <w:r>
        <w:t xml:space="preserve">Nothing gets specified until I am honest about what the data are. The identification argument rides on it. The 36 observations come from one published multi-criteria table of lunar oxygen facility strategies</w:t>
      </w:r>
      <w:r>
        <w:t xml:space="preserve"> </w:t>
      </w:r>
      <w:hyperlink w:anchor="ref-5">
        <w:r>
          <w:rPr>
            <w:rStyle w:val="Hyperlink"/>
          </w:rPr>
          <w:t xml:space="preserve">[5]</w:t>
        </w:r>
      </w:hyperlink>
      <w:r>
        <w:t xml:space="preserve">. Every row pairs a strategy with an uncertainty point: twelve strategies at expected, 5 percent cumulative, and 95 percent cumulative values. They are not independent draws from a population of operating plants. They are modeled outputs of an engineering design study, produced under stated assumptions about availability, water content, production period, power margin, and mass margin.</w:t>
      </w:r>
    </w:p>
    <w:p>
      <w:pPr>
        <w:pStyle w:val="BodyText"/>
        <w:spacing w:line="480" w:lineRule="auto"/>
        <w:ind w:firstLine="720"/>
      </w:pPr>
      <w:r>
        <w:t xml:space="preserve">That bears on what the estimators may claim. A coefficient here is no treatment effect pulled from randomization; it is a within-table association, the extent to which two reported performance dimensions travel together across the design options the source laid out. The estimand is therefore descriptive by construction, and I say so outright rather than dressing a design table as a causal experiment. The identification task shrinks to match and stays defensible in the shrinking: recover the conditional association among reported quantities, with uncertainty that will not oversell confidence given how non-random the rows are.</w:t>
      </w:r>
    </w:p>
    <w:bookmarkEnd w:id="91"/>
    <w:bookmarkStart w:id="92" w:name="X1e612fd7e25e76a29edf7819f8cbbd876cdb16f"/>
    <w:p>
      <w:pPr>
        <w:pStyle w:val="Heading2"/>
        <w:spacing w:line="480" w:lineRule="auto"/>
      </w:pPr>
      <w:r>
        <w:t xml:space="preserve">4.2 The first estimator: robust ordinary least squares</w:t>
      </w:r>
    </w:p>
    <w:p>
      <w:pPr>
        <w:pStyle w:val="FirstParagraph"/>
        <w:spacing w:line="480" w:lineRule="auto"/>
      </w:pPr>
      <w:r>
        <w:t xml:space="preserve">The form is plain on purpose. Plainness is the point. The first paper fits an ordinary least squares model of mass-energy efficiency on oxygen yield, mass payback, and two hybrid-architecture indicators. In the source’s notation the specification reads</w:t>
      </w:r>
    </w:p>
    <w:p>
      <w:pPr>
        <w:pStyle w:val="BodyText"/>
        <w:spacing w:line="480" w:lineRule="auto"/>
        <w:ind w:firstLine="720"/>
      </w:pPr>
      <w:r>
        <w:t xml:space="preserve">E_i = alpha + beta_1 Y_i + beta_2 P_i + beta_3 H^P_i + beta_4 H^S_i + epsilon_i,</w:t>
      </w:r>
    </w:p>
    <w:p>
      <w:pPr>
        <w:pStyle w:val="BodyText"/>
        <w:spacing w:line="480" w:lineRule="auto"/>
        <w:ind w:firstLine="720"/>
      </w:pPr>
      <w:r>
        <w:t xml:space="preserve">with E_i the mass-energy efficiency (oxygen mass per unit total energy, in the table’s units of 10^-5 tonnes per kWh), Y_i the oxygen yield as a percent of processed regolith, P_i the mass payback (oxygen returned per unit system mass), H^P_i an indicator for a parallel hybrid strategy, and H^S_i an indicator for a series hybrid strategy. Carbothermal reduction and water extraction, the single-pathway strategies, form the omitted category the hybrid indicators are read against.</w:t>
      </w:r>
    </w:p>
    <w:p>
      <w:pPr>
        <w:pStyle w:val="BodyText"/>
        <w:spacing w:line="480" w:lineRule="auto"/>
        <w:ind w:firstLine="720"/>
      </w:pPr>
      <w:r>
        <w:t xml:space="preserve">The way this specification is laid out is what turns it into a test of the theory. Mass payback and oxygen yield ride in together, so the payback coefficient is conditional on yield and the yield coefficient is conditional on payback, which is precisely the contrast the mechanism in Chapter 3 forecasts. Should payback rule, its conditional coefficient ought to come out large and tightly estimated while the conditional coefficient on yield falls toward zero. Carrying both in one model is not a nuisance; it is the test. The architecture indicators ride in to soak up the distinct placement of the hybrid strategies, so architecture composition does not bleed into the payback and yield coefficients.</w:t>
      </w:r>
    </w:p>
    <w:bookmarkEnd w:id="92"/>
    <w:bookmarkStart w:id="93" w:name="Xba7c837381a3cf7772c5b5f42011f59b0aed690"/>
    <w:p>
      <w:pPr>
        <w:pStyle w:val="Heading2"/>
        <w:spacing w:line="480" w:lineRule="auto"/>
      </w:pPr>
      <w:r>
        <w:t xml:space="preserve">4.3 Why robust standard errors, and why they suffice</w:t>
      </w:r>
    </w:p>
    <w:p>
      <w:pPr>
        <w:pStyle w:val="FirstParagraph"/>
        <w:spacing w:line="480" w:lineRule="auto"/>
      </w:pPr>
      <w:r>
        <w:t xml:space="preserve">Robust errors are not ornament here. They earn their place. Since the rows are engineering design cases rather than repeated random samples, and since a design study spaces its cases wherever the trade space happens to bend rather than wherever a sampling frame would put them, the equal-variance assumptions that a textbook fit leans on ask far too much of this table. The residual spread is not guaranteed constant across the design space, and high-payback strategies may carry different residual variance than low-payback ones. Heteroskedasticity-robust HC1 standard errors meet that head-on, letting residual variance shift across observations while still delivering valid uncertainty on the coefficients.</w:t>
      </w:r>
    </w:p>
    <w:p>
      <w:pPr>
        <w:pStyle w:val="BodyText"/>
        <w:spacing w:line="480" w:lineRule="auto"/>
        <w:ind w:firstLine="720"/>
      </w:pPr>
      <w:r>
        <w:t xml:space="preserve">I want no confusion about what robust errors mend and what they do not. They correct the uncertainty for non-constant variance. They do not conjure independence the rows lack, and they do not turn a descriptive association into a causal effect. What they buy is candor about precision: a coefficient reported with HC1 errors is not claiming more confidence than a modeled table can back. The estimator reads the table as a complete set of reported strategy outcomes and reports robust uncertainty to dodge overconfidence, which is the right stance when the sample is a design enumeration and not a survey.</w:t>
      </w:r>
    </w:p>
    <w:bookmarkEnd w:id="93"/>
    <w:bookmarkStart w:id="94" w:name="the-second-estimator-log-log-elasticity"/>
    <w:p>
      <w:pPr>
        <w:pStyle w:val="Heading2"/>
        <w:spacing w:line="480" w:lineRule="auto"/>
      </w:pPr>
      <w:r>
        <w:t xml:space="preserve">4.4 The second estimator: log-log elasticity</w:t>
      </w:r>
    </w:p>
    <w:p>
      <w:pPr>
        <w:pStyle w:val="FirstParagraph"/>
        <w:spacing w:line="480" w:lineRule="auto"/>
      </w:pPr>
      <w:r>
        <w:t xml:space="preserve">The second paper takes the same 36 observations into proportional space. Its specification is a log-log ordinary least squares model,</w:t>
      </w:r>
    </w:p>
    <w:p>
      <w:pPr>
        <w:pStyle w:val="BodyText"/>
        <w:spacing w:line="480" w:lineRule="auto"/>
        <w:ind w:firstLine="720"/>
      </w:pPr>
      <w:r>
        <w:t xml:space="preserve">ln(P_i) = alpha + beta ln(E_i) + epsilon_i,</w:t>
      </w:r>
    </w:p>
    <w:p>
      <w:pPr>
        <w:pStyle w:val="BodyText"/>
        <w:spacing w:line="480" w:lineRule="auto"/>
        <w:ind w:firstLine="720"/>
      </w:pPr>
      <w:r>
        <w:t xml:space="preserve">with P_i the mass payback and E_i the mass-energy efficiency. The coefficient beta is an elasticity, the percent change in mass payback tied to a one percent change in mass-energy efficiency. An elasticity of one means proportional co-movement; an elasticity above one means payback climbs more than proportionally with efficiency, which is the sharper prediction the coupling mechanism throws off in Chapter 3.</w:t>
      </w:r>
    </w:p>
    <w:p>
      <w:pPr>
        <w:pStyle w:val="BodyText"/>
        <w:spacing w:line="480" w:lineRule="auto"/>
        <w:ind w:firstLine="720"/>
      </w:pPr>
      <w:r>
        <w:t xml:space="preserve">The source calls the specification a learning-curve form, and the vocabulary wants care. A learning curve, in its historical sense, estimates the rate at which unit cost falls as cumulative production experience mounts. There is no cumulative production experience on the Moon, so no historical learning rate can be estimated. The coefficient here is an elasticity between two design-output variables from a single table, not an industrial learning rate. I carry that distinction through every use of the estimate, since blurring the two would claim evidence the data cannot supply. The log-log form is chosen because elasticity is the quantity the theory forecasts, and because lunar architectures get compared across orders of magnitude where proportional differences are the natural unit.</w:t>
      </w:r>
    </w:p>
    <w:bookmarkEnd w:id="94"/>
    <w:bookmarkStart w:id="95" w:name="X9aec9751ff90d41a9d850ab67a8a249d49e3fc0"/>
    <w:p>
      <w:pPr>
        <w:pStyle w:val="Heading2"/>
        <w:spacing w:line="480" w:lineRule="auto"/>
      </w:pPr>
      <w:r>
        <w:t xml:space="preserve">4.5 Identification: what makes these associations interpretable</w:t>
      </w:r>
    </w:p>
    <w:p>
      <w:pPr>
        <w:pStyle w:val="FirstParagraph"/>
        <w:spacing w:line="480" w:lineRule="auto"/>
      </w:pPr>
      <w:r>
        <w:t xml:space="preserve">Identification in the strict experimental sense is off the table, and I claim none. What is on the table is a weaker but real warrant that the estimated associations mean what the theory says, and it rests on three moves.</w:t>
      </w:r>
    </w:p>
    <w:p>
      <w:pPr>
        <w:pStyle w:val="BodyText"/>
        <w:spacing w:line="480" w:lineRule="auto"/>
        <w:ind w:firstLine="720"/>
      </w:pPr>
      <w:r>
        <w:t xml:space="preserve">First, the explanatory variables are the strategies’ own reported performance dimensions, taken from the same table as the outcome, so nothing is lost in translation between what the theory names and what the model uses. Mass payback in the model is the mass payback the source reports, not a stand-in. Second, entering payback and yield jointly isolates each one’s conditional contribution, which is exactly the comparison the mechanism forecasts and which a bivariate model could never deliver. Third, the architecture indicators partial out the design-class composition, so a large payback coefficient cannot be an artifact of hybrids happening to bunch at high payback and high efficiency.</w:t>
      </w:r>
    </w:p>
    <w:p>
      <w:pPr>
        <w:pStyle w:val="BodyText"/>
        <w:spacing w:line="480" w:lineRule="auto"/>
        <w:ind w:firstLine="720"/>
      </w:pPr>
      <w:r>
        <w:t xml:space="preserve">Robustness to architecture choice is baked into the source data rather than asserted. The table carries carbothermal-only, water-extraction-only, parallel hybrid, and series hybrid strategies, so re-reading the coefficients across the omitted-category structure is itself a check that the payback relationship is no artifact of one architecture. The mining-feasibility argument supplies an external discipline on interpretation: associations pulled from optimistic published assumptions should read as screening evidence, not as a settled cost estimate, because feasibility logic demands staged confidence before a technology counts as economically proven</w:t>
      </w:r>
      <w:r>
        <w:t xml:space="preserve"> </w:t>
      </w:r>
      <w:hyperlink w:anchor="ref-2">
        <w:r>
          <w:rPr>
            <w:rStyle w:val="Hyperlink"/>
          </w:rPr>
          <w:t xml:space="preserve">[2]</w:t>
        </w:r>
      </w:hyperlink>
      <w:r>
        <w:t xml:space="preserve">.</w:t>
      </w:r>
    </w:p>
    <w:bookmarkEnd w:id="95"/>
    <w:bookmarkStart w:id="96" w:name="X1614e4ac4260b4d3dd869b45ed56222f7579873"/>
    <w:p>
      <w:pPr>
        <w:pStyle w:val="Heading2"/>
        <w:spacing w:line="480" w:lineRule="auto"/>
      </w:pPr>
      <w:r>
        <w:t xml:space="preserve">4.6 From plant-side estimates to a break-even mass</w:t>
      </w:r>
    </w:p>
    <w:p>
      <w:pPr>
        <w:pStyle w:val="FirstParagraph"/>
        <w:spacing w:line="480" w:lineRule="auto"/>
      </w:pPr>
      <w:r>
        <w:t xml:space="preserve">The two estimators set the plant-side structure, and the discounted life-cycle cost model turns that structure into M*. The model computes LCOE_ISRU(M), the discounted landed cost of a kilogram of useful product once cumulative production reaches M, counting plant emplacement, operations, and logistics, and sets it against LCOE_ETO, the discounted landed cost of a kilogram of the same product flown up from Earth and transferred out to cislunar space. The breakeven mass is the least cumulative output at which building stops costing more:</w:t>
      </w:r>
    </w:p>
    <w:p>
      <w:pPr>
        <w:pStyle w:val="BodyText"/>
        <w:spacing w:line="480" w:lineRule="auto"/>
        <w:ind w:firstLine="720"/>
      </w:pPr>
      <w:r>
        <w:t xml:space="preserve">M* = min { M : LCOE_ISRU(M) &lt;= LCOE_ETO }.</w:t>
      </w:r>
    </w:p>
    <w:p>
      <w:pPr>
        <w:pStyle w:val="BodyText"/>
        <w:spacing w:line="480" w:lineRule="auto"/>
        <w:ind w:firstLine="720"/>
      </w:pPr>
      <w:r>
        <w:t xml:space="preserve">Three moves make this identification credible. Plant mass, power, and yield come from peer-reviewed architecture studies rather than vendor literature, with hybrid and single-process variants carried as separate runs</w:t>
      </w:r>
      <w:r>
        <w:t xml:space="preserve"> </w:t>
      </w:r>
      <w:hyperlink w:anchor="ref-1">
        <w:r>
          <w:rPr>
            <w:rStyle w:val="Hyperlink"/>
          </w:rPr>
          <w:t xml:space="preserve">[1]</w:t>
        </w:r>
      </w:hyperlink>
      <w:r>
        <w:t xml:space="preserve"> </w:t>
      </w:r>
      <w:hyperlink w:anchor="ref-3">
        <w:r>
          <w:rPr>
            <w:rStyle w:val="Hyperlink"/>
          </w:rPr>
          <w:t xml:space="preserve">[3]</w:t>
        </w:r>
      </w:hyperlink>
      <w:r>
        <w:t xml:space="preserve"> </w:t>
      </w:r>
      <w:hyperlink w:anchor="ref-4">
        <w:r>
          <w:rPr>
            <w:rStyle w:val="Hyperlink"/>
          </w:rPr>
          <w:t xml:space="preserve">[4]</w:t>
        </w:r>
      </w:hyperlink>
      <w:r>
        <w:t xml:space="preserve">. Demand rides in exogenous and swept across the projected cislunar utilization band</w:t>
      </w:r>
      <w:r>
        <w:t xml:space="preserve"> </w:t>
      </w:r>
      <w:hyperlink w:anchor="ref-6">
        <w:r>
          <w:rPr>
            <w:rStyle w:val="Hyperlink"/>
          </w:rPr>
          <w:t xml:space="preserve">[6]</w:t>
        </w:r>
      </w:hyperlink>
      <w:r>
        <w:t xml:space="preserve">, so no endogenous demand response taints the breakeven result, which, as Chapter 3 argued, yields a conservative lower-bound test. And mining-feasibility discipline is laid on reserves, recovery, and ramp</w:t>
      </w:r>
      <w:r>
        <w:t xml:space="preserve"> </w:t>
      </w:r>
      <w:hyperlink w:anchor="ref-2">
        <w:r>
          <w:rPr>
            <w:rStyle w:val="Hyperlink"/>
          </w:rPr>
          <w:t xml:space="preserve">[2]</w:t>
        </w:r>
      </w:hyperlink>
      <w:r>
        <w:t xml:space="preserve">, forbidding the model from assuming full-rate production in year one.</w:t>
      </w:r>
    </w:p>
    <w:bookmarkEnd w:id="96"/>
    <w:bookmarkStart w:id="97" w:name="X7ce0e25beb51b10edffba27beb8fd9634cfe713"/>
    <w:p>
      <w:pPr>
        <w:pStyle w:val="Heading2"/>
        <w:spacing w:line="480" w:lineRule="auto"/>
      </w:pPr>
      <w:r>
        <w:t xml:space="preserve">4.7 Uncertainty propagation and the assumption ledger</w:t>
      </w:r>
    </w:p>
    <w:p>
      <w:pPr>
        <w:pStyle w:val="FirstParagraph"/>
        <w:spacing w:line="480" w:lineRule="auto"/>
      </w:pPr>
      <w:r>
        <w:t xml:space="preserve">Sensitivity is no afterthought bolted onto a point estimate; it is where most of the honest information lives, since the point estimate of M* inherits the uncertainty of every parameter feeding it. Two complementary methods run. A Monte Carlo draws over the joint parameter distribution, carrying uncertainty in plant mass, yield, energy, launch cost, and regolith grade into a distribution of M* rather than a lone number. Beside it, one-at-a-time elasticity calculations on the launch-cost, plant-mass, regolith-grade, and discount-rate terms build an interpretable table of how far the threshold travels when each parameter moves, which is the artifact a program office can actually reason with.</w:t>
      </w:r>
    </w:p>
    <w:p>
      <w:pPr>
        <w:pStyle w:val="BodyText"/>
        <w:spacing w:line="480" w:lineRule="auto"/>
        <w:ind w:firstLine="720"/>
      </w:pPr>
      <w:r>
        <w:t xml:space="preserve">The decision-stage structure timing capacity expansions follows the flexible-design analysis, so the cost model resolves demand uncertainty in stages rather than committing full capacity in year one</w:t>
      </w:r>
      <w:r>
        <w:t xml:space="preserve"> </w:t>
      </w:r>
      <w:hyperlink w:anchor="ref-5">
        <w:r>
          <w:rPr>
            <w:rStyle w:val="Hyperlink"/>
          </w:rPr>
          <w:t xml:space="preserve">[5]</w:t>
        </w:r>
      </w:hyperlink>
      <w:r>
        <w:t xml:space="preserve">. Robustness to architecture gets tested by re-estimating M* under the carbothermal-only and water-electrolysis-only variants reported in the same body of work</w:t>
      </w:r>
      <w:r>
        <w:t xml:space="preserve"> </w:t>
      </w:r>
      <w:hyperlink w:anchor="ref-1">
        <w:r>
          <w:rPr>
            <w:rStyle w:val="Hyperlink"/>
          </w:rPr>
          <w:t xml:space="preserve">[1]</w:t>
        </w:r>
      </w:hyperlink>
      <w:r>
        <w:t xml:space="preserve"> </w:t>
      </w:r>
      <w:hyperlink w:anchor="ref-4">
        <w:r>
          <w:rPr>
            <w:rStyle w:val="Hyperlink"/>
          </w:rPr>
          <w:t xml:space="preserve">[4]</w:t>
        </w:r>
      </w:hyperlink>
      <w:r>
        <w:t xml:space="preserve">.</w:t>
      </w:r>
    </w:p>
    <w:p>
      <w:pPr>
        <w:pStyle w:val="BodyText"/>
        <w:spacing w:line="480" w:lineRule="auto"/>
        <w:ind w:firstLine="720"/>
      </w:pPr>
      <w:r>
        <w:t xml:space="preserve">The controlled situational-awareness study is why a documented assumption ledger and a pre-registered parameter sheet ride alongside the estimate</w:t>
      </w:r>
      <w:r>
        <w:t xml:space="preserve"> </w:t>
      </w:r>
      <w:hyperlink w:anchor="ref-7">
        <w:r>
          <w:rPr>
            <w:rStyle w:val="Hyperlink"/>
          </w:rPr>
          <w:t xml:space="preserve">[7]</w:t>
        </w:r>
      </w:hyperlink>
      <w:r>
        <w:t xml:space="preserve">. Because decision-makers latch onto partial information, central parameter values are locked before the Monte Carlo runs, so the estimator cannot be quietly nudged toward a favored conclusion after the sensitivity surface comes into view. The ledger records each central value and its source, and the seeds are published, so a skeptical reader can regenerate the threshold from named source values without proprietary data.</w:t>
      </w:r>
    </w:p>
    <w:bookmarkEnd w:id="97"/>
    <w:bookmarkStart w:id="98" w:name="Xb98c93350e3a1effa0f212f5cb74873189597a0"/>
    <w:p>
      <w:pPr>
        <w:pStyle w:val="Heading2"/>
        <w:spacing w:line="480" w:lineRule="auto"/>
      </w:pPr>
      <w:r>
        <w:t xml:space="preserve">4.8 Functional form and why linear and log-log are both appropriate</w:t>
      </w:r>
    </w:p>
    <w:p>
      <w:pPr>
        <w:pStyle w:val="FirstParagraph"/>
        <w:spacing w:line="480" w:lineRule="auto"/>
      </w:pPr>
      <w:r>
        <w:t xml:space="preserve">A fair objection is that fitting both a linear model and a log-log model to the same variables courts double-counting or specification-shopping. The two forms answer different questions and suit different uses, so running both is triangulation and not repetition. The linear model in the first paper puts mass-energy efficiency on the left and asks which design dimensions explain it in additive units; it is the natural form when the aim is to weigh the conditional contributions of payback, yield, and architecture on one scale. The log-log model in the second paper puts mass payback on the left and asks how it scales proportionally with efficiency; it is the natural form when the comparison spans orders of magnitude and elasticity is the quantity the theory forecasts.</w:t>
      </w:r>
    </w:p>
    <w:p>
      <w:pPr>
        <w:pStyle w:val="BodyText"/>
        <w:spacing w:line="480" w:lineRule="auto"/>
        <w:ind w:firstLine="720"/>
      </w:pPr>
      <w:r>
        <w:t xml:space="preserve">The two forms also police each other’s assumptions. Were the linear model’s payback dominance an artifact of a few high-leverage rows, the log-log model, which compresses the scale and downweights extreme values, would not reproduce a tight, precisely estimated relationship. That both forms find strong, significant coupling between payback and efficiency is evidence the relationship is no artifact of a single functional choice. Two forms is a deliberate robustness move, not an accident of owning two papers.</w:t>
      </w:r>
    </w:p>
    <w:bookmarkEnd w:id="98"/>
    <w:bookmarkStart w:id="99" w:name="diagnostic-posture"/>
    <w:p>
      <w:pPr>
        <w:pStyle w:val="Heading2"/>
        <w:spacing w:line="480" w:lineRule="auto"/>
      </w:pPr>
      <w:r>
        <w:t xml:space="preserve">4.9 Diagnostic posture</w:t>
      </w:r>
    </w:p>
    <w:p>
      <w:pPr>
        <w:pStyle w:val="FirstParagraph"/>
        <w:spacing w:line="480" w:lineRule="auto"/>
      </w:pPr>
      <w:r>
        <w:t xml:space="preserve">Because the sample is a design enumeration, the standard large-sample diagnostics have to be read carefully, and I state the stance rather than pretend the usual checklist ports over untouched. Fit statistics, R2 and the F test, are reported and read as descriptions of how much table variation the specification captures, not as evidence of out-of-sample prediction, which 36 design cases cannot establish. Robust standard errors handle non-constant residual variance, as Section 4.3 laid out, but they do not certify that the residuals are independent, and I claim no such thing; the rows share a common modeling origin, and that shared origin is owned as a limit on inference rather than assumed away.</w:t>
      </w:r>
    </w:p>
    <w:p>
      <w:pPr>
        <w:pStyle w:val="BodyText"/>
        <w:spacing w:line="480" w:lineRule="auto"/>
        <w:ind w:firstLine="720"/>
      </w:pPr>
      <w:r>
        <w:t xml:space="preserve">The log-log model’s diagnostic advantage is that it demands strictly positive values, and every payback and efficiency value in the table is positive, so no observation drops and the transformation introduces no selection. The linear model’s diagnostic advantage is interpretability: its coefficients sit in the table’s own units, so a reader can check a predicted efficiency against the reported value for any strategy directly. Neither model is asked to do work it cannot support, and the breakeven model that swallows them treats their outputs as screening relationships fenced by the feasibility discipline, not as validated forecasts.</w:t>
      </w:r>
    </w:p>
    <w:bookmarkEnd w:id="99"/>
    <w:bookmarkStart w:id="100" w:name="Xf84d4ea053503a7831c4af424117038e34a7836"/>
    <w:p>
      <w:pPr>
        <w:pStyle w:val="Heading2"/>
        <w:spacing w:line="480" w:lineRule="auto"/>
      </w:pPr>
      <w:r>
        <w:t xml:space="preserve">4.10 The discount rate and the timing of output</w:t>
      </w:r>
    </w:p>
    <w:p>
      <w:pPr>
        <w:pStyle w:val="FirstParagraph"/>
        <w:spacing w:line="480" w:lineRule="auto"/>
      </w:pPr>
      <w:r>
        <w:t xml:space="preserve">One parameter earns separate methodological attention because it governs the whole breakeven calculation without appearing in the strategy table at all: the discount rate. Breakeven turns on discounted cumulative output, and discounting punishes output that arrives late. A plant that makes the same lifetime total but makes it sooner carries a lower discounted cost per kilogram and so a smaller M*. The timing of output, not just its total, is a first-order driver of the threshold.</w:t>
      </w:r>
    </w:p>
    <w:p>
      <w:pPr>
        <w:pStyle w:val="BodyText"/>
        <w:spacing w:line="480" w:lineRule="auto"/>
        <w:ind w:firstLine="720"/>
      </w:pPr>
      <w:r>
        <w:t xml:space="preserve">That is why ramp discipline, borrowed from mining feasibility, is no cosmetic touch</w:t>
      </w:r>
      <w:r>
        <w:t xml:space="preserve"> </w:t>
      </w:r>
      <w:hyperlink w:anchor="ref-2">
        <w:r>
          <w:rPr>
            <w:rStyle w:val="Hyperlink"/>
          </w:rPr>
          <w:t xml:space="preserve">[2]</w:t>
        </w:r>
      </w:hyperlink>
      <w:r>
        <w:t xml:space="preserve">. Assuming full-rate production at once front-loads output into the periods discounting punishes least, which understates M</w:t>
      </w:r>
      <w:r>
        <w:rPr>
          <w:i/>
          <w:iCs/>
        </w:rPr>
        <w:t xml:space="preserve">. A realistic ramp pushes output into later, more heavily discounted periods, which lifts M</w:t>
      </w:r>
      <w:r>
        <w:t xml:space="preserve"> </w:t>
      </w:r>
      <w:r>
        <w:t xml:space="preserve">and makes the breakeven test harder to clear. The methodology carries the discount rate as a first-class term in the one-at-a-time elasticity table exactly because the threshold is so sensitive to it, and because a reader deserves to see how far M* moves when the discount rate shifts across a plausible range. Pinning the discount rate quietly at a favorable value would be among the easiest ways to flatter a breakeven estimate, and the pre-registered parameter sheet shuts that door by committing the central rate before the sensitivity surface is opened.</w:t>
      </w:r>
    </w:p>
    <w:bookmarkEnd w:id="100"/>
    <w:bookmarkStart w:id="101" w:name="X79e77b638d376aa093c29ff82b4759165cc8666"/>
    <w:p>
      <w:pPr>
        <w:pStyle w:val="Heading2"/>
        <w:spacing w:line="480" w:lineRule="auto"/>
      </w:pPr>
      <w:r>
        <w:t xml:space="preserve">4.11 The estimators and the cost model as a chain of custody</w:t>
      </w:r>
    </w:p>
    <w:p>
      <w:pPr>
        <w:pStyle w:val="FirstParagraph"/>
        <w:spacing w:line="480" w:lineRule="auto"/>
      </w:pPr>
      <w:r>
        <w:t xml:space="preserve">It is worth spelling out how the three components pass work to one another, because the credibility of the whole rides on the joints. The two plant-side estimators take the published strategy table as input and yield two facts: payback rules energy-adjusted performance, and payback climbs elastically with efficiency. Those facts are not the breakeven mass; they are the structural relationships a breakeven mass has to honor. The cost model takes those relationships, along with externally sourced plant mass, power, launch cost, ramp, and demand parameters, and yields M* and its sensitivity surface.</w:t>
      </w:r>
    </w:p>
    <w:p>
      <w:pPr>
        <w:pStyle w:val="BodyText"/>
        <w:spacing w:line="480" w:lineRule="auto"/>
        <w:ind w:firstLine="720"/>
      </w:pPr>
      <w:r>
        <w:t xml:space="preserve">Every handoff is auditable. The estimator outputs check against the published table row by row, since the estimators use the table’s own reported quantities with no stand-ins. The cost model’s parameters check against the named external sources and the pre-registered sheet. And the final threshold regenerates from the published code and seeds. This chain of custody is what lets a skeptical reader put a finger on exactly where they part ways, at the estimator, at a cost parameter, or at the demand horizon, rather than facing one opaque number. Building the methodology as an inspectable chain rather than a black box is the direct methodological answer to the situational-awareness concern that drives the whole transparency posture</w:t>
      </w:r>
      <w:r>
        <w:t xml:space="preserve"> </w:t>
      </w:r>
      <w:hyperlink w:anchor="ref-7">
        <w:r>
          <w:rPr>
            <w:rStyle w:val="Hyperlink"/>
          </w:rPr>
          <w:t xml:space="preserve">[7]</w:t>
        </w:r>
      </w:hyperlink>
      <w:r>
        <w:t xml:space="preserve">.</w:t>
      </w:r>
    </w:p>
    <w:bookmarkEnd w:id="101"/>
    <w:bookmarkStart w:id="102" w:name="Xcec2a9343d702f288c10de73ee0e603bb1c47bf"/>
    <w:p>
      <w:pPr>
        <w:pStyle w:val="Heading2"/>
        <w:spacing w:line="480" w:lineRule="auto"/>
      </w:pPr>
      <w:r>
        <w:t xml:space="preserve">4.12 Why this methodology answers the question</w:t>
      </w:r>
    </w:p>
    <w:p>
      <w:pPr>
        <w:pStyle w:val="FirstParagraph"/>
        <w:spacing w:line="480" w:lineRule="auto"/>
      </w:pPr>
      <w:r>
        <w:t xml:space="preserve">The methodology fits the question in a way one richer-looking estimator would not. The two plant-side models are simple on purpose, because their job is to test whether the coupling mechanism’s fingerprints show up in the source, and a transparent ordinary least squares specification with robust errors keeps that test legible and reproducible. The cost model is where complexity properly belongs, because breakeven is a life-cycle quantity that surfaces only once emplacement, ramp, operations, logistics, and discounting sit on one ledger. Splitting the work this way keeps each component auditable: the reader checks the plant-side associations against the published table row by row, and checks the breakeven threshold against the pre-registered parameter sheet and published seeds. Chapter 5 documents the data and measurement these estimators consume, and Chapter 6 reports the estimator outputs exactly as the configurations produce them.</w:t>
      </w:r>
    </w:p>
    <w:bookmarkEnd w:id="102"/>
    <w:bookmarkEnd w:id="103"/>
    <w:bookmarkStart w:id="116" w:name="chapter-5.-data-and-measurement"/>
    <w:p>
      <w:pPr>
        <w:pStyle w:val="Heading1"/>
        <w:spacing w:line="480" w:lineRule="auto"/>
      </w:pPr>
      <w:r>
        <w:t xml:space="preserve">Chapter 5. Data and Measurement</w:t>
      </w:r>
    </w:p>
    <w:p>
      <w:pPr>
        <w:pStyle w:val="FirstParagraph"/>
        <w:spacing w:line="480" w:lineRule="auto"/>
      </w:pPr>
      <w:r>
        <w:t xml:space="preserve">Provenance decides the case. A breakeven estimate stands or falls on where its inputs came from, and an estimate whose inputs cannot be traced to a named, retrievable source is an estimate a careful reader has every reason to set aside before its arithmetic is even examined. This chapter documents the dataset to the last detail: what each observation is, where it originates, how each variable is defined and built, how many observations there are, and what the data leave out on purpose. The bar I hold to is that a skeptical reader should be able to rebuild the analysis dataset from named public sources and check the estimate one row at a time, with no proprietary file anywhere in reach.</w:t>
      </w:r>
    </w:p>
    <w:bookmarkStart w:id="104" w:name="Xda872e643e044b4adb83721d91703133f2228b7"/>
    <w:p>
      <w:pPr>
        <w:pStyle w:val="Heading2"/>
        <w:spacing w:line="480" w:lineRule="auto"/>
      </w:pPr>
      <w:r>
        <w:t xml:space="preserve">5.1 The primary dataset and its unit of observation</w:t>
      </w:r>
    </w:p>
    <w:p>
      <w:pPr>
        <w:pStyle w:val="FirstParagraph"/>
        <w:spacing w:line="480" w:lineRule="auto"/>
      </w:pPr>
      <w:r>
        <w:t xml:space="preserve">The analysis dataset holds 36 observations. The count has no slack in it. Each observation pairs a lunar oxygen facility strategy with an uncertainty point. Every row runs back to a single published source, the multi-criteria table of lunar oxygen facility strategies that Ikeya and coauthors report in their flexible-design and planning study</w:t>
      </w:r>
      <w:r>
        <w:t xml:space="preserve"> </w:t>
      </w:r>
      <w:hyperlink w:anchor="ref-5">
        <w:r>
          <w:rPr>
            <w:rStyle w:val="Hyperlink"/>
          </w:rPr>
          <w:t xml:space="preserve">[5]</w:t>
        </w:r>
      </w:hyperlink>
      <w:r>
        <w:t xml:space="preserve">. That origin survives literally, in a final source column carried on every row, so each value is auditable at the level of the individual observation and not merely the dataset overall.</w:t>
      </w:r>
    </w:p>
    <w:p>
      <w:pPr>
        <w:pStyle w:val="BodyText"/>
        <w:spacing w:line="480" w:lineRule="auto"/>
        <w:ind w:firstLine="720"/>
      </w:pPr>
      <w:r>
        <w:t xml:space="preserve">Twelve strategies fill the table. Two are single-pathway options, carbothermal reduction, labeled CR, and water extraction, labeled WE. Five are parallel hybrid strategies, labeled P.0 through P.4, running carbothermal and water extraction production in parallel at varying ratios. Five are series hybrid strategies, labeled S.0 through S.4, chaining the pathways so one’s output feeds the other. Each of the twelve appears at three uncertainty points: an expected value at the 50th percentile, a low value at the 5 percent cumulative point, and a high value at the 95 percent cumulative point. Twelve strategies across three uncertainty points make the 36 observations exactly. The count is not rounded and no row is dropped; the sample is the source table’s complete reported strategy space.</w:t>
      </w:r>
    </w:p>
    <w:bookmarkEnd w:id="104"/>
    <w:bookmarkStart w:id="105" w:name="the-dependent-and-explanatory-variables"/>
    <w:p>
      <w:pPr>
        <w:pStyle w:val="Heading2"/>
        <w:spacing w:line="480" w:lineRule="auto"/>
      </w:pPr>
      <w:r>
        <w:t xml:space="preserve">5.2 The dependent and explanatory variables</w:t>
      </w:r>
    </w:p>
    <w:p>
      <w:pPr>
        <w:pStyle w:val="FirstParagraph"/>
        <w:spacing w:line="480" w:lineRule="auto"/>
      </w:pPr>
      <w:r>
        <w:t xml:space="preserve">Three performance measures accompany every strategy, and the two empirical papers assign them to different jobs.</w:t>
      </w:r>
    </w:p>
    <w:p>
      <w:pPr>
        <w:pStyle w:val="BodyText"/>
        <w:spacing w:line="480" w:lineRule="auto"/>
        <w:ind w:firstLine="720"/>
      </w:pPr>
      <w:r>
        <w:t xml:space="preserve">Mass-energy efficiency is oxygen produced per unit of total energy, carried in the source table in units of 10^-5 tonnes per kWh. It serves as the dependent variable in the first paper and the explanatory variable in the second. It records how much useful oxygen a strategy returns for each unit of energy it spends, the quantity binding the plant’s output to its power provision.</w:t>
      </w:r>
    </w:p>
    <w:p>
      <w:pPr>
        <w:pStyle w:val="BodyText"/>
        <w:spacing w:line="480" w:lineRule="auto"/>
        <w:ind w:firstLine="720"/>
      </w:pPr>
      <w:r>
        <w:t xml:space="preserve">Mass payback is oxygen produced per unit of landed system mass. It is the central explanatory variable in the first paper and the dependent variable in the second. It sits nearest the economics of breakeven, being what the plant returns over the mass delivered to make it, and it comes out very nearly the reciprocal of the quantity fixing the breakeven threshold.</w:t>
      </w:r>
    </w:p>
    <w:p>
      <w:pPr>
        <w:pStyle w:val="BodyText"/>
        <w:spacing w:line="480" w:lineRule="auto"/>
        <w:ind w:firstLine="720"/>
      </w:pPr>
      <w:r>
        <w:t xml:space="preserve">Oxygen yield is oxygen extracted as a percent of processed regolith mass. It enters the first paper as a competing explanatory variable, put there so the conditional contribution of mass payback can be read against it. Yield is the chemistry metric intuition trusts, and carrying it lets the analysis test whether the driver that matters economically is chemistry or delivered-system productivity.</w:t>
      </w:r>
    </w:p>
    <w:bookmarkEnd w:id="105"/>
    <w:bookmarkStart w:id="106" w:name="X946c5ede450f301acc0192bbd81cd778e0fc6ff"/>
    <w:p>
      <w:pPr>
        <w:pStyle w:val="Heading2"/>
        <w:spacing w:line="480" w:lineRule="auto"/>
      </w:pPr>
      <w:r>
        <w:t xml:space="preserve">5.3 Construction of the architecture indicators</w:t>
      </w:r>
    </w:p>
    <w:p>
      <w:pPr>
        <w:pStyle w:val="FirstParagraph"/>
        <w:spacing w:line="480" w:lineRule="auto"/>
      </w:pPr>
      <w:r>
        <w:t xml:space="preserve">Two indicator variables encode architecture class. The parallel hybrid indicator takes the value one for the five strategies labeled P.0 through P.4 and zero elsewhere. The series hybrid indicator takes the value one for the five strategies labeled S.0 through S.4 and zero elsewhere. The two single-pathway strategies, carbothermal reduction and water extraction, carry zero on both indicators and so form the omitted reference category in the first paper’s specification.</w:t>
      </w:r>
    </w:p>
    <w:p>
      <w:pPr>
        <w:pStyle w:val="BodyText"/>
        <w:spacing w:line="480" w:lineRule="auto"/>
        <w:ind w:firstLine="720"/>
      </w:pPr>
      <w:r>
        <w:t xml:space="preserve">This coding is mechanical and reproduces straight from the strategy labels in the source table, which is why it audits without any judgment call. A reader who doubts an assignment checks it against the P and S labels in the published table. The indicators are no latent constructs awaiting interpretation; they transcribe the source’s own strategy taxonomy into the zero-one form the estimator consumes.</w:t>
      </w:r>
    </w:p>
    <w:bookmarkEnd w:id="106"/>
    <w:bookmarkStart w:id="107" w:name="the-texture-of-the-strategy-space"/>
    <w:p>
      <w:pPr>
        <w:pStyle w:val="Heading2"/>
        <w:spacing w:line="480" w:lineRule="auto"/>
      </w:pPr>
      <w:r>
        <w:t xml:space="preserve">5.4 The texture of the strategy space</w:t>
      </w:r>
    </w:p>
    <w:p>
      <w:pPr>
        <w:pStyle w:val="FirstParagraph"/>
        <w:spacing w:line="480" w:lineRule="auto"/>
      </w:pPr>
      <w:r>
        <w:t xml:space="preserve">The spread across the twelve strategies is what earns the table its analytical use, and the texture is worth describing, because it is far from uniform. Carbothermal reduction shows a comparatively high oxygen yield, near 11.7 percent at its expected point, alongside modest mass payback around 6.5 and mass-energy efficiency near 2.8. Water extraction turns that inside out, posting low expected yield around 2.5 percent yet high mass payback near 16.3 and efficiency near 7.3. The single-pathway options thus land at opposite corners of the yield-payback trade, which is the very contrast the theory needs to pull yield and payback apart as economic drivers.</w:t>
      </w:r>
    </w:p>
    <w:p>
      <w:pPr>
        <w:pStyle w:val="BodyText"/>
        <w:spacing w:line="480" w:lineRule="auto"/>
        <w:ind w:firstLine="720"/>
      </w:pPr>
      <w:r>
        <w:t xml:space="preserve">The hybrids populate the interior and the edges. Parallel strategies run from P.0, hugging a carbothermal-leaning profile at expected payback near 7.0, out to P.3 and P.4, reaching expected mass payback near 14.6 and 15.0 with matching high efficiency. Series strategies scatter widely across their uncertainty points: S.0 sits low at expected payback near 3.3, while S.4 climbs to expected payback near 13.1. The uncertainty points stretch the picture further, several strategies showing 95 percent cumulative payback above 16 and 5 percent values near 3. This scatter is not noise to be planed off. It is signal. It is the reason the elasticity and the conditional coefficients can be estimated at all, and it rides faithfully into both models.</w:t>
      </w:r>
    </w:p>
    <w:bookmarkEnd w:id="107"/>
    <w:bookmarkStart w:id="108" w:name="ancillary-sources-feeding-the-cost-model"/>
    <w:p>
      <w:pPr>
        <w:pStyle w:val="Heading2"/>
        <w:spacing w:line="480" w:lineRule="auto"/>
      </w:pPr>
      <w:r>
        <w:t xml:space="preserve">5.5 Ancillary sources feeding the cost model</w:t>
      </w:r>
    </w:p>
    <w:p>
      <w:pPr>
        <w:pStyle w:val="FirstParagraph"/>
        <w:spacing w:line="480" w:lineRule="auto"/>
      </w:pPr>
      <w:r>
        <w:t xml:space="preserve">The two empirical papers draw wholly on the strategy table, but the discounted life-cycle cost model turning their outputs into M* draws on a wider, named set of sources. Plant mass, power, and yield distributions for hybrid and single-process architectures come from the hybrid-plant comparative analysis</w:t>
      </w:r>
      <w:r>
        <w:t xml:space="preserve"> </w:t>
      </w:r>
      <w:hyperlink w:anchor="ref-1">
        <w:r>
          <w:rPr>
            <w:rStyle w:val="Hyperlink"/>
          </w:rPr>
          <w:t xml:space="preserve">[1]</w:t>
        </w:r>
      </w:hyperlink>
      <w:r>
        <w:t xml:space="preserve">. Oxygen-extraction thermodynamic and energy envelopes, fencing the power and thermal-management assumptions, come from the extraction review of solar thermal and laser vacuum pyrolysis pathways</w:t>
      </w:r>
      <w:r>
        <w:t xml:space="preserve"> </w:t>
      </w:r>
      <w:hyperlink w:anchor="ref-4">
        <w:r>
          <w:rPr>
            <w:rStyle w:val="Hyperlink"/>
          </w:rPr>
          <w:t xml:space="preserve">[4]</w:t>
        </w:r>
      </w:hyperlink>
      <w:r>
        <w:t xml:space="preserve">. Process-design context for ancillary surface processing, bearing on how much supporting hardware must be launched versus built locally, comes from the in-situ photobioreactor manufacturing study</w:t>
      </w:r>
      <w:r>
        <w:t xml:space="preserve"> </w:t>
      </w:r>
      <w:hyperlink w:anchor="ref-3">
        <w:r>
          <w:rPr>
            <w:rStyle w:val="Hyperlink"/>
          </w:rPr>
          <w:t xml:space="preserve">[3]</w:t>
        </w:r>
      </w:hyperlink>
      <w:r>
        <w:t xml:space="preserve">.</w:t>
      </w:r>
    </w:p>
    <w:p>
      <w:pPr>
        <w:pStyle w:val="BodyText"/>
        <w:spacing w:line="480" w:lineRule="auto"/>
        <w:ind w:firstLine="720"/>
      </w:pPr>
      <w:r>
        <w:t xml:space="preserve">Reserve, recovery, and ramp discipline comes from the mining-feasibility argument</w:t>
      </w:r>
      <w:r>
        <w:t xml:space="preserve"> </w:t>
      </w:r>
      <w:hyperlink w:anchor="ref-2">
        <w:r>
          <w:rPr>
            <w:rStyle w:val="Hyperlink"/>
          </w:rPr>
          <w:t xml:space="preserve">[2]</w:t>
        </w:r>
      </w:hyperlink>
      <w:r>
        <w:t xml:space="preserve">, which lends the terrestrial capital-project logic that stops the model from assuming full-rate production in year one. The decision-stage structure timing capacity expansions comes from the flexible-design study itself</w:t>
      </w:r>
      <w:r>
        <w:t xml:space="preserve"> </w:t>
      </w:r>
      <w:hyperlink w:anchor="ref-5">
        <w:r>
          <w:rPr>
            <w:rStyle w:val="Hyperlink"/>
          </w:rPr>
          <w:t xml:space="preserve">[5]</w:t>
        </w:r>
      </w:hyperlink>
      <w:r>
        <w:t xml:space="preserve">. Cumulative cislunar propellant and oxygen demand, the exogenous horizon M* is judged against, comes from the space-economy forecast</w:t>
      </w:r>
      <w:r>
        <w:t xml:space="preserve"> </w:t>
      </w:r>
      <w:hyperlink w:anchor="ref-6">
        <w:r>
          <w:rPr>
            <w:rStyle w:val="Hyperlink"/>
          </w:rPr>
          <w:t xml:space="preserve">[6]</w:t>
        </w:r>
      </w:hyperlink>
      <w:r>
        <w:t xml:space="preserve">. And the assumption-ledger discipline, pre-registering central values ahead of sensitivity analysis, is motivated by the controlled situational-awareness study</w:t>
      </w:r>
      <w:r>
        <w:t xml:space="preserve"> </w:t>
      </w:r>
      <w:hyperlink w:anchor="ref-7">
        <w:r>
          <w:rPr>
            <w:rStyle w:val="Hyperlink"/>
          </w:rPr>
          <w:t xml:space="preserve">[7]</w:t>
        </w:r>
      </w:hyperlink>
      <w:r>
        <w:t xml:space="preserve">. Each source is named and retrievable, and each hands over a specific, identifiable slice of the parameter space rather than a vague nod at the literature.</w:t>
      </w:r>
    </w:p>
    <w:bookmarkEnd w:id="108"/>
    <w:bookmarkStart w:id="109" w:name="Xeb3fa076fd9c5ed6bd6bdde1bb2e81f41770d74"/>
    <w:p>
      <w:pPr>
        <w:pStyle w:val="Heading2"/>
        <w:spacing w:line="480" w:lineRule="auto"/>
      </w:pPr>
      <w:r>
        <w:t xml:space="preserve">5.6 Measurement integrity and what the data are not</w:t>
      </w:r>
    </w:p>
    <w:p>
      <w:pPr>
        <w:pStyle w:val="FirstParagraph"/>
        <w:spacing w:line="480" w:lineRule="auto"/>
      </w:pPr>
      <w:r>
        <w:t xml:space="preserve">Several properties keep the dataset clear of common failure modes, and naming them outright is part of the audit.</w:t>
      </w:r>
    </w:p>
    <w:p>
      <w:pPr>
        <w:pStyle w:val="BodyText"/>
        <w:spacing w:line="480" w:lineRule="auto"/>
        <w:ind w:firstLine="720"/>
      </w:pPr>
      <w:r>
        <w:t xml:space="preserve">No synthetic or illustrative rows sneak in. All 36 observations are real values from the published table, and the source note in the final column marks each row’s origin. No placeholder data pads the sample size, and no interpolation invents intermediate strategies the source never reported. The learning-curve specification in the second paper drops no rows, since every mass payback and mass-energy efficiency value in the table is strictly positive and so takes a logarithm without exclusion.</w:t>
      </w:r>
    </w:p>
    <w:p>
      <w:pPr>
        <w:pStyle w:val="BodyText"/>
        <w:spacing w:line="480" w:lineRule="auto"/>
        <w:ind w:firstLine="720"/>
      </w:pPr>
      <w:r>
        <w:t xml:space="preserve">What the data are not matters just as much. The observations are structured model outputs, design options worked under stated engineering assumptions about availability, water content, production period, power margin, mass margin, and environmental conditions. They are not field readings. No operating lunar plant exists to take them from. The MOXIE flight experiment on Mars is the nearest operating analog the field has, and even at its slight scale it exposed the gap between modeled expectation and delivered behavior</w:t>
      </w:r>
      <w:r>
        <w:t xml:space="preserve"> </w:t>
      </w:r>
      <w:hyperlink w:anchor="ref-28">
        <w:r>
          <w:rPr>
            <w:rStyle w:val="Hyperlink"/>
          </w:rPr>
          <w:t xml:space="preserve">[28]</w:t>
        </w:r>
      </w:hyperlink>
      <w:r>
        <w:t xml:space="preserve">. The dataset here sits firmly on the modeled side of that gap. Treating it as a disciplined screening input rather than a settled cost measurement is no hedge; it is the right characterization, and Chapter 7 works out the consequences.</w:t>
      </w:r>
    </w:p>
    <w:p>
      <w:pPr>
        <w:pStyle w:val="BodyText"/>
        <w:spacing w:line="480" w:lineRule="auto"/>
        <w:ind w:firstLine="720"/>
      </w:pPr>
      <w:r>
        <w:t xml:space="preserve">The dataset also leaves out, by design, the variables a full landed-cost business case would demand: launch price, surface transport, maintenance, spares, crew interaction, autonomy burden, and political risk. Those enter the cost model as parameters from the ancillary sources, not as columns in the strategy table, because the strategy table’s job is to establish the physical payback relationships inside the published design space. Isolating that relationship, rather than muddying it with cost variables the source never measured, is what lets the two estimators speak cleanly to the mechanism.</w:t>
      </w:r>
    </w:p>
    <w:bookmarkEnd w:id="109"/>
    <w:bookmarkStart w:id="110" w:name="X3a6e77fcaa4eccd62687854e0f210831d0883a5"/>
    <w:p>
      <w:pPr>
        <w:pStyle w:val="Heading2"/>
        <w:spacing w:line="480" w:lineRule="auto"/>
      </w:pPr>
      <w:r>
        <w:t xml:space="preserve">5.7 The demand horizon as a measured quantity</w:t>
      </w:r>
    </w:p>
    <w:p>
      <w:pPr>
        <w:pStyle w:val="FirstParagraph"/>
        <w:spacing w:line="480" w:lineRule="auto"/>
      </w:pPr>
      <w:r>
        <w:t xml:space="preserve">The exogenous demand horizon earns its own treatment, because M* means nothing without something to judge it against, and that something is a dataset in its own right. Cumulative cislunar propellant and oxygen demand projected through the program horizon comes from the space-economy forecast</w:t>
      </w:r>
      <w:r>
        <w:t xml:space="preserve"> </w:t>
      </w:r>
      <w:hyperlink w:anchor="ref-6">
        <w:r>
          <w:rPr>
            <w:rStyle w:val="Hyperlink"/>
          </w:rPr>
          <w:t xml:space="preserve">[6]</w:t>
        </w:r>
      </w:hyperlink>
      <w:r>
        <w:t xml:space="preserve">. This is no single point but a band, since forecasting lunar demand is genuinely uncertain and a responsible model sweeps the horizon across a central projection and its plausible range rather than betting on one number.</w:t>
      </w:r>
    </w:p>
    <w:p>
      <w:pPr>
        <w:pStyle w:val="BodyText"/>
        <w:spacing w:line="480" w:lineRule="auto"/>
        <w:ind w:firstLine="720"/>
      </w:pPr>
      <w:r>
        <w:t xml:space="preserve">The measurement discipline is to keep the demand band strictly exogenous to the plant. The forecast reads as a supply-independent projection of how much propellant and oxygen cislunar activity will want, driven by surface power buildout, transportation cadence, depot concepts, and mission architecture, none of which the plant’s own output is allowed to move inside the breakeven test. This is the operational face of the exogeneity choice the theory defended: measure demand independently, hold it fixed, and the dataset supports a lower-bound test rather than a market equilibrium. The scale-of-operations literature corroborates that demand assumptions can govern plant sizing, which is exactly why the demand band is measured from a named forecast rather than assumed</w:t>
      </w:r>
      <w:r>
        <w:t xml:space="preserve"> </w:t>
      </w:r>
      <w:hyperlink w:anchor="ref-13">
        <w:r>
          <w:rPr>
            <w:rStyle w:val="Hyperlink"/>
          </w:rPr>
          <w:t xml:space="preserve">[13]</w:t>
        </w:r>
      </w:hyperlink>
      <w:r>
        <w:t xml:space="preserve">.</w:t>
      </w:r>
    </w:p>
    <w:bookmarkEnd w:id="110"/>
    <w:bookmarkStart w:id="111" w:name="X2094586e00918c61c4034d7c2dbe43c197742e9"/>
    <w:p>
      <w:pPr>
        <w:pStyle w:val="Heading2"/>
        <w:spacing w:line="480" w:lineRule="auto"/>
      </w:pPr>
      <w:r>
        <w:t xml:space="preserve">5.8 A data-quality walkthrough of the strategy table</w:t>
      </w:r>
    </w:p>
    <w:p>
      <w:pPr>
        <w:pStyle w:val="FirstParagraph"/>
        <w:spacing w:line="480" w:lineRule="auto"/>
      </w:pPr>
      <w:r>
        <w:t xml:space="preserve">Walking the data-quality properties explicitly is worth the space, because the strength of every downstream claim rests on them. Completeness: all 36 cells of the twelve-strategy by three-uncertainty-point grid are filled, with no missing values needing imputation. Consistency: the three performance measures carry fixed units across every row, mass-energy efficiency in 10^-5 tonnes per kWh, mass payback as a dimensionless output-to-system-mass ratio, and oxygen yield as a percent, so no unit reconciliation precedes estimation. Traceability: the final source column marks every row’s origin, so a reader can find each value in the published table</w:t>
      </w:r>
      <w:r>
        <w:t xml:space="preserve"> </w:t>
      </w:r>
      <w:hyperlink w:anchor="ref-5">
        <w:r>
          <w:rPr>
            <w:rStyle w:val="Hyperlink"/>
          </w:rPr>
          <w:t xml:space="preserve">[5]</w:t>
        </w:r>
      </w:hyperlink>
      <w:r>
        <w:t xml:space="preserve">.</w:t>
      </w:r>
    </w:p>
    <w:p>
      <w:pPr>
        <w:pStyle w:val="BodyText"/>
        <w:spacing w:line="480" w:lineRule="auto"/>
        <w:ind w:firstLine="720"/>
      </w:pPr>
      <w:r>
        <w:t xml:space="preserve">Range plausibility is checkable too. The bounds behave. Oxygen yield runs roughly 1.8 to 14.1 percent across the uncertainty points, which brackets the reported behavior of both low-yield water extraction and higher-yield carbothermal and hybrid strategies. Mass payback runs roughly 3.2 to 18.1, and mass-energy efficiency runs roughly 2.7 to 8.8. None of these ranges holds a physically impossible value, a negative payback, a yield above one hundred percent, or a zero energy denominator, which is the elementary screen a modeled table clears before it earns trust. The absence of zeros in payback and efficiency is what lets the log-log estimator run on the complete sample without dropping rows.</w:t>
      </w:r>
    </w:p>
    <w:bookmarkEnd w:id="111"/>
    <w:bookmarkStart w:id="112" w:name="cross-source-reconciliation"/>
    <w:p>
      <w:pPr>
        <w:pStyle w:val="Heading2"/>
        <w:spacing w:line="480" w:lineRule="auto"/>
      </w:pPr>
      <w:r>
        <w:t xml:space="preserve">5.9 Cross-source reconciliation</w:t>
      </w:r>
    </w:p>
    <w:p>
      <w:pPr>
        <w:pStyle w:val="FirstParagraph"/>
        <w:spacing w:line="480" w:lineRule="auto"/>
      </w:pPr>
      <w:r>
        <w:t xml:space="preserve">The strategy table and the cost-model sources are not sealed islands, and reconciling them is part of the measurement work. The hybrid-plant analysis and the flexible-design study share authorship and methodology, so the plant mass and power figures the cost model pulls from the former sit broadly commensurate with the strategy outcomes the estimators pull from the latter</w:t>
      </w:r>
      <w:r>
        <w:t xml:space="preserve"> </w:t>
      </w:r>
      <w:hyperlink w:anchor="ref-1">
        <w:r>
          <w:rPr>
            <w:rStyle w:val="Hyperlink"/>
          </w:rPr>
          <w:t xml:space="preserve">[1]</w:t>
        </w:r>
      </w:hyperlink>
      <w:r>
        <w:t xml:space="preserve"> </w:t>
      </w:r>
      <w:hyperlink w:anchor="ref-5">
        <w:r>
          <w:rPr>
            <w:rStyle w:val="Hyperlink"/>
          </w:rPr>
          <w:t xml:space="preserve">[5]</w:t>
        </w:r>
      </w:hyperlink>
      <w:r>
        <w:t xml:space="preserve">. That commensurability is an asset for internal consistency and a liability for independence, and the dataset documentation flags the dependence openly rather than burying it: one research lineage supplies most of the parameter space, which Chapter 7 treats as the primary threat to validity.</w:t>
      </w:r>
    </w:p>
    <w:p>
      <w:pPr>
        <w:pStyle w:val="BodyText"/>
        <w:spacing w:line="480" w:lineRule="auto"/>
        <w:ind w:firstLine="720"/>
      </w:pPr>
      <w:r>
        <w:t xml:space="preserve">Where independent grounding exists, it gets used. The materials-characterization studies supply regolith-behavior and process-product values that do not trace to the primary lineage, giving a partial external check on feedstock and extraction assumptions</w:t>
      </w:r>
      <w:r>
        <w:t xml:space="preserve"> </w:t>
      </w:r>
      <w:hyperlink w:anchor="ref-22">
        <w:r>
          <w:rPr>
            <w:rStyle w:val="Hyperlink"/>
          </w:rPr>
          <w:t xml:space="preserve">[22]</w:t>
        </w:r>
      </w:hyperlink>
      <w:r>
        <w:t xml:space="preserve"> </w:t>
      </w:r>
      <w:hyperlink w:anchor="ref-26">
        <w:r>
          <w:rPr>
            <w:rStyle w:val="Hyperlink"/>
          </w:rPr>
          <w:t xml:space="preserve">[26]</w:t>
        </w:r>
      </w:hyperlink>
      <w:r>
        <w:t xml:space="preserve">. The oxygen-extraction review supplies thermodynamic envelopes from a separate author group, fencing the energy and thermal assumptions from outside the strategy table’s own methodology</w:t>
      </w:r>
      <w:r>
        <w:t xml:space="preserve"> </w:t>
      </w:r>
      <w:hyperlink w:anchor="ref-4">
        <w:r>
          <w:rPr>
            <w:rStyle w:val="Hyperlink"/>
          </w:rPr>
          <w:t xml:space="preserve">[4]</w:t>
        </w:r>
      </w:hyperlink>
      <w:r>
        <w:t xml:space="preserve">. The reconciliation stance is to favor independent sources for any parameter where they exist, and to mark clearly every parameter resting solely on the primary lineage, so the dependence structure of the whole dataset stays visible rather than hidden.</w:t>
      </w:r>
    </w:p>
    <w:bookmarkEnd w:id="112"/>
    <w:bookmarkStart w:id="113" w:name="Xc1309e6cb9914942a5ec798869dc4b0c225c296"/>
    <w:p>
      <w:pPr>
        <w:pStyle w:val="Heading2"/>
        <w:spacing w:line="480" w:lineRule="auto"/>
      </w:pPr>
      <w:r>
        <w:t xml:space="preserve">5.10 Uncertainty points as a measured distribution</w:t>
      </w:r>
    </w:p>
    <w:p>
      <w:pPr>
        <w:pStyle w:val="FirstParagraph"/>
        <w:spacing w:line="480" w:lineRule="auto"/>
      </w:pPr>
      <w:r>
        <w:t xml:space="preserve">The three uncertainty points per strategy are no decoration; they are a measured summary of each performance figure’s distribution, and using them right is part of the measurement discipline. The expected value at the 50th percentile is the central case. The 5 percent cumulative point is a conservative low value, and the 95 percent cumulative point is an optimistic high value. Together they bracket the source study’s own uncertainty about each strategy’s performance under its modeled assumptions on availability, water content, and power and mass margins.</w:t>
      </w:r>
    </w:p>
    <w:p>
      <w:pPr>
        <w:pStyle w:val="BodyText"/>
        <w:spacing w:line="480" w:lineRule="auto"/>
        <w:ind w:firstLine="720"/>
      </w:pPr>
      <w:r>
        <w:t xml:space="preserve">Carrying all three points into the estimators, rather than collapsing to the expected value alone, is a deliberate choice with consequences. It triples the effective sample from twelve to 36 and, more to the point, it lets the estimated relationships be fitted across the range of modeled uncertainty rather than at the central case alone. A relationship that holds at the expected points but comes apart at the tails would be fragile, and by carrying the 5 percent and 95 percent points the analysis tests whether the payback-efficiency coupling survives across the modeled uncertainty band. The scatter visible in the data, several strategies traveling from payback near 3 at their low point to payback above 16 at their high point, is exactly the variation that makes the test mean something. The uncertainty points are therefore treated as measured distributional information to be worked, not as noise to be averaged off.</w:t>
      </w:r>
    </w:p>
    <w:bookmarkEnd w:id="113"/>
    <w:bookmarkStart w:id="114" w:name="what-a-replication-would-need"/>
    <w:p>
      <w:pPr>
        <w:pStyle w:val="Heading2"/>
        <w:spacing w:line="480" w:lineRule="auto"/>
      </w:pPr>
      <w:r>
        <w:t xml:space="preserve">5.11 What a replication would need</w:t>
      </w:r>
    </w:p>
    <w:p>
      <w:pPr>
        <w:pStyle w:val="FirstParagraph"/>
        <w:spacing w:line="480" w:lineRule="auto"/>
      </w:pPr>
      <w:r>
        <w:t xml:space="preserve">A fair test of a dataset’s transparency is whether someone could rebuild it from the description alone, and stating what a replication would take is worth the effort. A replicator would obtain the flexible-design study, locate its multi-criteria table of lunar oxygen facility strategies, and transcribe the twelve strategies at their three uncertainty points, recording oxygen yield, mass payback, and mass-energy efficiency for each</w:t>
      </w:r>
      <w:r>
        <w:t xml:space="preserve"> </w:t>
      </w:r>
      <w:hyperlink w:anchor="ref-5">
        <w:r>
          <w:rPr>
            <w:rStyle w:val="Hyperlink"/>
          </w:rPr>
          <w:t xml:space="preserve">[5]</w:t>
        </w:r>
      </w:hyperlink>
      <w:r>
        <w:t xml:space="preserve">. They would code the parallel and series indicators mechanically off the P and S strategy labels. They would confirm the 36-row count and verify that every payback and efficiency value is strictly positive. At that point they would hold the exact analysis dataset, and running the two estimators would reproduce the coefficients in Chapter 6.</w:t>
      </w:r>
    </w:p>
    <w:p>
      <w:pPr>
        <w:pStyle w:val="BodyText"/>
        <w:spacing w:line="480" w:lineRule="auto"/>
        <w:ind w:firstLine="720"/>
      </w:pPr>
      <w:r>
        <w:t xml:space="preserve">For the breakeven model, a replicator would additionally gather the plant mass, power, and yield distributions from the hybrid-plant analysis</w:t>
      </w:r>
      <w:r>
        <w:t xml:space="preserve"> </w:t>
      </w:r>
      <w:hyperlink w:anchor="ref-1">
        <w:r>
          <w:rPr>
            <w:rStyle w:val="Hyperlink"/>
          </w:rPr>
          <w:t xml:space="preserve">[1]</w:t>
        </w:r>
      </w:hyperlink>
      <w:r>
        <w:t xml:space="preserve">, the thermodynamic envelopes from the extraction review</w:t>
      </w:r>
      <w:r>
        <w:t xml:space="preserve"> </w:t>
      </w:r>
      <w:hyperlink w:anchor="ref-4">
        <w:r>
          <w:rPr>
            <w:rStyle w:val="Hyperlink"/>
          </w:rPr>
          <w:t xml:space="preserve">[4]</w:t>
        </w:r>
      </w:hyperlink>
      <w:r>
        <w:t xml:space="preserve">, the ramp discipline from the feasibility argument</w:t>
      </w:r>
      <w:r>
        <w:t xml:space="preserve"> </w:t>
      </w:r>
      <w:hyperlink w:anchor="ref-2">
        <w:r>
          <w:rPr>
            <w:rStyle w:val="Hyperlink"/>
          </w:rPr>
          <w:t xml:space="preserve">[2]</w:t>
        </w:r>
      </w:hyperlink>
      <w:r>
        <w:t xml:space="preserve">, the demand band from the space-economy forecast</w:t>
      </w:r>
      <w:r>
        <w:t xml:space="preserve"> </w:t>
      </w:r>
      <w:hyperlink w:anchor="ref-6">
        <w:r>
          <w:rPr>
            <w:rStyle w:val="Hyperlink"/>
          </w:rPr>
          <w:t xml:space="preserve">[6]</w:t>
        </w:r>
      </w:hyperlink>
      <w:r>
        <w:t xml:space="preserve">, and the pre-registered central values and seeds published with this dissertation. Nothing on that list is proprietary, and every item names its specific source. The measurement chapter is written so this replication path stays explicit rather than implied, because a dataset a skeptic cannot rebuild is a dataset a skeptic is right to distrust.</w:t>
      </w:r>
    </w:p>
    <w:bookmarkEnd w:id="114"/>
    <w:bookmarkStart w:id="115" w:name="reproducibility-commitments"/>
    <w:p>
      <w:pPr>
        <w:pStyle w:val="Heading2"/>
        <w:spacing w:line="480" w:lineRule="auto"/>
      </w:pPr>
      <w:r>
        <w:t xml:space="preserve">5.12 Reproducibility commitments</w:t>
      </w:r>
    </w:p>
    <w:p>
      <w:pPr>
        <w:pStyle w:val="FirstParagraph"/>
        <w:spacing w:line="480" w:lineRule="auto"/>
      </w:pPr>
      <w:r>
        <w:t xml:space="preserve">The reproducibility stance is concrete. The analysis dataset keeps the source note on every row, so any value traces to the published table</w:t>
      </w:r>
      <w:r>
        <w:t xml:space="preserve"> </w:t>
      </w:r>
      <w:hyperlink w:anchor="ref-5">
        <w:r>
          <w:rPr>
            <w:rStyle w:val="Hyperlink"/>
          </w:rPr>
          <w:t xml:space="preserve">[5]</w:t>
        </w:r>
      </w:hyperlink>
      <w:r>
        <w:t xml:space="preserve">. The architecture indicators derive mechanically from the strategy labels, so their construction replicates without judgment. The model code, the pre-registered parameter sheet, and the Monte Carlo seeds accompany the dissertation, so the breakeven threshold regenerates from named source values. This is the standard the situational-awareness finding demands: because designers latch onto partial information, the assumptions have to be locked and visible before the results appear, and the whole chain from published table to estimated threshold has to be walkable by a reader who shares none of the author’s priors</w:t>
      </w:r>
      <w:r>
        <w:t xml:space="preserve"> </w:t>
      </w:r>
      <w:hyperlink w:anchor="ref-7">
        <w:r>
          <w:rPr>
            <w:rStyle w:val="Hyperlink"/>
          </w:rPr>
          <w:t xml:space="preserve">[7]</w:t>
        </w:r>
      </w:hyperlink>
      <w:r>
        <w:t xml:space="preserve">. Chapter 6 now reports what that chain produces, opening with the two estimator outputs stated exactly as the analysis yields them.</w:t>
      </w:r>
    </w:p>
    <w:bookmarkEnd w:id="115"/>
    <w:bookmarkEnd w:id="116"/>
    <w:bookmarkStart w:id="128" w:name="chapter-6.-results"/>
    <w:p>
      <w:pPr>
        <w:pStyle w:val="Heading1"/>
        <w:spacing w:line="480" w:lineRule="auto"/>
      </w:pPr>
      <w:r>
        <w:t xml:space="preserve">Chapter 6. Results</w:t>
      </w:r>
    </w:p>
    <w:p>
      <w:pPr>
        <w:pStyle w:val="FirstParagraph"/>
        <w:spacing w:line="480" w:lineRule="auto"/>
      </w:pPr>
      <w:r>
        <w:t xml:space="preserve">This chapter sets down what the two estimators produced. It carries every coefficient, standard error, t-statistic, p-value, confidence interval, and fit statistic precisely as the analysis returned them, then reads the signs and magnitudes back against the mechanism built in Chapter 3. Nothing is rounded for effect or restated for ease. The numbers are the finding, and the reading answers to them.</w:t>
      </w:r>
    </w:p>
    <w:bookmarkStart w:id="117" w:name="X814cf9efc65e76479002bcf5c66d57c6505d4c9"/>
    <w:p>
      <w:pPr>
        <w:pStyle w:val="Heading2"/>
        <w:spacing w:line="480" w:lineRule="auto"/>
      </w:pPr>
      <w:r>
        <w:t xml:space="preserve">6.1 The first estimator: mass-energy efficiency on payback, yield, and architecture</w:t>
      </w:r>
    </w:p>
    <w:p>
      <w:pPr>
        <w:pStyle w:val="FirstParagraph"/>
        <w:spacing w:line="480" w:lineRule="auto"/>
      </w:pPr>
      <w:r>
        <w:t xml:space="preserve">The first paper regresses mass-energy efficiency on oxygen yield, mass payback, and indicators for parallel and series hybrid strategies, running heteroskedasticity-robust HC1 standard errors over the 36 observations of the strategy table</w:t>
      </w:r>
      <w:r>
        <w:t xml:space="preserve"> </w:t>
      </w:r>
      <w:hyperlink w:anchor="ref-5">
        <w:r>
          <w:rPr>
            <w:rStyle w:val="Hyperlink"/>
          </w:rPr>
          <w:t xml:space="preserve">[5]</w:t>
        </w:r>
      </w:hyperlink>
      <w:r>
        <w:t xml:space="preserve">. The fit is strong, and understated at that. With N = 36, the robust ordinary least squares model returns an R2 of 0.9032 and an adjusted R2 of 0.8907. The overall F statistic comes in at 88.6552, with p = 1.64e-16. Roughly 90.3 percent of the observed variation in energy-adjusted performance across the design space is accounted for, a high share for four regressors on 36 design cases, and a sign that these four dimensions carry most of what separates the strategies.</w:t>
      </w:r>
    </w:p>
    <w:p>
      <w:pPr>
        <w:pStyle w:val="BodyText"/>
        <w:spacing w:line="480" w:lineRule="auto"/>
        <w:ind w:firstLine="720"/>
      </w:pPr>
      <w:r>
        <w:t xml:space="preserve">Mass payback is the central coefficient. It carries the model. Its estimate is 0.4000, with standard error 0.0239, t = 16.7276, and p = 8.25e-63. The 95 percent confidence interval runs from 0.3532 to 0.4469. By a wide margin this is the ruling term in the model. A one-unit rise in mass payback pairs with a 0.4000 rise in mass-energy efficiency units, and the pairing is estimated tightly enough that the confidence interval sits well clear of zero. Inside the published strategy table, energy-adjusted oxygen performance climbs sharply as strategies hand back more oxygen per unit of landed system mass.</w:t>
      </w:r>
    </w:p>
    <w:p>
      <w:pPr>
        <w:pStyle w:val="BodyText"/>
        <w:spacing w:line="480" w:lineRule="auto"/>
        <w:ind w:firstLine="720"/>
      </w:pPr>
      <w:r>
        <w:t xml:space="preserve">Oxygen yield behaves nothing like that, carrying a conditional coefficient of 0.0087 with p = 0.7409. The estimate is small. It reads as indistinguishable from zero, the result the mechanism forecast and one that earns emphasis rather than a shrug. It does not mean yield is irrelevant as engineering, since a plant that extracts nothing produces nothing. It means that once mass payback and architecture class sit in the model, raw yield adds essentially no independent explanatory power for energy-adjusted efficiency. A rich-yield extraction route can still be a poor bet if it demands a heavy or power-hungry system, and the collapse of the yield coefficient once payback is held fixed is the statistical mark of exactly that.</w:t>
      </w:r>
    </w:p>
    <w:p>
      <w:pPr>
        <w:pStyle w:val="BodyText"/>
        <w:spacing w:line="480" w:lineRule="auto"/>
        <w:ind w:firstLine="720"/>
      </w:pPr>
      <w:r>
        <w:t xml:space="preserve">The architecture indicators split into two stories. Parallel hybrid status carries a positive but weak coefficient of 0.1925, with p = 0.4977, which cannot be separated from zero. Series hybrid status carries a positive coefficient of 0.9042, with p = 0.0034, which does separate from zero at conventional levels. Series hybrid strategies therefore occupy a measurably distinct patch of the design space after yield and payback are controlled, matching the theoretical expectation that chaining processes can recover energy or material a parallel layout discards. The effect is real but secondary: at roughly 0.90 efficiency units of conditional shift it counts for design screening, yet it runs far short of the payback relationship that spans the outcome’s full range. Because the architecture categories are not randomized the reading stays cautious, though the association is strong enough to matter for a screening framework.</w:t>
      </w:r>
    </w:p>
    <w:bookmarkEnd w:id="117"/>
    <w:bookmarkStart w:id="118" w:name="Xd22c37b193ad478c04ef71471a9e384ee284e70"/>
    <w:p>
      <w:pPr>
        <w:pStyle w:val="Heading2"/>
        <w:spacing w:line="480" w:lineRule="auto"/>
      </w:pPr>
      <w:r>
        <w:t xml:space="preserve">6.2 Reading the first estimator against the mechanism</w:t>
      </w:r>
    </w:p>
    <w:p>
      <w:pPr>
        <w:pStyle w:val="FirstParagraph"/>
        <w:spacing w:line="480" w:lineRule="auto"/>
      </w:pPr>
      <w:r>
        <w:t xml:space="preserve">Chapter 3 made three predictions about this model, and the results honor all three. It forecast that mass payback would rule energy-adjusted performance, and the payback coefficient of 0.4000 at p = 8.25e-63 is the ruling term, confirming the first. It forecast that oxygen yield would shed explanatory power once payback was controlled, and the yield coefficient of 0.0087 at p = 0.7409 reads as statistical zero, confirming the second. It forecast that architecture would carry a real but secondary conditional effect, and the series indicator at 0.9042 with p = 0.0034 separates and stays modest against payback, confirming the third, while the parallel indicator’s insignificance shows the model is not conjuring architecture effects where none exist.</w:t>
      </w:r>
    </w:p>
    <w:p>
      <w:pPr>
        <w:pStyle w:val="BodyText"/>
        <w:spacing w:line="480" w:lineRule="auto"/>
        <w:ind w:firstLine="720"/>
      </w:pPr>
      <w:r>
        <w:t xml:space="preserve">The practical reading falls out at once. Breakeven analysis for lunar oxygen should open on mass payback and energy-adjusted productivity, then bring in extraction chemistry as support rather than lead. The hybrid-plant literature already shows carbothermal and water extraction routes carry different mass and energy profiles</w:t>
      </w:r>
      <w:r>
        <w:t xml:space="preserve"> </w:t>
      </w:r>
      <w:hyperlink w:anchor="ref-1">
        <w:r>
          <w:rPr>
            <w:rStyle w:val="Hyperlink"/>
          </w:rPr>
          <w:t xml:space="preserve">[1]</w:t>
        </w:r>
      </w:hyperlink>
      <w:r>
        <w:t xml:space="preserve">, and the oxygen-extraction review shows solar thermal and laser vacuum pyrolysis paths lay on further system constraints</w:t>
      </w:r>
      <w:r>
        <w:t xml:space="preserve"> </w:t>
      </w:r>
      <w:hyperlink w:anchor="ref-4">
        <w:r>
          <w:rPr>
            <w:rStyle w:val="Hyperlink"/>
          </w:rPr>
          <w:t xml:space="preserve">[4]</w:t>
        </w:r>
      </w:hyperlink>
      <w:r>
        <w:t xml:space="preserve">. The estimate fits that picture: the economic question is not merely whether oxygen can be extracted, but whether the plant architecture hands back useful mass fast enough and efficiently enough to earn its delivery.</w:t>
      </w:r>
    </w:p>
    <w:bookmarkEnd w:id="118"/>
    <w:bookmarkStart w:id="119" w:name="X324889fa923dbdadcee3fa0361384438259c0c1"/>
    <w:p>
      <w:pPr>
        <w:pStyle w:val="Heading2"/>
        <w:spacing w:line="480" w:lineRule="auto"/>
      </w:pPr>
      <w:r>
        <w:t xml:space="preserve">6.3 The second estimator: the elasticity of payback on efficiency</w:t>
      </w:r>
    </w:p>
    <w:p>
      <w:pPr>
        <w:pStyle w:val="FirstParagraph"/>
        <w:spacing w:line="480" w:lineRule="auto"/>
      </w:pPr>
      <w:r>
        <w:t xml:space="preserve">The second paper takes the same 36 observations into proportional space, fitting a log-log ordinary least squares model of mass payback on mass-energy efficiency with robust HC1 standard errors</w:t>
      </w:r>
      <w:r>
        <w:t xml:space="preserve"> </w:t>
      </w:r>
      <w:hyperlink w:anchor="ref-5">
        <w:r>
          <w:rPr>
            <w:rStyle w:val="Hyperlink"/>
          </w:rPr>
          <w:t xml:space="preserve">[5]</w:t>
        </w:r>
      </w:hyperlink>
      <w:r>
        <w:t xml:space="preserve">. The fitted model returns N = 36 and R2 = 0.6907. The intercept is 0.4502, with p = 0.0187. The elasticity coefficient on the log of mass-energy efficiency comes in at 1.1261. Its robust standard error is 0.0950, with t = 11.8587 and p = 1.94e-32. The 95 percent confidence interval runs from 0.9399 to 1.3122.</w:t>
      </w:r>
    </w:p>
    <w:p>
      <w:pPr>
        <w:pStyle w:val="BodyText"/>
        <w:spacing w:line="480" w:lineRule="auto"/>
        <w:ind w:firstLine="720"/>
      </w:pPr>
      <w:r>
        <w:t xml:space="preserve">The model also returns a progress-ratio style quantity of 2.1826, meaning that doubling mass-energy efficiency pairs with roughly 2.18 times the mass payback within this table. The elasticity of 1.1261 says a one percent rise in mass-energy efficiency pairs with about a 1.13 percent rise in mass payback across the published strategy space, and the relationship accounts for roughly 69 percent of the observed variation in payback.</w:t>
      </w:r>
    </w:p>
    <w:bookmarkEnd w:id="119"/>
    <w:bookmarkStart w:id="120" w:name="X7ffce58c21dca194ebe4d10577c22058abf2f0a"/>
    <w:p>
      <w:pPr>
        <w:pStyle w:val="Heading2"/>
        <w:spacing w:line="480" w:lineRule="auto"/>
      </w:pPr>
      <w:r>
        <w:t xml:space="preserve">6.4 Reading the second estimator against the mechanism</w:t>
      </w:r>
    </w:p>
    <w:p>
      <w:pPr>
        <w:pStyle w:val="FirstParagraph"/>
        <w:spacing w:line="480" w:lineRule="auto"/>
      </w:pPr>
      <w:r>
        <w:t xml:space="preserve">Chapter 3’s coupling mechanism forecast an elasticity strictly above one, arguing that a gain in energy efficiency both trims the energy numerator and lightens the supporting power-system mass, so payback should climb more than proportionally. The point estimate of 1.1261 clears unity, and the interval’s lower bound, 0.9399, sits just under one. The evidence therefore lines up with the more-than-proportional prediction while staying mildly cautious about it: the central estimate clears one, but the interval will not decisively rule out proportional co-movement.</w:t>
      </w:r>
    </w:p>
    <w:p>
      <w:pPr>
        <w:pStyle w:val="BodyText"/>
        <w:spacing w:line="480" w:lineRule="auto"/>
        <w:ind w:firstLine="720"/>
      </w:pPr>
      <w:r>
        <w:t xml:space="preserve">Even on the cautious reading, the result carries weight. An elasticity near one would already say efficiency and payback move together tightly enough to be handled as coupled design variables. The estimate a touch above one firms that reading, backing the interpretation that energy and system mass interact: a strategy that cuts energy burden may also allow smaller supporting gear, longer feasible running inside a power budget, or steadier utilization under the modeled assumptions. The table does not isolate each of these channels on its own, but it shows their combined pull on payback is anything but marginal.</w:t>
      </w:r>
    </w:p>
    <w:p>
      <w:pPr>
        <w:pStyle w:val="BodyText"/>
        <w:spacing w:line="480" w:lineRule="auto"/>
        <w:ind w:firstLine="720"/>
      </w:pPr>
      <w:r>
        <w:t xml:space="preserve">The elasticity also sharpens why raw oxygen yield is an incomplete metric, echoing the first estimator from another angle. A strategy can post an attractive yield yet fare worse once energy and system mass enter, which is why the breakeven question has to be put at the level of the delivered production system rather than the extraction chemistry. That fits the oxygen-extraction literature, which reads pathway selection, heat source, material handling, and process control as system-level calls</w:t>
      </w:r>
      <w:r>
        <w:t xml:space="preserve"> </w:t>
      </w:r>
      <w:hyperlink w:anchor="ref-4">
        <w:r>
          <w:rPr>
            <w:rStyle w:val="Hyperlink"/>
          </w:rPr>
          <w:t xml:space="preserve">[4]</w:t>
        </w:r>
      </w:hyperlink>
      <w:r>
        <w:t xml:space="preserve">.</w:t>
      </w:r>
    </w:p>
    <w:bookmarkEnd w:id="120"/>
    <w:bookmarkStart w:id="121" w:name="the-two-estimators-converge"/>
    <w:p>
      <w:pPr>
        <w:pStyle w:val="Heading2"/>
        <w:spacing w:line="480" w:lineRule="auto"/>
      </w:pPr>
      <w:r>
        <w:t xml:space="preserve">6.5 The two estimators converge</w:t>
      </w:r>
    </w:p>
    <w:p>
      <w:pPr>
        <w:pStyle w:val="FirstParagraph"/>
        <w:spacing w:line="480" w:lineRule="auto"/>
      </w:pPr>
      <w:r>
        <w:t xml:space="preserve">The two results do not repeat each other. They triangulate, coming at the same coupled pair from opposite sides of the equation and under different transformations, and arriving nonetheless at one conclusion about which plant attributes govern the economics. The linear model settles that among four candidate design dimensions, mass payback is the one accounting for energy-adjusted performance, with yield dropping out and architecture playing a supporting part. The log-log model settles that the payback-efficiency relationship is not merely present but more than proportional, with an elasticity above one. One estimator names which dimension rules; the other shapes the ruling relationship. Together they say mass payback and mass-energy efficiency form a coupled pair at the center of the breakeven question, and that the coupling holds steady across both a linear and a proportional specification on the same 36 observations.</w:t>
      </w:r>
    </w:p>
    <w:p>
      <w:pPr>
        <w:pStyle w:val="BodyText"/>
        <w:spacing w:line="480" w:lineRule="auto"/>
        <w:ind w:firstLine="720"/>
      </w:pPr>
      <w:r>
        <w:t xml:space="preserve">That convergence is what a breakeven model wants from its plant-side inputs. The discounted life-cycle cost model swallows exactly this structure: it has to know that payback drives energy-adjusted output and that efficiency and payback climb together elastically, because M* is set by how fast cumulative output amortizes landed mass, and both estimated relationships bear straight on that rate.</w:t>
      </w:r>
    </w:p>
    <w:bookmarkEnd w:id="121"/>
    <w:bookmarkStart w:id="122" w:name="X27bfa738890b9d3850b2e013cbe363bab9a8db1"/>
    <w:p>
      <w:pPr>
        <w:pStyle w:val="Heading2"/>
        <w:spacing w:line="480" w:lineRule="auto"/>
      </w:pPr>
      <w:r>
        <w:t xml:space="preserve">6.6 What the results say about the governing hypotheses</w:t>
      </w:r>
    </w:p>
    <w:p>
      <w:pPr>
        <w:pStyle w:val="FirstParagraph"/>
        <w:spacing w:line="480" w:lineRule="auto"/>
      </w:pPr>
      <w:r>
        <w:t xml:space="preserve">The plant-side estimates confirm the mechanism’s fingerprints, and that confirmation feeds the governing breakeven hypotheses without settling them alone. The governing null holds that for the reference hybrid architecture on central parameters, the breakeven mass M* overruns cumulative cislunar propellant demand projected through 2045</w:t>
      </w:r>
      <w:r>
        <w:t xml:space="preserve"> </w:t>
      </w:r>
      <w:hyperlink w:anchor="ref-6">
        <w:r>
          <w:rPr>
            <w:rStyle w:val="Hyperlink"/>
          </w:rPr>
          <w:t xml:space="preserve">[6]</w:t>
        </w:r>
      </w:hyperlink>
      <w:r>
        <w:t xml:space="preserve">; the alternative holds that M* lands inside that window and clears the sensitivity envelope. The two estimators establish that the plant-side relationships behave as a favorable breakeven would require to be reachable at all: because payback rules and climbs more than proportionally with efficiency, high-efficiency high-payback strategies live in the table that could, in principle, drive M* down.</w:t>
      </w:r>
    </w:p>
    <w:p>
      <w:pPr>
        <w:pStyle w:val="BodyText"/>
        <w:spacing w:line="480" w:lineRule="auto"/>
        <w:ind w:firstLine="720"/>
      </w:pPr>
      <w:r>
        <w:t xml:space="preserve">Whether M* actually lands inside the demand window turns further on launch cost, plant emplacement mass, ramp, discounting, and the exogenous demand horizon, which the cost model resolves and Chapter 7 takes up. What this chapter’s results settle is narrower and firmer: within the published strategy data, energy-adjusted performance is accounted for chiefly by mass payback, not by oxygen yield, and mass payback climbs elastically with mass-energy efficiency at an elasticity of 1.1261. Those two facts are the ground the breakeven argument stands on. They are set down here exactly as the estimators returned them: from the first model, a payback coefficient of 0.4000 (SE 0.0239, p = 8.25e-63) with R2 = 0.9032 at N = 36; from the second, an elasticity of 1.1261 (SE 0.0950, p = 1.94e-32) with R2 = 0.6907 at N = 36.</w:t>
      </w:r>
    </w:p>
    <w:bookmarkEnd w:id="122"/>
    <w:bookmarkStart w:id="123" w:name="X44c82ab35f0e3d1b7fbb1ba2f55f6c03ab35171"/>
    <w:p>
      <w:pPr>
        <w:pStyle w:val="Heading2"/>
        <w:spacing w:line="480" w:lineRule="auto"/>
      </w:pPr>
      <w:r>
        <w:t xml:space="preserve">6.7 The magnitude of the payback effect in context</w:t>
      </w:r>
    </w:p>
    <w:p>
      <w:pPr>
        <w:pStyle w:val="FirstParagraph"/>
        <w:spacing w:line="480" w:lineRule="auto"/>
      </w:pPr>
      <w:r>
        <w:t xml:space="preserve">A coefficient earns trust more easily when its magnitude is set against the data that produced it. The payback coefficient of 0.4000 works over a mass payback range running from about 3.2 at the low uncertainty points to about 18.1 at the high ones, a spread near 15 units. Multiply the spread by the coefficient and it implies a swing near 6.0 mass-energy efficiency units chargeable to payback alone, which nearly covers the full observed efficiency range of about 2.7 to 8.8. The payback term does more than reach significance; it accounts for essentially the whole span of the outcome across the strategy space, which is what a ruling driver looks like once its effect is scaled by the actual variation in the regressor.</w:t>
      </w:r>
    </w:p>
    <w:p>
      <w:pPr>
        <w:pStyle w:val="BodyText"/>
        <w:spacing w:line="480" w:lineRule="auto"/>
        <w:ind w:firstLine="720"/>
      </w:pPr>
      <w:r>
        <w:t xml:space="preserve">Hold the yield coefficient to the same yardstick. Yield runs about 1.8 to 14.1 percent, a spread near 12 percentage points, and multiplied by its coefficient of 0.0087 that spread implies a swing near 0.1 efficiency units, a tenth of one unit against an outcome spanning six. Yield’s economic irrelevance conditional on payback is therefore no knife-edge statistical artifact masking a large hidden effect. It is a substantively tiny effect, dwarfed by payback by roughly two orders of magnitude once scaled. The p-value of 0.7409 and the scaled magnitude tell one story, which is the reassurance you want when a counterintuitive result, yield not mattering, rests on a single model.</w:t>
      </w:r>
    </w:p>
    <w:bookmarkEnd w:id="123"/>
    <w:bookmarkStart w:id="124" w:name="X417c4b0b9275032cd95dfc6b879c09f8dcd4aca"/>
    <w:p>
      <w:pPr>
        <w:pStyle w:val="Heading2"/>
        <w:spacing w:line="480" w:lineRule="auto"/>
      </w:pPr>
      <w:r>
        <w:t xml:space="preserve">6.8 Reading the elasticity against specific strategies</w:t>
      </w:r>
    </w:p>
    <w:p>
      <w:pPr>
        <w:pStyle w:val="FirstParagraph"/>
        <w:spacing w:line="480" w:lineRule="auto"/>
      </w:pPr>
      <w:r>
        <w:t xml:space="preserve">The elasticity of 1.1261 can be checked against individual strategies to confirm it is no fit averaged over clashing behaviors. Water extraction at its expected point pairs high efficiency near 7.3 with high payback near 16.3, sitting in the upper right of the log-log space. Carbothermal reduction pairs low efficiency near 2.8 with modest payback near 6.5, sitting in the lower left. The series strategy S.0 sits lower still, near efficiency 3.6 and payback 3.3. A line drawn through these points in log-log space with slope a touch above one is a faithful summary: moving from the low-efficiency single-pathway cases up through the hybrids to the high-efficiency water extraction case, payback climbs a touch faster than efficiency, exactly the more-than-proportional pattern the elasticity encodes.</w:t>
      </w:r>
    </w:p>
    <w:p>
      <w:pPr>
        <w:pStyle w:val="BodyText"/>
        <w:spacing w:line="480" w:lineRule="auto"/>
        <w:ind w:firstLine="720"/>
      </w:pPr>
      <w:r>
        <w:t xml:space="preserve">The progress-ratio quantity of 2.1826 restates that in doubling terms a program office can hold onto: shift from a strategy at one level of mass-energy efficiency to one at twice that efficiency and mass payback runs roughly 2.18 times as high in this table. That the relationship holds across single-pathway and both hybrid families, rather than riding on one architecture cluster, is what lets the R2 of 0.6907 read as a genuine cross-strategy regularity and not a within-family coincidence.</w:t>
      </w:r>
    </w:p>
    <w:bookmarkEnd w:id="124"/>
    <w:bookmarkStart w:id="125" w:name="the-intercept-and-what-it-says"/>
    <w:p>
      <w:pPr>
        <w:pStyle w:val="Heading2"/>
        <w:spacing w:line="480" w:lineRule="auto"/>
      </w:pPr>
      <w:r>
        <w:t xml:space="preserve">6.9 The intercept and what it says</w:t>
      </w:r>
    </w:p>
    <w:p>
      <w:pPr>
        <w:pStyle w:val="FirstParagraph"/>
        <w:spacing w:line="480" w:lineRule="auto"/>
      </w:pPr>
      <w:r>
        <w:t xml:space="preserve">The second model’s intercept deserves a brief reading, since it is reported and interpreted rather than waved off as a nuisance. The intercept of 0.4502, with p = 0.0187, is the value of log mass payback when log mass-energy efficiency is zero, that is, when efficiency equals one unit on the table’s scale. It separates from zero at conventional levels, confirming that the log-log relationship anchors at a meaningful, nonzero baseline rather than running through the origin. Substantively, a positive and significant intercept means even at the low end of the efficiency range the strategies carry a nonzero baseline payback, and that the elasticity of 1.1261 describes how payback grows from that baseline as efficiency rises. The intercept is not the object of interest, but reporting it and confirming its significance is part of taking the fitted model seriously rather than skimming only the slope.</w:t>
      </w:r>
    </w:p>
    <w:bookmarkEnd w:id="125"/>
    <w:bookmarkStart w:id="126" w:name="X3ff97a5dca5964f3f7cb9bf64dd01330aa3dc75"/>
    <w:p>
      <w:pPr>
        <w:pStyle w:val="Heading2"/>
        <w:spacing w:line="480" w:lineRule="auto"/>
      </w:pPr>
      <w:r>
        <w:t xml:space="preserve">6.10 Why these two results, together, are hard to dismiss</w:t>
      </w:r>
    </w:p>
    <w:p>
      <w:pPr>
        <w:pStyle w:val="FirstParagraph"/>
        <w:spacing w:line="480" w:lineRule="auto"/>
      </w:pPr>
      <w:r>
        <w:t xml:space="preserve">A skeptic’s natural first move is to pin a lone strong coefficient on a lucky specification, and that move is harder here because the same substantive conclusion survives two specifications, two dependent variables, and two functional forms. The linear model, mass-energy efficiency on the left, finds payback ruling at p = 8.25e-63. The log-log model, mass payback on the left, finds efficiency’s elasticity strong at p = 1.94e-32. The two models place the variables on opposite sides of the equation and transform them differently, yet both recover the same tight coupling between payback and efficiency, with yield sidelined in the model that carries it. A result that persists under this much specification variation is no fragile artifact of one modeling choice. It is a steady feature of the published strategy space, which is the strongest thing 36 modeled observations can be made to say, and it is said here without stepping past what the evidence supports.</w:t>
      </w:r>
    </w:p>
    <w:bookmarkEnd w:id="126"/>
    <w:bookmarkStart w:id="127" w:name="X67e5c5f5e6a35a8b2b6d78ed387925fbaa8e56e"/>
    <w:p>
      <w:pPr>
        <w:pStyle w:val="Heading2"/>
        <w:spacing w:line="480" w:lineRule="auto"/>
      </w:pPr>
      <w:r>
        <w:t xml:space="preserve">6.11 Robustness visible in the estimates themselves</w:t>
      </w:r>
    </w:p>
    <w:p>
      <w:pPr>
        <w:pStyle w:val="FirstParagraph"/>
        <w:spacing w:line="480" w:lineRule="auto"/>
      </w:pPr>
      <w:r>
        <w:t xml:space="preserve">Some robustness shows without extra runs. The strategy table spans carbothermal-only, water-extraction-only, parallel hybrid, and series hybrid designs, so the payback coefficient in the first model is estimated across the full architecture range rather than off a single design family, and the omitted-category structure means the payback and yield effects are read against the single-pathway baseline rather than tangled with hybrid composition. The second model drops no observations, since every mass payback and mass-energy efficiency value in the table is strictly positive and takes a logarithm, so the elasticity is estimated on the complete sample rather than a positive-valued subset that could skew it. Set the two fits side by side. The linear specification reaches an R2 of 0.9032. The proportional specification reaches an R2 of 0.6907. That pattern is exactly what one expects when payback and efficiency are tightly coupled but not identical, the linear form capturing energy-adjusted efficiency almost completely while the proportional form captures the majority of payback variation. Chapter 7 puts these findings to the harder tests they cannot answer from inside the table, and says plainly what a modeled strategy space can and cannot license.</w:t>
      </w:r>
    </w:p>
    <w:bookmarkEnd w:id="127"/>
    <w:bookmarkEnd w:id="128"/>
    <w:bookmarkStart w:id="140" w:name="chapter-7.-discussion-and-limitations"/>
    <w:p>
      <w:pPr>
        <w:pStyle w:val="Heading1"/>
        <w:spacing w:line="480" w:lineRule="auto"/>
      </w:pPr>
      <w:r>
        <w:t xml:space="preserve">Chapter 7. Discussion and Limitations</w:t>
      </w:r>
    </w:p>
    <w:p>
      <w:pPr>
        <w:pStyle w:val="FirstParagraph"/>
        <w:spacing w:line="480" w:lineRule="auto"/>
      </w:pPr>
      <w:r>
        <w:t xml:space="preserve">The results are clean. Clean results tempt a writer to reach past them, to let a tight coefficient and a precise elasticity stand in for a claim about the Moon that the coefficient and the elasticity were never entitled to make. This chapter does the reverse of Chapter 6. It asks what the findings actually mean once set beside the real decisions they are meant to inform, and it lists, without softening, the threats that fence every claim. A breakeven estimate built on a modeled table earns trust only by being frank about what it cannot show, and this chapter’s discipline is to keep the interpretation’s confidence pegged to the confidence the evidence can carry.</w:t>
      </w:r>
    </w:p>
    <w:bookmarkStart w:id="129" w:name="X3eaf923ae4921839d78545d70290a24493f9a42"/>
    <w:p>
      <w:pPr>
        <w:pStyle w:val="Heading2"/>
        <w:spacing w:line="480" w:lineRule="auto"/>
      </w:pPr>
      <w:r>
        <w:t xml:space="preserve">7.1 What the findings mean for the break-even question</w:t>
      </w:r>
    </w:p>
    <w:p>
      <w:pPr>
        <w:pStyle w:val="FirstParagraph"/>
        <w:spacing w:line="480" w:lineRule="auto"/>
      </w:pPr>
      <w:r>
        <w:t xml:space="preserve">Take the two estimates at face value first. Mass payback rules energy-adjusted performance, with a coefficient of 0.4000 estimated at extraordinary precision, while oxygen yield collapses to statistical zero once payback is controlled. Payback climbs more than proportionally with mass-energy efficiency, at an elasticity of 1.1261. Read together, they say something exact about lunar oxygen economics: the plant-side driver of breakeven is output over delivered system mass, and that ratio is tightly and elastically bound to how efficiently the plant spends energy. Extraction chemistry is not where the economic action lives. It is the thing the field most reflexively optimizes, yet once the delivered system becomes the unit of analysis the chemistry recedes and the mass and energy of the system take over.</w:t>
      </w:r>
    </w:p>
    <w:p>
      <w:pPr>
        <w:pStyle w:val="BodyText"/>
        <w:spacing w:line="480" w:lineRule="auto"/>
        <w:ind w:firstLine="720"/>
      </w:pPr>
      <w:r>
        <w:t xml:space="preserve">For the governing question the upshot is a reframing, not a verdict. Whether local oxygen cuts landed cost is not answered by asking whether a route can extract oxygen at high yield. It is answered by asking whether the delivered plant hands back enough oxygen per unit of its own landed mass, efficiently enough in energy, to amortize its emplacement inside the demand horizon. The estimates show strategies with the right profile live in the published space, so a favorable breakeven mass is reachable in principle. They do not show any particular plant will reach it on the actual Moon, and the distance between those two statements is what the rest of this chapter is about.</w:t>
      </w:r>
    </w:p>
    <w:bookmarkEnd w:id="129"/>
    <w:bookmarkStart w:id="130" w:name="X359b7c956b3029e7e4aeff61d27f62457c15262"/>
    <w:p>
      <w:pPr>
        <w:pStyle w:val="Heading2"/>
        <w:spacing w:line="480" w:lineRule="auto"/>
      </w:pPr>
      <w:r>
        <w:t xml:space="preserve">7.2 The finding recasts ISRU as a portfolio problem</w:t>
      </w:r>
    </w:p>
    <w:p>
      <w:pPr>
        <w:pStyle w:val="FirstParagraph"/>
        <w:spacing w:line="480" w:lineRule="auto"/>
      </w:pPr>
      <w:r>
        <w:t xml:space="preserve">A wider implication deserves drawing out. If payback and efficiency are the coupled drivers and yield is secondary, then lunar resource planning sits closer to a portfolio design problem than to a chemistry optimization. A program does not want the richest-yield route; it wants the architecture whose output-to-mass ratio and energy efficiency put its breakeven mass below the demand it will truly serve. That is an integrated systems call, reaching across power provision, thermal management, ramp, and demand cadence, not a call settled by ranking extraction percentages.</w:t>
      </w:r>
    </w:p>
    <w:p>
      <w:pPr>
        <w:pStyle w:val="BodyText"/>
        <w:spacing w:line="480" w:lineRule="auto"/>
        <w:ind w:firstLine="720"/>
      </w:pPr>
      <w:r>
        <w:t xml:space="preserve">This squares with the flexible-design result that demand uncertainty governs plant worth</w:t>
      </w:r>
      <w:r>
        <w:t xml:space="preserve"> </w:t>
      </w:r>
      <w:hyperlink w:anchor="ref-5">
        <w:r>
          <w:rPr>
            <w:rStyle w:val="Hyperlink"/>
          </w:rPr>
          <w:t xml:space="preserve">[5]</w:t>
        </w:r>
      </w:hyperlink>
      <w:r>
        <w:t xml:space="preserve"> </w:t>
      </w:r>
      <w:r>
        <w:t xml:space="preserve">and with the scale-of-operations finding that demand assumptions govern sizing</w:t>
      </w:r>
      <w:r>
        <w:t xml:space="preserve"> </w:t>
      </w:r>
      <w:hyperlink w:anchor="ref-13">
        <w:r>
          <w:rPr>
            <w:rStyle w:val="Hyperlink"/>
          </w:rPr>
          <w:t xml:space="preserve">[13]</w:t>
        </w:r>
      </w:hyperlink>
      <w:r>
        <w:t xml:space="preserve">. Both steer away from single-metric optimization and toward staged, uncertainty-aware portfolio choices. The estimates in this dissertation supply the plant-side coordinates such a portfolio view needs: they tell a planner which plant attributes actually move breakeven, so the portfolio can be built around payback and efficiency rather than around yield.</w:t>
      </w:r>
    </w:p>
    <w:bookmarkEnd w:id="130"/>
    <w:bookmarkStart w:id="131" w:name="X9f5b12c336566407e2774e2b3f7623edadcb0d6"/>
    <w:p>
      <w:pPr>
        <w:pStyle w:val="Heading2"/>
        <w:spacing w:line="480" w:lineRule="auto"/>
      </w:pPr>
      <w:r>
        <w:t xml:space="preserve">7.3 Threat one: parameter cherry-picking from a single lineage</w:t>
      </w:r>
    </w:p>
    <w:p>
      <w:pPr>
        <w:pStyle w:val="FirstParagraph"/>
        <w:spacing w:line="480" w:lineRule="auto"/>
      </w:pPr>
      <w:r>
        <w:t xml:space="preserve">I open with the worst threat. It concerns provenance. The entire empirical spine, the 36 observations, comes from one research lineage’s strategy table</w:t>
      </w:r>
      <w:r>
        <w:t xml:space="preserve"> </w:t>
      </w:r>
      <w:hyperlink w:anchor="ref-5">
        <w:r>
          <w:rPr>
            <w:rStyle w:val="Hyperlink"/>
          </w:rPr>
          <w:t xml:space="preserve">[5]</w:t>
        </w:r>
      </w:hyperlink>
      <w:r>
        <w:t xml:space="preserve">, with the ancillary cost parameters drawn largely from the same group’s hybrid-plant and flexible-design work</w:t>
      </w:r>
      <w:r>
        <w:t xml:space="preserve"> </w:t>
      </w:r>
      <w:hyperlink w:anchor="ref-1">
        <w:r>
          <w:rPr>
            <w:rStyle w:val="Hyperlink"/>
          </w:rPr>
          <w:t xml:space="preserve">[1]</w:t>
        </w:r>
      </w:hyperlink>
      <w:r>
        <w:t xml:space="preserve"> </w:t>
      </w:r>
      <w:hyperlink w:anchor="ref-3">
        <w:r>
          <w:rPr>
            <w:rStyle w:val="Hyperlink"/>
          </w:rPr>
          <w:t xml:space="preserve">[3]</w:t>
        </w:r>
      </w:hyperlink>
      <w:r>
        <w:t xml:space="preserve">. An estimator sourced this narrowly can take on its lineage’s optimism. Should the source group’s assumptions about availability, water content, or power margin run systematically favorable, the payback and efficiency values, and any breakeven mass built on them, run favorable too, and no measure of statistical precision inside the table can catch a bias uniform across the table.</w:t>
      </w:r>
    </w:p>
    <w:p>
      <w:pPr>
        <w:pStyle w:val="BodyText"/>
        <w:spacing w:line="480" w:lineRule="auto"/>
        <w:ind w:firstLine="720"/>
      </w:pPr>
      <w:r>
        <w:t xml:space="preserve">The mitigation is partial, and I will not sell it as more. Partial is the honest word. The strategy table spans genuinely different architectures, carbothermal, water extraction, and both hybrid families, so the coefficients are not estimated off a single design, and the mining-feasibility argument supplies an external discipline that reads optimistic published assumptions as screening evidence rather than proof</w:t>
      </w:r>
      <w:r>
        <w:t xml:space="preserve"> </w:t>
      </w:r>
      <w:hyperlink w:anchor="ref-2">
        <w:r>
          <w:rPr>
            <w:rStyle w:val="Hyperlink"/>
          </w:rPr>
          <w:t xml:space="preserve">[2]</w:t>
        </w:r>
      </w:hyperlink>
      <w:r>
        <w:t xml:space="preserve">. Robustness runs re-estimating the breakeven mass under carbothermal-only and water-electrolysis-only variants test whether the conclusion leans on the hybrid framing specifically. But the deeper exposure holds: a modeled table cannot audit the modeler’s priors from within, and the honest stance is to hold the result conditional on the source lineage’s assumptions being defensible, a claim only external replication could settle.</w:t>
      </w:r>
    </w:p>
    <w:bookmarkEnd w:id="131"/>
    <w:bookmarkStart w:id="132" w:name="threat-two-demand-exogeneity"/>
    <w:p>
      <w:pPr>
        <w:pStyle w:val="Heading2"/>
        <w:spacing w:line="480" w:lineRule="auto"/>
      </w:pPr>
      <w:r>
        <w:t xml:space="preserve">7.4 Threat two: demand exogeneity</w:t>
      </w:r>
    </w:p>
    <w:p>
      <w:pPr>
        <w:pStyle w:val="FirstParagraph"/>
        <w:spacing w:line="480" w:lineRule="auto"/>
      </w:pPr>
      <w:r>
        <w:t xml:space="preserve">The breakeven model holds cumulative demand exogenous, swept across the projected utilization band</w:t>
      </w:r>
      <w:r>
        <w:t xml:space="preserve"> </w:t>
      </w:r>
      <w:hyperlink w:anchor="ref-6">
        <w:r>
          <w:rPr>
            <w:rStyle w:val="Hyperlink"/>
          </w:rPr>
          <w:t xml:space="preserve">[6]</w:t>
        </w:r>
      </w:hyperlink>
      <w:r>
        <w:t xml:space="preserve">. This is a simplification with a known direction. In reality the lunar price of propellant would answer to local production, and demand would answer to price, throwing off feedback the model does not carry. Pinning demand fixed and generous makes the estimate a lower-bound test: it asks whether the plant amortizes even when demand is assumed away as a constraint.</w:t>
      </w:r>
    </w:p>
    <w:p>
      <w:pPr>
        <w:pStyle w:val="BodyText"/>
        <w:spacing w:line="480" w:lineRule="auto"/>
        <w:ind w:firstLine="720"/>
      </w:pPr>
      <w:r>
        <w:t xml:space="preserve">The direction of the simplification is what makes it defensible rather than merely handy. Endogenous feedback that cuts price to draw demand also cuts the revenue per kilogram that funds payback, so a plant failing to break even under exogenous, generous demand will not be rescued by feedback. If the null stands under exogeneity, it stands firmer under endogeneity. The cost of the simplification is that a favorable breakeven under exogenous demand guarantees no favorable outcome in a real market, since a real market could also fail to muster the assumed demand at all. M* is therefore carried as a threshold, not as a market-clearing equilibrium, and a planner still has to ask separately whether the demand horizon the threshold is judged against is itself realistic.</w:t>
      </w:r>
    </w:p>
    <w:bookmarkEnd w:id="132"/>
    <w:bookmarkStart w:id="133" w:name="threat-three-terrestrial-analog-transfer"/>
    <w:p>
      <w:pPr>
        <w:pStyle w:val="Heading2"/>
        <w:spacing w:line="480" w:lineRule="auto"/>
      </w:pPr>
      <w:r>
        <w:t xml:space="preserve">7.5 Threat three: terrestrial-analog transfer</w:t>
      </w:r>
    </w:p>
    <w:p>
      <w:pPr>
        <w:pStyle w:val="FirstParagraph"/>
        <w:spacing w:line="480" w:lineRule="auto"/>
      </w:pPr>
      <w:r>
        <w:t xml:space="preserve">The model borrows reserve, recovery, and ramp discipline from terrestrial mining feasibility</w:t>
      </w:r>
      <w:r>
        <w:t xml:space="preserve"> </w:t>
      </w:r>
      <w:hyperlink w:anchor="ref-2">
        <w:r>
          <w:rPr>
            <w:rStyle w:val="Hyperlink"/>
          </w:rPr>
          <w:t xml:space="preserve">[2]</w:t>
        </w:r>
      </w:hyperlink>
      <w:r>
        <w:t xml:space="preserve">. That discipline is a real improvement over assuming full-rate production at once, but it may understate the discount a first-of-a-kind off-world facility deserves. Terrestrial mining runs on established supply chains, local labor, mature equipment, and an operating history that retires risk, and a first lunar plant carries none of these. Its ramp may run slower, its availability lower, and its early-life failures heavier than any terrestrial analog would predict.</w:t>
      </w:r>
    </w:p>
    <w:p>
      <w:pPr>
        <w:pStyle w:val="BodyText"/>
        <w:spacing w:line="480" w:lineRule="auto"/>
        <w:ind w:firstLine="720"/>
      </w:pPr>
      <w:r>
        <w:t xml:space="preserve">The mitigation is a documented first-of-a-kind contingency loading on capital and operations, inflating the emplacement and operating burden to reflect the missing mature base. But contingency loading is a judgment, not a measurement, and its size is itself uncertain. The MOXIE flight experiment is the cautionary evidence: even a small, well-instrumented oxygen unit on Mars turned up gaps between modeled expectation and operational behavior</w:t>
      </w:r>
      <w:r>
        <w:t xml:space="preserve"> </w:t>
      </w:r>
      <w:hyperlink w:anchor="ref-28">
        <w:r>
          <w:rPr>
            <w:rStyle w:val="Hyperlink"/>
          </w:rPr>
          <w:t xml:space="preserve">[28]</w:t>
        </w:r>
      </w:hyperlink>
      <w:r>
        <w:t xml:space="preserve">. The lunar case is larger and less forgiving, and the terrestrial analog, however disciplined, is hauling logic across a gap flight experience says is real.</w:t>
      </w:r>
    </w:p>
    <w:bookmarkEnd w:id="133"/>
    <w:bookmarkStart w:id="134" w:name="X9b80620bbe0aa231801c1a1c2d709f47a956656"/>
    <w:p>
      <w:pPr>
        <w:pStyle w:val="Heading2"/>
        <w:spacing w:line="480" w:lineRule="auto"/>
      </w:pPr>
      <w:r>
        <w:t xml:space="preserve">7.6 Threat four: situational-awareness bias in assumed performance</w:t>
      </w:r>
    </w:p>
    <w:p>
      <w:pPr>
        <w:pStyle w:val="FirstParagraph"/>
        <w:spacing w:line="480" w:lineRule="auto"/>
      </w:pPr>
      <w:r>
        <w:t xml:space="preserve">The controlled user study by Malone and coauthors shows decision-makers latch onto partial information when making design decisions for lunar utilization systems</w:t>
      </w:r>
      <w:r>
        <w:t xml:space="preserve"> </w:t>
      </w:r>
      <w:hyperlink w:anchor="ref-7">
        <w:r>
          <w:rPr>
            <w:rStyle w:val="Hyperlink"/>
          </w:rPr>
          <w:t xml:space="preserve">[7]</w:t>
        </w:r>
      </w:hyperlink>
      <w:r>
        <w:t xml:space="preserve">. This threatens the estimate at its root, because the parameter values filling the strategy table were themselves made by designers who, the evidence says, attend to some constraints more vividly than others. A table built by designers acutely alert to energy limits and dimly alert to demand risk will encode that asymmetry, and an estimator reading the table as neutral ground inherits the asymmetry unnoticed.</w:t>
      </w:r>
    </w:p>
    <w:p>
      <w:pPr>
        <w:pStyle w:val="BodyText"/>
        <w:spacing w:line="480" w:lineRule="auto"/>
        <w:ind w:firstLine="720"/>
      </w:pPr>
      <w:r>
        <w:t xml:space="preserve">The response is procedural rather than statistical. A documented assumption ledger records each central parameter and its source, and a pre-registered parameter sheet locks central values before the sensitivity analysis runs, so the estimate cannot be nudged toward a favored conclusion after the sensitivity surface appears. This does not strip the bias from the source table; nothing on hand can do that from outside the source. It strips a second layer of bias that would otherwise creep into the estimation itself, and it makes the whole chain walkable by a skeptical reader. That is the most the situational-awareness finding allows, and claiming more would reproduce the very overconfidence the study warns against.</w:t>
      </w:r>
    </w:p>
    <w:bookmarkEnd w:id="134"/>
    <w:bookmarkStart w:id="135" w:name="what-the-data-structurally-cannot-show"/>
    <w:p>
      <w:pPr>
        <w:pStyle w:val="Heading2"/>
        <w:spacing w:line="480" w:lineRule="auto"/>
      </w:pPr>
      <w:r>
        <w:t xml:space="preserve">7.7 What the data structurally cannot show</w:t>
      </w:r>
    </w:p>
    <w:p>
      <w:pPr>
        <w:pStyle w:val="FirstParagraph"/>
        <w:spacing w:line="480" w:lineRule="auto"/>
      </w:pPr>
      <w:r>
        <w:t xml:space="preserve">Past the four named threats sit things a modeled strategy table cannot show as a matter of structure, not of mitigation. The 36 observations are design options, not operating records, so nothing in them speaks to how a real plant degrades, how maintenance and spares pile up over years, how crew interaction and autonomy burden move operating cost, or how political and funding risk break a campaign. These are not omissions a better regression could patch; they are variables the source never measured because no operating lunar plant exists to measure them.</w:t>
      </w:r>
    </w:p>
    <w:p>
      <w:pPr>
        <w:pStyle w:val="BodyText"/>
        <w:spacing w:line="480" w:lineRule="auto"/>
        <w:ind w:firstLine="720"/>
      </w:pPr>
      <w:r>
        <w:t xml:space="preserve">The estimates also cannot settle launch price, surface transport cost, or financing, which enter the breakeven model as external parameters rather than anything the strategy table carries. That is why the plant-side results are reported as establishing a relationship inside the published design space, and the breakeven mass is reported as conditional on cost and demand parameters carried from other named sources. The clean separation is deliberate: it keeps the strongly supported plant-side finding clear of the weakly constrained cost inputs, and it stops the whole estimate from being presented as more integrated and more certain than it is.</w:t>
      </w:r>
    </w:p>
    <w:bookmarkEnd w:id="135"/>
    <w:bookmarkStart w:id="136" w:name="the-moving-baseline-falling-launch-cost"/>
    <w:p>
      <w:pPr>
        <w:pStyle w:val="Heading2"/>
        <w:spacing w:line="480" w:lineRule="auto"/>
      </w:pPr>
      <w:r>
        <w:t xml:space="preserve">7.8 The moving baseline: falling launch cost</w:t>
      </w:r>
    </w:p>
    <w:p>
      <w:pPr>
        <w:pStyle w:val="FirstParagraph"/>
        <w:spacing w:line="480" w:lineRule="auto"/>
      </w:pPr>
      <w:r>
        <w:t xml:space="preserve">One threat sits wholly outside the strategy table and can void a favorable breakeven without touching a single plant-side number. The Earth-launch baseline is not static. It moves. Let launch cost per kilogram fall over the program horizon and LCOE_ETO falls with it, so a breakeven mass that looked favorable against today’s launch prices can slide out of reach against tomorrow’s. The local plant competes not against the launch cost that held when it was designed but against the launch cost that holds when it operates.</w:t>
      </w:r>
    </w:p>
    <w:p>
      <w:pPr>
        <w:pStyle w:val="BodyText"/>
        <w:spacing w:line="480" w:lineRule="auto"/>
        <w:ind w:firstLine="720"/>
      </w:pPr>
      <w:r>
        <w:t xml:space="preserve">This is a genuine asymmetry between the two cost curves. The local plant amortizes a fixed emplacement mass, so its per-kilogram cost falls with cumulative output in a way the model captures. The launch baseline falls for an altogether different reason, exogenous progress in launch economics, that the strategy table has no window onto. A conservative breakeven analysis therefore should not judge M* against a frozen launch price. It should read the launch baseline as a declining trajectory and ask whether the plant amortizes before the baseline drops below it. The sensitivity envelope on launch cost is the machinery for that, and it is why launch cost rides as a first-class parameter in the one-at-a-time elasticity table rather than pinned at a single value. A finding that M* is favorable only against a high, static launch price is a weak finding, and the analysis is built to expose that weakness rather than hide it.</w:t>
      </w:r>
    </w:p>
    <w:bookmarkEnd w:id="136"/>
    <w:bookmarkStart w:id="137" w:name="X718b2ba92274a179b2c3e22e1b23a19d421906a"/>
    <w:p>
      <w:pPr>
        <w:pStyle w:val="Heading2"/>
        <w:spacing w:line="480" w:lineRule="auto"/>
      </w:pPr>
      <w:r>
        <w:t xml:space="preserve">7.9 Alternative explanations for the payback dominance</w:t>
      </w:r>
    </w:p>
    <w:p>
      <w:pPr>
        <w:pStyle w:val="FirstParagraph"/>
        <w:spacing w:line="480" w:lineRule="auto"/>
      </w:pPr>
      <w:r>
        <w:t xml:space="preserve">Intellectual honesty demands asking whether the dominance of mass payback over yield could carry an explanation other than the coupling mechanism, and two alternatives earn a hearing. The first is mechanical: mass payback and mass-energy efficiency might run so nearly collinear that the linear model just loads the shared variance onto whichever enters, and the yield coefficient collapses for reasons of multicollinearity rather than economics. This is partly true and partly the point. Payback and efficiency are coupled by design, which is the mechanism, but the log-log model meets the concern head-on by estimating their relationship as an elasticity rather than forcing them to compete as separate regressors, and it still finds a strong, more-than-proportional link. The collinearity is a feature of the trade space, not a statistical accident that explains the result away.</w:t>
      </w:r>
    </w:p>
    <w:p>
      <w:pPr>
        <w:pStyle w:val="BodyText"/>
        <w:spacing w:line="480" w:lineRule="auto"/>
        <w:ind w:firstLine="720"/>
      </w:pPr>
      <w:r>
        <w:t xml:space="preserve">The second alternative is compositional: the strategies might be arranged in the source table such that high-payback cases happen to bunch with high efficiency for reasons of how the study sampled the design space, rather than any physical coupling. The architecture indicators guard against the crudest version by soaking up design-class composition, and the fact that the payback relationship holds across carbothermal, water extraction, and both hybrid families argues against a clustering artifact confined to one design type. Neither alternative is fully excludable from inside a modeled table, which is why external replication is named the decisive future test in Chapter 8. What can be said is that the two most plausible non-mechanism explanations are each partly met by the second estimator and the architecture controls, and that the burden they lay on the conclusion is caught in the calibrated weight the next section assigns.</w:t>
      </w:r>
    </w:p>
    <w:bookmarkEnd w:id="137"/>
    <w:bookmarkStart w:id="138" w:name="X8ac712132dbf3fb58ebf461c970c29ffd797869"/>
    <w:p>
      <w:pPr>
        <w:pStyle w:val="Heading2"/>
        <w:spacing w:line="480" w:lineRule="auto"/>
      </w:pPr>
      <w:r>
        <w:t xml:space="preserve">7.10 The gap between a modeled table and a delivered plant</w:t>
      </w:r>
    </w:p>
    <w:p>
      <w:pPr>
        <w:pStyle w:val="FirstParagraph"/>
        <w:spacing w:line="480" w:lineRule="auto"/>
      </w:pPr>
      <w:r>
        <w:t xml:space="preserve">The single most consequential limitation, sitting under all four named threats, is that the 36 observations describe modeled strategies while the conclusion is meant to inform real plants. The gap between the two is no rhetorical caveat; it is measurable in the one place the field holds flight data. The MOXIE experiment made oxygen on Mars, and its pre-landing planning documented the distance between what the models expected and what an operating unit does under real thermal, dust, and power conditions</w:t>
      </w:r>
      <w:r>
        <w:t xml:space="preserve"> </w:t>
      </w:r>
      <w:hyperlink w:anchor="ref-28">
        <w:r>
          <w:rPr>
            <w:rStyle w:val="Hyperlink"/>
          </w:rPr>
          <w:t xml:space="preserve">[28]</w:t>
        </w:r>
      </w:hyperlink>
      <w:r>
        <w:t xml:space="preserve">. That gap opened for a small, heavily instrumented, well-funded flagship instrument. It would open wider, not narrower, for a first industrial-scale lunar plant standing up amid abrasive regolith, brutal thermal cycling, and no local maintenance base.</w:t>
      </w:r>
    </w:p>
    <w:p>
      <w:pPr>
        <w:pStyle w:val="BodyText"/>
        <w:spacing w:line="480" w:lineRule="auto"/>
        <w:ind w:firstLine="720"/>
      </w:pPr>
      <w:r>
        <w:t xml:space="preserve">The disciplined response is to state exactly which claims cross the gap and which stay this side of it. The claim that payback rules yield in the published design space need not cross the gap, since it is a statement about the table and is verified inside it. The claim that a specific architecture will recoup on the Moon does cross the gap, and it inherits every uncertainty the gap carries. The dissertation keeps these on opposite sides of a line. The strong, table-internal finding is offered as a screen trustworthy now; the plant-level cost-reduction claim is offered only as conditional on assumptions flight experience says reality will test hard.</w:t>
      </w:r>
    </w:p>
    <w:bookmarkEnd w:id="138"/>
    <w:bookmarkStart w:id="139" w:name="how-much-weight-the-conclusion-can-bear"/>
    <w:p>
      <w:pPr>
        <w:pStyle w:val="Heading2"/>
        <w:spacing w:line="480" w:lineRule="auto"/>
      </w:pPr>
      <w:r>
        <w:t xml:space="preserve">7.11 How much weight the conclusion can bear</w:t>
      </w:r>
    </w:p>
    <w:p>
      <w:pPr>
        <w:pStyle w:val="FirstParagraph"/>
        <w:spacing w:line="480" w:lineRule="auto"/>
      </w:pPr>
      <w:r>
        <w:t xml:space="preserve">Set the threats together. The verdict is a matter of weight, not of yes or no, and the appropriate weight on the conclusion turns out to be calibrated, neither zero nor full but pinned to what each separate claim can carry on its own evidence. The plant-side relationships are strongly supported inside the source: mass payback rules yield, and payback climbs elastically with efficiency, both at high precision and both steady across two specifications. These are the firmest claims and they can carry real weight as a screening result. A candidate architecture that cannot reach favorable payback and efficiency under these optimistic published assumptions should not be treated as a near-term landed-cost reducer, and that negative screen is a robust use of the finding.</w:t>
      </w:r>
    </w:p>
    <w:p>
      <w:pPr>
        <w:pStyle w:val="BodyText"/>
        <w:spacing w:line="480" w:lineRule="auto"/>
        <w:ind w:firstLine="720"/>
      </w:pPr>
      <w:r>
        <w:t xml:space="preserve">The positive claim, that a specific architecture will cut landed cost on the Moon, can carry far less weight, because it leans on the source lineage’s assumptions being unbiased, on the demand horizon being real, on the terrestrial ramp analog holding for a first-of-a-kind facility, on the launch baseline not falling faster than the plant amortizes, and on cost parameters the table never measured. Each is a separate point of failure, and a favorable breakeven mass needs all of them to hold at once, a demanding conjunction. The calibration is therefore asymmetric by design: a negative screen rests on the strong table-internal finding and fails only if that finding is an artifact, while a positive verdict rests on the conjunction of several weakly constrained external assumptions and fails if any one breaks. The dissertation’s contribution is honest about that asymmetry. It offers a disciplined screen and a conservative lower-bound threshold, not a business case, and it treats the difference between the two as intellectual hygiene rather than a shortcoming to paper over. Chapter 8 states the contribution in those terms and lays out the work that would push the plant-side finding toward the campaign-level cost curves the full claim would demand.</w:t>
      </w:r>
    </w:p>
    <w:bookmarkEnd w:id="139"/>
    <w:bookmarkEnd w:id="140"/>
    <w:bookmarkStart w:id="195" w:name="chapter-8.-conclusions-and-implications"/>
    <w:p>
      <w:pPr>
        <w:pStyle w:val="Heading1"/>
        <w:spacing w:line="480" w:lineRule="auto"/>
      </w:pPr>
      <w:r>
        <w:t xml:space="preserve">Chapter 8. Conclusions and Implications</w:t>
      </w:r>
    </w:p>
    <w:p>
      <w:pPr>
        <w:pStyle w:val="FirstParagraph"/>
        <w:spacing w:line="480" w:lineRule="auto"/>
      </w:pPr>
      <w:r>
        <w:t xml:space="preserve">The dissertation opened on one overworked sentence and a demand that it earn itself. Local resources will lower the cost of operating in space. Eight chapters on, the sentence is neither vindicated nor thrown out. It is disciplined. The cost-reduction claim now hangs on a number, a threshold mass at which local production passes launch, and on a specific, tested statement of which plant attributes move that threshold. This closing chapter puts the contribution in plain terms, draws out what it means for governance and program decisions, and traces the road that would carry the finding from a screen to a full business case.</w:t>
      </w:r>
    </w:p>
    <w:bookmarkStart w:id="141" w:name="the-contribution-stated-plainly"/>
    <w:p>
      <w:pPr>
        <w:pStyle w:val="Heading2"/>
        <w:spacing w:line="480" w:lineRule="auto"/>
      </w:pPr>
      <w:r>
        <w:t xml:space="preserve">8.1 The contribution, stated plainly</w:t>
      </w:r>
    </w:p>
    <w:p>
      <w:pPr>
        <w:pStyle w:val="FirstParagraph"/>
        <w:spacing w:line="480" w:lineRule="auto"/>
      </w:pPr>
      <w:r>
        <w:t xml:space="preserve">Put it directly. The contribution is a falsifiable reframing of the lunar in-situ resource utilization cost question, anchored by two empirical results and a breakeven condition that swallows them. That condition is M*, the least cumulative production mass at which the discounted landed cost of a kilogram of locally produced oxygen or propellant is no greater than the Earth-launched baseline’s. Casting the cost question as a single threshold, judged against an exogenous demand horizon, turns a rhetorical claim into one that can be shown wrong.</w:t>
      </w:r>
    </w:p>
    <w:p>
      <w:pPr>
        <w:pStyle w:val="BodyText"/>
        <w:spacing w:line="480" w:lineRule="auto"/>
        <w:ind w:firstLine="720"/>
      </w:pPr>
      <w:r>
        <w:t xml:space="preserve">The two empirical results give the threshold its plant-side footing. From 36 real observations in a published lunar oxygen facility strategy table, mass payback is the dominant predictor of energy-adjusted performance, with a coefficient of 0.4000 estimated at p = 8.25e-63 and an R2 of 0.9032, while oxygen yield, once payback is controlled, reads as indistinguishable from zero</w:t>
      </w:r>
      <w:r>
        <w:t xml:space="preserve"> </w:t>
      </w:r>
      <w:hyperlink w:anchor="ref-5">
        <w:r>
          <w:rPr>
            <w:rStyle w:val="Hyperlink"/>
          </w:rPr>
          <w:t xml:space="preserve">[5]</w:t>
        </w:r>
      </w:hyperlink>
      <w:r>
        <w:t xml:space="preserve">. From the same 36 observations, mass payback climbs elastically with mass-energy efficiency, at an elasticity of 1.1261 with p = 1.94e-32 and an R2 of 0.6907. The two findings converge on one reframing: breakeven for lunar oxygen is a portfolio and architecture problem, governed by the coupled pair of mass payback and energy efficiency, not a race to maximize yield. That reframing, made testable and reproducible from named sources, is what the dissertation adds to the field.</w:t>
      </w:r>
    </w:p>
    <w:bookmarkEnd w:id="141"/>
    <w:bookmarkStart w:id="142" w:name="why-this-matters-beyond-the-estimate"/>
    <w:p>
      <w:pPr>
        <w:pStyle w:val="Heading2"/>
        <w:spacing w:line="480" w:lineRule="auto"/>
      </w:pPr>
      <w:r>
        <w:t xml:space="preserve">8.2 Why this matters beyond the estimate</w:t>
      </w:r>
    </w:p>
    <w:p>
      <w:pPr>
        <w:pStyle w:val="FirstParagraph"/>
        <w:spacing w:line="480" w:lineRule="auto"/>
      </w:pPr>
      <w:r>
        <w:t xml:space="preserve">A single defensible number shifts the conversation. Its worth is easy to underrate, and easy to underrate precisely because a number looks so much smaller on the page than the sprawling literature it replaces, even as it does the one thing that literature could never quite manage. Before it, a program manager reading the literature could not recover a threshold above which local production is the cheaper option; the trade studies tuned inside architectures and never gathered into a common ledger</w:t>
      </w:r>
      <w:r>
        <w:t xml:space="preserve"> </w:t>
      </w:r>
      <w:hyperlink w:anchor="ref-1">
        <w:r>
          <w:rPr>
            <w:rStyle w:val="Hyperlink"/>
          </w:rPr>
          <w:t xml:space="preserve">[1]</w:t>
        </w:r>
      </w:hyperlink>
      <w:r>
        <w:t xml:space="preserve"> </w:t>
      </w:r>
      <w:hyperlink w:anchor="ref-2">
        <w:r>
          <w:rPr>
            <w:rStyle w:val="Hyperlink"/>
          </w:rPr>
          <w:t xml:space="preserve">[2]</w:t>
        </w:r>
      </w:hyperlink>
      <w:r>
        <w:t xml:space="preserve"> </w:t>
      </w:r>
      <w:hyperlink w:anchor="ref-5">
        <w:r>
          <w:rPr>
            <w:rStyle w:val="Hyperlink"/>
          </w:rPr>
          <w:t xml:space="preserve">[5]</w:t>
        </w:r>
      </w:hyperlink>
      <w:r>
        <w:t xml:space="preserve">. After it, the same manager holds a screen. Given a candidate architecture’s published mass, energy, and payback figures, she can set it against the breakeven relationship and drop it into one of three bins: a near-term landed-cost reducer, a technology owed a pilot demonstration before anyone trusts it, or a bench study that has no business being sold as an economic win yet. That sorting capability is the practical deliverable. It is kept small on purpose, made hard to fake on purpose, and built so that a manager can defend the bin she assigns to a hostile reviewer by pointing at published figures rather than at her own confidence.</w:t>
      </w:r>
    </w:p>
    <w:p>
      <w:pPr>
        <w:pStyle w:val="BodyText"/>
        <w:spacing w:line="480" w:lineRule="auto"/>
        <w:ind w:firstLine="720"/>
      </w:pPr>
      <w:r>
        <w:t xml:space="preserve">The reframing also mends a category error that keeps surfacing in policy talk. Local production gets treated as automatically better than Earth launch simply because the resource is there. The evidence refutes that. Presence is not an advantage on its own. Local production carries its own capital cost, delivery cost, power appetite, autonomy burden, and risk, and its edge shows only when output scales against system mass and when demand can absorb the output. The elasticity result puts that condition into measurable form, and payback’s dominance over yield tells planners which attribute to press first.</w:t>
      </w:r>
    </w:p>
    <w:bookmarkEnd w:id="142"/>
    <w:bookmarkStart w:id="143" w:name="governance-and-program-relevance"/>
    <w:p>
      <w:pPr>
        <w:pStyle w:val="Heading2"/>
        <w:spacing w:line="480" w:lineRule="auto"/>
      </w:pPr>
      <w:r>
        <w:t xml:space="preserve">8.3 Governance and program relevance</w:t>
      </w:r>
    </w:p>
    <w:p>
      <w:pPr>
        <w:pStyle w:val="FirstParagraph"/>
        <w:spacing w:line="480" w:lineRule="auto"/>
      </w:pPr>
      <w:r>
        <w:t xml:space="preserve">For a sponsor allocating capital in an Artemis-era architecture, the finding changes which questions the acquisition process should put to a proposed resource plant. A demonstration reporting grams of oxygen produced or extraction percentage, without tying production to landed system mass, leaves the breakeven question open and should not pass as evidence of economic promise. Pilot demonstrations should be required to report mass payback and energy-adjusted productivity as primary measures, a concrete, actionable standard that follows straight from the result that payback, not yield, drives the economics.</w:t>
      </w:r>
    </w:p>
    <w:p>
      <w:pPr>
        <w:pStyle w:val="BodyText"/>
        <w:spacing w:line="480" w:lineRule="auto"/>
        <w:ind w:firstLine="720"/>
      </w:pPr>
      <w:r>
        <w:t xml:space="preserve">The finding also hands over a disciplined vocabulary for the cost-share negotiations that decide public and private commitments. A breakeven mass judged against an exogenous demand horizon lets a sponsor state the condition under which a plant recoups without pretending to forecast the market. The mining-feasibility argument reinforces this program logic, insisting that resource confidence, process performance, capital intensity, operating reliability, and staged decision gates be settled before a technology counts as economically proven</w:t>
      </w:r>
      <w:r>
        <w:t xml:space="preserve"> </w:t>
      </w:r>
      <w:hyperlink w:anchor="ref-2">
        <w:r>
          <w:rPr>
            <w:rStyle w:val="Hyperlink"/>
          </w:rPr>
          <w:t xml:space="preserve">[2]</w:t>
        </w:r>
      </w:hyperlink>
      <w:r>
        <w:t xml:space="preserve">. A breakeven screen is one gate inside that staged discipline, and it lets a program ask whether a technology is ready for pilot demonstration, whether it should stay a bench study, or whether it needs a different infrastructure assumption before it turns credible. The situational-awareness evidence adds a procedural requirement: because designers latch onto partial information, the parameter assumptions behind any plant’s cost case should be pre-registered and auditable, not asserted after the fact</w:t>
      </w:r>
      <w:r>
        <w:t xml:space="preserve"> </w:t>
      </w:r>
      <w:hyperlink w:anchor="ref-7">
        <w:r>
          <w:rPr>
            <w:rStyle w:val="Hyperlink"/>
          </w:rPr>
          <w:t xml:space="preserve">[7]</w:t>
        </w:r>
      </w:hyperlink>
      <w:r>
        <w:t xml:space="preserve">.</w:t>
      </w:r>
    </w:p>
    <w:bookmarkEnd w:id="143"/>
    <w:bookmarkStart w:id="144" w:name="the-finding-tied-back-to-demand"/>
    <w:p>
      <w:pPr>
        <w:pStyle w:val="Heading2"/>
        <w:spacing w:line="480" w:lineRule="auto"/>
      </w:pPr>
      <w:r>
        <w:t xml:space="preserve">8.4 The finding tied back to demand</w:t>
      </w:r>
    </w:p>
    <w:p>
      <w:pPr>
        <w:pStyle w:val="FirstParagraph"/>
        <w:spacing w:line="480" w:lineRule="auto"/>
      </w:pPr>
      <w:r>
        <w:t xml:space="preserve">None of the plant-side discipline stands in for demand realism, and the conclusion would be dishonest to hint otherwise. A plant with strong mass payback realizes its worth only if missions can consume or store its output. The flexible-design and scale-of-operations literatures both show demand assumptions can govern plant sizing and operational worth</w:t>
      </w:r>
      <w:r>
        <w:t xml:space="preserve"> </w:t>
      </w:r>
      <w:hyperlink w:anchor="ref-5">
        <w:r>
          <w:rPr>
            <w:rStyle w:val="Hyperlink"/>
          </w:rPr>
          <w:t xml:space="preserve">[5]</w:t>
        </w:r>
      </w:hyperlink>
      <w:r>
        <w:t xml:space="preserve"> </w:t>
      </w:r>
      <w:hyperlink w:anchor="ref-13">
        <w:r>
          <w:rPr>
            <w:rStyle w:val="Hyperlink"/>
          </w:rPr>
          <w:t xml:space="preserve">[13]</w:t>
        </w:r>
      </w:hyperlink>
      <w:r>
        <w:t xml:space="preserve">. A high-performance plant serving fitful demand never reaches the cumulative output at which it breaks even, while the same plant serving high, dependable demand earns a lasting logistics edge. The breakeven mass names the plant-side condition for success. It does not, and cannot, guarantee the demand horizon it is judged against will arrive, and a responsible program pairs the plant-side screen with an equally disciplined demand assessment.</w:t>
      </w:r>
    </w:p>
    <w:bookmarkEnd w:id="144"/>
    <w:bookmarkStart w:id="145" w:name="limits-carried-into-the-conclusion"/>
    <w:p>
      <w:pPr>
        <w:pStyle w:val="Heading2"/>
        <w:spacing w:line="480" w:lineRule="auto"/>
      </w:pPr>
      <w:r>
        <w:t xml:space="preserve">8.5 Limits carried into the conclusion</w:t>
      </w:r>
    </w:p>
    <w:p>
      <w:pPr>
        <w:pStyle w:val="FirstParagraph"/>
        <w:spacing w:line="480" w:lineRule="auto"/>
      </w:pPr>
      <w:r>
        <w:t xml:space="preserve">The confidence of these conclusions is calibrated to the evidence, as Chapter 7 argued at length. The plant-side relationships are strongly supported inside the source and steady across two specifications, so they can carry real weight as a screening result. The positive claim that a specific architecture will cut landed cost on the Moon carries far less, because it leans on the source lineage’s assumptions being unbiased, on the terrestrial ramp analog holding for a first-of-a-kind facility, on cost parameters the strategy table never measured, and on a demand horizon that may not arrive</w:t>
      </w:r>
      <w:r>
        <w:t xml:space="preserve"> </w:t>
      </w:r>
      <w:hyperlink w:anchor="ref-2">
        <w:r>
          <w:rPr>
            <w:rStyle w:val="Hyperlink"/>
          </w:rPr>
          <w:t xml:space="preserve">[2]</w:t>
        </w:r>
      </w:hyperlink>
      <w:r>
        <w:t xml:space="preserve"> </w:t>
      </w:r>
      <w:hyperlink w:anchor="ref-7">
        <w:r>
          <w:rPr>
            <w:rStyle w:val="Hyperlink"/>
          </w:rPr>
          <w:t xml:space="preserve">[7]</w:t>
        </w:r>
      </w:hyperlink>
      <w:r>
        <w:t xml:space="preserve"> </w:t>
      </w:r>
      <w:hyperlink w:anchor="ref-28">
        <w:r>
          <w:rPr>
            <w:rStyle w:val="Hyperlink"/>
          </w:rPr>
          <w:t xml:space="preserve">[28]</w:t>
        </w:r>
      </w:hyperlink>
      <w:r>
        <w:t xml:space="preserve">. The dissertation offers a disciplined screen and a conservative lower-bound threshold, not a business case. Keeping the two apart is the intellectual hygiene that lets the strong claim stay strong and keeps the weak claim from borrowing its authority.</w:t>
      </w:r>
    </w:p>
    <w:bookmarkEnd w:id="145"/>
    <w:bookmarkStart w:id="146" w:name="future-work"/>
    <w:p>
      <w:pPr>
        <w:pStyle w:val="Heading2"/>
        <w:spacing w:line="480" w:lineRule="auto"/>
      </w:pPr>
      <w:r>
        <w:t xml:space="preserve">8.6 Future work</w:t>
      </w:r>
    </w:p>
    <w:p>
      <w:pPr>
        <w:pStyle w:val="FirstParagraph"/>
        <w:spacing w:line="480" w:lineRule="auto"/>
      </w:pPr>
      <w:r>
        <w:t xml:space="preserve">Three extensions would carry the finding forward, and each is a concrete project rather than a gesture. The first is to tie the plant-side relationship established here to campaign-level landed-cost curves, folding in launch price, cislunar transportation demand, and logistics simulation so M* is estimated inside a full transportation network rather than against a lone plant. The Mars integrated-logistics literature shows how such coupling can be built</w:t>
      </w:r>
      <w:r>
        <w:t xml:space="preserve"> </w:t>
      </w:r>
      <w:hyperlink w:anchor="ref-23">
        <w:r>
          <w:rPr>
            <w:rStyle w:val="Hyperlink"/>
          </w:rPr>
          <w:t xml:space="preserve">[23]</w:t>
        </w:r>
      </w:hyperlink>
      <w:r>
        <w:t xml:space="preserve">, and the lunar case would adapt it to cislunar transfer and depot concepts.</w:t>
      </w:r>
    </w:p>
    <w:p>
      <w:pPr>
        <w:pStyle w:val="BodyText"/>
        <w:spacing w:line="480" w:lineRule="auto"/>
        <w:ind w:firstLine="720"/>
      </w:pPr>
      <w:r>
        <w:t xml:space="preserve">The second is external replication of the strategy table’s parameters. The single most valuable robustness gain would be to re-estimate the payback and efficiency relationships from an independent research lineage, testing whether payback’s dominance over yield survives outside the source group’s assumptions. Materials-characterization work on regolith behavior and electrolysis products offers grounded, independent inputs for regolith grade and process performance such a replication could draw on</w:t>
      </w:r>
      <w:r>
        <w:t xml:space="preserve"> </w:t>
      </w:r>
      <w:hyperlink w:anchor="ref-22">
        <w:r>
          <w:rPr>
            <w:rStyle w:val="Hyperlink"/>
          </w:rPr>
          <w:t xml:space="preserve">[22]</w:t>
        </w:r>
      </w:hyperlink>
      <w:r>
        <w:t xml:space="preserve"> </w:t>
      </w:r>
      <w:hyperlink w:anchor="ref-26">
        <w:r>
          <w:rPr>
            <w:rStyle w:val="Hyperlink"/>
          </w:rPr>
          <w:t xml:space="preserve">[26]</w:t>
        </w:r>
      </w:hyperlink>
      <w:r>
        <w:t xml:space="preserve">.</w:t>
      </w:r>
    </w:p>
    <w:p>
      <w:pPr>
        <w:pStyle w:val="BodyText"/>
        <w:spacing w:line="480" w:lineRule="auto"/>
        <w:ind w:firstLine="720"/>
      </w:pPr>
      <w:r>
        <w:t xml:space="preserve">The third is to relax demand exogeneity in a controlled way, building a staged model in which demand answers to the lunar price of propellant, so the lower-bound threshold established here can be set against a fuller market treatment. This would test how far the conservative exogenous result understates or overstates the breakeven mass once feedback is admitted, and it would tie the plant-side finding to the demand-dominance results that motivate treating demand carefully in the first place</w:t>
      </w:r>
      <w:r>
        <w:t xml:space="preserve"> </w:t>
      </w:r>
      <w:hyperlink w:anchor="ref-5">
        <w:r>
          <w:rPr>
            <w:rStyle w:val="Hyperlink"/>
          </w:rPr>
          <w:t xml:space="preserve">[5]</w:t>
        </w:r>
      </w:hyperlink>
      <w:r>
        <w:t xml:space="preserve"> </w:t>
      </w:r>
      <w:hyperlink w:anchor="ref-13">
        <w:r>
          <w:rPr>
            <w:rStyle w:val="Hyperlink"/>
          </w:rPr>
          <w:t xml:space="preserve">[13]</w:t>
        </w:r>
      </w:hyperlink>
      <w:r>
        <w:t xml:space="preserve">.</w:t>
      </w:r>
    </w:p>
    <w:bookmarkEnd w:id="146"/>
    <w:bookmarkStart w:id="147" w:name="Xf7f50def26ab8804135a74263596b0706cf7b5c"/>
    <w:p>
      <w:pPr>
        <w:pStyle w:val="Heading2"/>
        <w:spacing w:line="480" w:lineRule="auto"/>
      </w:pPr>
      <w:r>
        <w:t xml:space="preserve">8.7 A worked reading of the estimates for a decision-maker</w:t>
      </w:r>
    </w:p>
    <w:p>
      <w:pPr>
        <w:pStyle w:val="FirstParagraph"/>
        <w:spacing w:line="480" w:lineRule="auto"/>
      </w:pPr>
      <w:r>
        <w:t xml:space="preserve">Walking one concrete reading helps, because an abstract threshold is easy to nod at and hard to use. Suppose a sponsor is handed two candidate architectures. The first is a carbothermal reduction plant sold on its yield: it extracts oxygen at roughly 11.7 percent of processed regolith at its expected point, an impressive chemistry number. The second is a water extraction plant with an unimpressive expected yield near 2.5 percent. On the yield metric the first plant wins outright, and a program ranking on chemistry would fund it. The strategy table says the ranking runs backwards. For the economics that count, the loser on yield is the winner. The carbothermal option posts expected mass payback near 6.5 and mass-energy efficiency near 2.8, while the water extraction option posts expected payback near 16.3 and efficiency near 7.3</w:t>
      </w:r>
      <w:r>
        <w:t xml:space="preserve"> </w:t>
      </w:r>
      <w:hyperlink w:anchor="ref-5">
        <w:r>
          <w:rPr>
            <w:rStyle w:val="Hyperlink"/>
          </w:rPr>
          <w:t xml:space="preserve">[5]</w:t>
        </w:r>
      </w:hyperlink>
      <w:r>
        <w:t xml:space="preserve">. The plant with a quarter of the yield returns more than twice the oxygen per unit of landed system mass and runs more than twice as energy efficient. The payback coefficient of 0.4000 and the elasticity of 1.1261 are the statistical statement of exactly that reversal, and a decision-maker who takes them aboard will press payback and efficiency before ever glancing at the yield chart.</w:t>
      </w:r>
    </w:p>
    <w:p>
      <w:pPr>
        <w:pStyle w:val="BodyText"/>
        <w:spacing w:line="480" w:lineRule="auto"/>
        <w:ind w:firstLine="720"/>
      </w:pPr>
      <w:r>
        <w:t xml:space="preserve">The reading carries over to the hybrids. The series strategies show that chaining pathways can occupy a distinct and favorable region, matching the significant series indicator of 0.9042 at p = 0.0034 in the first model. A program screening a portfolio would therefore not toss the lower-yield and hybrid options; it would rank the whole candidate set on the coupled payback-efficiency pair and hold yield back as a supporting check. This is a different acquisition instinct from the one the field has defaulted to, and it is the instinct the evidence backs.</w:t>
      </w:r>
    </w:p>
    <w:bookmarkEnd w:id="147"/>
    <w:bookmarkStart w:id="148" w:name="the-methodological-legacy"/>
    <w:p>
      <w:pPr>
        <w:pStyle w:val="Heading2"/>
        <w:spacing w:line="480" w:lineRule="auto"/>
      </w:pPr>
      <w:r>
        <w:t xml:space="preserve">8.8 The methodological legacy</w:t>
      </w:r>
    </w:p>
    <w:p>
      <w:pPr>
        <w:pStyle w:val="FirstParagraph"/>
        <w:spacing w:line="480" w:lineRule="auto"/>
      </w:pPr>
      <w:r>
        <w:t xml:space="preserve">A contribution lives here that outlasts the specific number. The dissertation shows that a contested economic claim in a data-starved domain can still be made falsifiable, provided the claim is squeezed into a single threshold, judged against an exogenous horizon, and fed by relationships estimated transparently from named sources with pre-registered assumptions. That template is not peculiar to lunar oxygen; it fits any space-resource claim carried on advocacy, whether asteroid volatiles, Mars propellant, or orbital manufacturing feedstock. In each the same discipline is available: define the breakeven quantity, source the plant-side relationships from published tables, hold demand exogenous for a lower-bound test, pre-register the parameters, and report the estimator output exactly. The MOXIE experience and the Mars integrated-logistics work suggest the Martian case is the template’s natural next application</w:t>
      </w:r>
      <w:r>
        <w:t xml:space="preserve"> </w:t>
      </w:r>
      <w:hyperlink w:anchor="ref-23">
        <w:r>
          <w:rPr>
            <w:rStyle w:val="Hyperlink"/>
          </w:rPr>
          <w:t xml:space="preserve">[23]</w:t>
        </w:r>
      </w:hyperlink>
      <w:r>
        <w:t xml:space="preserve"> </w:t>
      </w:r>
      <w:hyperlink w:anchor="ref-28">
        <w:r>
          <w:rPr>
            <w:rStyle w:val="Hyperlink"/>
          </w:rPr>
          <w:t xml:space="preserve">[28]</w:t>
        </w:r>
      </w:hyperlink>
      <w:r>
        <w:t xml:space="preserve">.</w:t>
      </w:r>
    </w:p>
    <w:p>
      <w:pPr>
        <w:pStyle w:val="BodyText"/>
        <w:spacing w:line="480" w:lineRule="auto"/>
        <w:ind w:firstLine="720"/>
      </w:pPr>
      <w:r>
        <w:t xml:space="preserve">The insistence on reproducibility is part of that legacy. Publishing the model code, the parameter sheet, and the seeds is no formality; it is what turns a persuasive argument into a checkable one, and the situational-awareness evidence is why it is non-negotiable</w:t>
      </w:r>
      <w:r>
        <w:t xml:space="preserve"> </w:t>
      </w:r>
      <w:hyperlink w:anchor="ref-7">
        <w:r>
          <w:rPr>
            <w:rStyle w:val="Hyperlink"/>
          </w:rPr>
          <w:t xml:space="preserve">[7]</w:t>
        </w:r>
      </w:hyperlink>
      <w:r>
        <w:t xml:space="preserve">. A field that latches onto partial information cannot police its own optimism through peer persuasion alone. It needs artifacts a skeptic can run. Producing those artifacts, and building the whole argument to survive their scrutiny, is a habit the space-resource literature would gain from adopting well past this one estimate.</w:t>
      </w:r>
    </w:p>
    <w:bookmarkEnd w:id="148"/>
    <w:bookmarkStart w:id="149" w:name="X8744eba79df3084accc347f1716868e22706efe"/>
    <w:p>
      <w:pPr>
        <w:pStyle w:val="Heading2"/>
        <w:spacing w:line="480" w:lineRule="auto"/>
      </w:pPr>
      <w:r>
        <w:t xml:space="preserve">8.9 Three concrete recommendations for practice</w:t>
      </w:r>
    </w:p>
    <w:p>
      <w:pPr>
        <w:pStyle w:val="FirstParagraph"/>
        <w:spacing w:line="480" w:lineRule="auto"/>
      </w:pPr>
      <w:r>
        <w:t xml:space="preserve">The dissertation would be incomplete if it stopped at reframing without turning the reframing into things a program can actually do. Three recommendations follow straight from the evidence, and each is specific enough to be adopted or rejected on its merits.</w:t>
      </w:r>
    </w:p>
    <w:p>
      <w:pPr>
        <w:pStyle w:val="BodyText"/>
        <w:spacing w:line="480" w:lineRule="auto"/>
        <w:ind w:firstLine="720"/>
      </w:pPr>
      <w:r>
        <w:t xml:space="preserve">First, change what a resource-plant demonstration must report. A demonstration reporting oxygen produced or extraction percentage answers a question the economics do not turn on. Require every demonstration and every proposal to report mass payback, oxygen returned per unit of landed system mass, and mass-energy efficiency as primary figures of merit, with extraction yield reported as a supporting metric rather than the headline. This single reporting change would line the evidence a program gathers up with the attribute that actually sets breakeven, and it costs nothing to mandate.</w:t>
      </w:r>
    </w:p>
    <w:p>
      <w:pPr>
        <w:pStyle w:val="BodyText"/>
        <w:spacing w:line="480" w:lineRule="auto"/>
        <w:ind w:firstLine="720"/>
      </w:pPr>
      <w:r>
        <w:t xml:space="preserve">Second, judge breakeven against a declining launch baseline, not a frozen one. A plant that recoups against today’s launch price may not recoup against the price that holds when it operates, and a program judging against a static baseline will systematically overvalue local production. Require breakeven analyses to test M* against a launch-cost trajectory, with the sensitivity to launch price reported outright, so a favorable result cannot hide inside a stale price assumption. This recommendation is the direct program consequence of the moving-baseline threat, and it shields a sponsor from committing capital on a comparison time will invalidate.</w:t>
      </w:r>
    </w:p>
    <w:p>
      <w:pPr>
        <w:pStyle w:val="BodyText"/>
        <w:spacing w:line="480" w:lineRule="auto"/>
        <w:ind w:firstLine="720"/>
      </w:pPr>
      <w:r>
        <w:t xml:space="preserve">Third, require pre-registration of the parameter assumptions behind any resource-plant cost case. Because the design community latches onto partial information, a cost case whose central values were chosen after the wanted result was in view is untrustworthy, however precise its arithmetic</w:t>
      </w:r>
      <w:r>
        <w:t xml:space="preserve"> </w:t>
      </w:r>
      <w:hyperlink w:anchor="ref-7">
        <w:r>
          <w:rPr>
            <w:rStyle w:val="Hyperlink"/>
          </w:rPr>
          <w:t xml:space="preserve">[7]</w:t>
        </w:r>
      </w:hyperlink>
      <w:r>
        <w:t xml:space="preserve">. Require the central parameter sheet to be locked and disclosed before the sensitivity analysis runs, and the model code and seeds to accompany the submission. This turns the cost case from an assertion into an artifact a reviewer can run, the minimum condition for a breakeven claim to survive an adversarial program review.</w:t>
      </w:r>
    </w:p>
    <w:p>
      <w:pPr>
        <w:pStyle w:val="BodyText"/>
        <w:spacing w:line="480" w:lineRule="auto"/>
        <w:ind w:firstLine="720"/>
      </w:pPr>
      <w:r>
        <w:t xml:space="preserve">These three recommendations are modest, actionable, and mutually reinforcing. Together they would move lunar resource acquisition from a chemistry-ranked, static-baseline, assertion-based practice toward a payback-ranked, trajectory-aware, reproducible one, which is exactly the shift the evidence in this dissertation argues for.</w:t>
      </w:r>
    </w:p>
    <w:bookmarkEnd w:id="149"/>
    <w:bookmarkStart w:id="150" w:name="closing"/>
    <w:p>
      <w:pPr>
        <w:pStyle w:val="Heading2"/>
        <w:spacing w:line="480" w:lineRule="auto"/>
      </w:pPr>
      <w:r>
        <w:t xml:space="preserve">8.10 Closing</w:t>
      </w:r>
    </w:p>
    <w:p>
      <w:pPr>
        <w:pStyle w:val="FirstParagraph"/>
        <w:spacing w:line="480" w:lineRule="auto"/>
      </w:pPr>
      <w:r>
        <w:t xml:space="preserve">Come back, at the end, to the program manager from the opening chapter, scoping a surface architecture with real money and a real deadline. Before this study she could read the literature and find good engineering with no threshold; the trade studies tuned inside architectures and never resolved into the one number she needed to defend a decision. After it she holds a screen she can run, a threshold she can judge against an exogenous demand horizon, and a reason to press mass payback and energy efficiency before an extraction-yield chart impresses her. She holds something quieter and more valuable besides, which is permission to say no with evidence. A candidate plant that cannot reach favorable payback and efficiency under optimistic published assumptions is one she can decline without seeming to lack ambition, because the decline rests on a reproducible screen and not on instinct. Giving a decision-maker a defensible way to say no is often worth more than handing her a new thing to say yes to, and this dissertation supplies the former.</w:t>
      </w:r>
    </w:p>
    <w:p>
      <w:pPr>
        <w:pStyle w:val="BodyText"/>
        <w:spacing w:line="480" w:lineRule="auto"/>
        <w:ind w:firstLine="720"/>
      </w:pPr>
      <w:r>
        <w:t xml:space="preserve">The lunar cost-reduction claim has run for years on confidence rather than evidence. This dissertation does not settle whether the claim is true, because settling it takes operating plants that do not yet exist and demand that has not yet arrived. What it does is give the claim a shape it can be argued about, and in a data-starved field that is a larger achievement than it sounds. Arguments that cannot be lost cannot be won either. They just persist as advocacy, year after year, immune to the evidence that ought to settle them and impervious to the reviews that ought to test them. By pinning the cost-reduction claim to a single threshold, judged against an exogenous horizon, fed by transparently estimated relationships, this dissertation turns a durable article of faith into something a program review can actually adjudicate. The next lunar architecture decision need not be made on the strength of the sentence this study opened with. It can be made on the strength of a number, its uncertainty stated, its sources named, and its workings open to anyone willing to check them.</w:t>
      </w:r>
    </w:p>
    <w:p>
      <w:pPr>
        <w:pStyle w:val="BodyText"/>
        <w:spacing w:line="480" w:lineRule="auto"/>
        <w:ind w:firstLine="720"/>
      </w:pPr>
      <w:r>
        <w:t xml:space="preserve">What the dissertation does, in one line, is give the claim a shape it can be argued about. It names the threshold, M*, that decides the question. It shows, from 36 real observations, that the plant attributes governing that threshold are mass payback and energy efficiency, coupled and elastic, with raw yield a secondary concern. And it insists, throughout, that the evidence be reproducible from named sources and that the confidence of every claim be matched to what a modeled table can support. A breakeven claim that can be checked is worth more than an advocacy claim that cannot, and producing a checkable claim, its workings laid bare, is the whole of the contribution.</w:t>
      </w:r>
    </w:p>
    <w:bookmarkEnd w:id="150"/>
    <w:bookmarkStart w:id="194" w:name="references"/>
    <w:p>
      <w:pPr>
        <w:pStyle w:val="Heading2"/>
        <w:spacing w:line="480" w:lineRule="auto"/>
      </w:pPr>
      <w:r>
        <w:t xml:space="preserve">References</w:t>
      </w:r>
    </w:p>
    <w:p>
      <w:pPr>
        <w:pStyle w:val="FirstParagraph"/>
        <w:spacing w:line="480" w:lineRule="auto"/>
      </w:pPr>
      <w:bookmarkStart w:id="151" w:name="ref-1"/>
      <w:bookmarkEnd w:id="151"/>
      <w:r>
        <w:t xml:space="preserve">1. K. Ikeya, F. J. Guerrero-Gonzalez, L. Kiewiet, M.-A. Cardin, J. J. Cilliers, S. Starr, K. Hadler,</w:t>
      </w:r>
      <w:r>
        <w:t xml:space="preserve"> </w:t>
      </w:r>
      <w:r>
        <w:t xml:space="preserve">“Hybrid lunar ISRU plant: A comparative analysis with carbothermal reduction and water extraction,”</w:t>
      </w:r>
      <w:r>
        <w:t xml:space="preserve"> </w:t>
      </w:r>
      <w:r>
        <w:t xml:space="preserve">Acta Astronautica, Vol. 230, 2025. doi:</w:t>
      </w:r>
      <w:r>
        <w:t xml:space="preserve"> </w:t>
      </w:r>
      <w:hyperlink r:id="rId152">
        <w:r>
          <w:rPr>
            <w:rStyle w:val="Hyperlink"/>
          </w:rPr>
          <w:t xml:space="preserve">10.1016/j.actaastro.2025.02.004</w:t>
        </w:r>
      </w:hyperlink>
    </w:p>
    <w:p>
      <w:pPr>
        <w:pStyle w:val="BodyText"/>
        <w:spacing w:line="480" w:lineRule="auto"/>
        <w:ind w:firstLine="720"/>
      </w:pPr>
      <w:bookmarkStart w:id="153" w:name="ref-2"/>
      <w:bookmarkEnd w:id="153"/>
      <w:r>
        <w:t xml:space="preserve">2. B. McKeown, A. G. Dempster, S. Saydam, J. Coulton,</w:t>
      </w:r>
      <w:r>
        <w:t xml:space="preserve"> </w:t>
      </w:r>
      <w:r>
        <w:t xml:space="preserve">“Placing lunar resources research in the context of mining feasibility studies,”</w:t>
      </w:r>
      <w:r>
        <w:t xml:space="preserve"> </w:t>
      </w:r>
      <w:r>
        <w:t xml:space="preserve">Acta Astronautica, Vol. 233, 2025. doi:</w:t>
      </w:r>
      <w:r>
        <w:t xml:space="preserve"> </w:t>
      </w:r>
      <w:hyperlink r:id="rId154">
        <w:r>
          <w:rPr>
            <w:rStyle w:val="Hyperlink"/>
          </w:rPr>
          <w:t xml:space="preserve">10.1016/j.actaastro.2025.04.041</w:t>
        </w:r>
      </w:hyperlink>
    </w:p>
    <w:p>
      <w:pPr>
        <w:pStyle w:val="BodyText"/>
        <w:spacing w:line="480" w:lineRule="auto"/>
        <w:ind w:firstLine="720"/>
      </w:pPr>
      <w:bookmarkStart w:id="155" w:name="ref-3"/>
      <w:bookmarkEnd w:id="155"/>
      <w:r>
        <w:t xml:space="preserve">3. L. Salman, F. J. Guerrero-Gonzalez, R. Ubiennyh, G. Detrell, P. Reiss,</w:t>
      </w:r>
      <w:r>
        <w:t xml:space="preserve"> </w:t>
      </w:r>
      <w:r>
        <w:t xml:space="preserve">“In-situ manufacturing of photobioreactors on the Moon using local resources,”</w:t>
      </w:r>
      <w:r>
        <w:t xml:space="preserve"> </w:t>
      </w:r>
      <w:r>
        <w:t xml:space="preserve">Acta Astronautica, Vol. 236, 2025. doi:</w:t>
      </w:r>
      <w:r>
        <w:t xml:space="preserve"> </w:t>
      </w:r>
      <w:hyperlink r:id="rId156">
        <w:r>
          <w:rPr>
            <w:rStyle w:val="Hyperlink"/>
          </w:rPr>
          <w:t xml:space="preserve">10.1016/j.actaastro.2025.07.033</w:t>
        </w:r>
      </w:hyperlink>
    </w:p>
    <w:p>
      <w:pPr>
        <w:pStyle w:val="BodyText"/>
        <w:spacing w:line="480" w:lineRule="auto"/>
        <w:ind w:firstLine="720"/>
      </w:pPr>
      <w:bookmarkStart w:id="157" w:name="ref-4"/>
      <w:bookmarkEnd w:id="157"/>
      <w:r>
        <w:t xml:space="preserve">4. J. Robinot, S. Rodat, S. Abanades, A. Paillet, A. Cowley,</w:t>
      </w:r>
      <w:r>
        <w:t xml:space="preserve"> </w:t>
      </w:r>
      <w:r>
        <w:t xml:space="preserve">“Review of in-situ oxygen extraction from lunar regolith with focus on solar thermal and laser vacuum pyrolysis,”</w:t>
      </w:r>
      <w:r>
        <w:t xml:space="preserve"> </w:t>
      </w:r>
      <w:r>
        <w:t xml:space="preserve">Acta Astronautica, Vol. 234, 2025. doi:</w:t>
      </w:r>
      <w:r>
        <w:t xml:space="preserve"> </w:t>
      </w:r>
      <w:hyperlink r:id="rId158">
        <w:r>
          <w:rPr>
            <w:rStyle w:val="Hyperlink"/>
          </w:rPr>
          <w:t xml:space="preserve">10.1016/j.actaastro.2025.05.008</w:t>
        </w:r>
      </w:hyperlink>
    </w:p>
    <w:p>
      <w:pPr>
        <w:pStyle w:val="BodyText"/>
        <w:spacing w:line="480" w:lineRule="auto"/>
        <w:ind w:firstLine="720"/>
      </w:pPr>
      <w:bookmarkStart w:id="159" w:name="ref-5"/>
      <w:bookmarkEnd w:id="159"/>
      <w:r>
        <w:t xml:space="preserve">5. K. Ikeya, M.-A. Cardin, J. J. Cilliers, S. Starr, K. Hadler,</w:t>
      </w:r>
      <w:r>
        <w:t xml:space="preserve"> </w:t>
      </w:r>
      <w:r>
        <w:t xml:space="preserve">“Multi-objective decision-making for flexible design and planning of oxygen production facilities in an uncertain lunar environment,”</w:t>
      </w:r>
      <w:r>
        <w:t xml:space="preserve"> </w:t>
      </w:r>
      <w:r>
        <w:t xml:space="preserve">Acta Astronautica, Vol. 236, 2025. doi:</w:t>
      </w:r>
      <w:r>
        <w:t xml:space="preserve"> </w:t>
      </w:r>
      <w:hyperlink r:id="rId160">
        <w:r>
          <w:rPr>
            <w:rStyle w:val="Hyperlink"/>
          </w:rPr>
          <w:t xml:space="preserve">10.1016/j.actaastro.2025.07.014</w:t>
        </w:r>
      </w:hyperlink>
    </w:p>
    <w:p>
      <w:pPr>
        <w:pStyle w:val="BodyText"/>
        <w:spacing w:line="480" w:lineRule="auto"/>
        <w:ind w:firstLine="720"/>
      </w:pPr>
      <w:bookmarkStart w:id="161" w:name="ref-6"/>
      <w:bookmarkEnd w:id="161"/>
      <w:r>
        <w:t xml:space="preserve">6. OCEA,</w:t>
      </w:r>
      <w:r>
        <w:t xml:space="preserve"> </w:t>
      </w:r>
      <w:r>
        <w:t xml:space="preserve">“Forecasting the Space Economy,”</w:t>
      </w:r>
      <w:r>
        <w:t xml:space="preserve"> </w:t>
      </w:r>
      <w:r>
        <w:t xml:space="preserve">Space Economy Papers corpus, source key SD08.</w:t>
      </w:r>
    </w:p>
    <w:p>
      <w:pPr>
        <w:pStyle w:val="BodyText"/>
        <w:spacing w:line="480" w:lineRule="auto"/>
        <w:ind w:firstLine="720"/>
      </w:pPr>
      <w:bookmarkStart w:id="162" w:name="ref-7"/>
      <w:bookmarkEnd w:id="162"/>
      <w:r>
        <w:t xml:space="preserve">7. L. Malone, M.-A. Cardin, J. J. Cilliers, S. Starr, K. Hadler,</w:t>
      </w:r>
      <w:r>
        <w:t xml:space="preserve"> </w:t>
      </w:r>
      <w:r>
        <w:t xml:space="preserve">“Controlled user study on the role of situational awareness in design decisions for future lunar In-situ resource utilization systems,”</w:t>
      </w:r>
      <w:r>
        <w:t xml:space="preserve"> </w:t>
      </w:r>
      <w:r>
        <w:t xml:space="preserve">Acta Astronautica, Vol. 246, 2026. doi:</w:t>
      </w:r>
      <w:r>
        <w:t xml:space="preserve"> </w:t>
      </w:r>
      <w:hyperlink r:id="rId163">
        <w:r>
          <w:rPr>
            <w:rStyle w:val="Hyperlink"/>
          </w:rPr>
          <w:t xml:space="preserve">10.1016/j.actaastro.2026.04.012</w:t>
        </w:r>
      </w:hyperlink>
    </w:p>
    <w:p>
      <w:pPr>
        <w:pStyle w:val="BodyText"/>
        <w:spacing w:line="480" w:lineRule="auto"/>
        <w:ind w:firstLine="720"/>
      </w:pPr>
      <w:bookmarkStart w:id="164" w:name="ref-8"/>
      <w:bookmarkEnd w:id="164"/>
      <w:r>
        <w:t xml:space="preserve">8. B. McKeown, A. G. Dempster, S. Saydam, and J. Coulton,</w:t>
      </w:r>
      <w:r>
        <w:t xml:space="preserve"> </w:t>
      </w:r>
      <w:r>
        <w:t xml:space="preserve">“Placing lunar resources research in the context of mining feasibility studies,”</w:t>
      </w:r>
      <w:r>
        <w:t xml:space="preserve"> </w:t>
      </w:r>
      <w:r>
        <w:t xml:space="preserve">Acta Astronautica, vol. 233, 2025. doi:</w:t>
      </w:r>
      <w:r>
        <w:t xml:space="preserve"> </w:t>
      </w:r>
      <w:hyperlink r:id="rId154">
        <w:r>
          <w:rPr>
            <w:rStyle w:val="Hyperlink"/>
          </w:rPr>
          <w:t xml:space="preserve">10.1016/j.actaastro.2025.04.041</w:t>
        </w:r>
      </w:hyperlink>
    </w:p>
    <w:p>
      <w:pPr>
        <w:pStyle w:val="BodyText"/>
        <w:spacing w:line="480" w:lineRule="auto"/>
        <w:ind w:firstLine="720"/>
      </w:pPr>
      <w:bookmarkStart w:id="165" w:name="ref-9"/>
      <w:bookmarkEnd w:id="165"/>
      <w:r>
        <w:t xml:space="preserve">9. L. Salman, F. J. Guerrero-Gonzalez, R. Ubiennyh, G. Detrell, and P. Reiss,</w:t>
      </w:r>
      <w:r>
        <w:t xml:space="preserve"> </w:t>
      </w:r>
      <w:r>
        <w:t xml:space="preserve">“In-situ manufacturing of photobioreactors on the Moon using local resources,”</w:t>
      </w:r>
      <w:r>
        <w:t xml:space="preserve"> </w:t>
      </w:r>
      <w:r>
        <w:t xml:space="preserve">Acta Astronautica, vol. 236, 2025. doi:</w:t>
      </w:r>
      <w:r>
        <w:t xml:space="preserve"> </w:t>
      </w:r>
      <w:hyperlink r:id="rId156">
        <w:r>
          <w:rPr>
            <w:rStyle w:val="Hyperlink"/>
          </w:rPr>
          <w:t xml:space="preserve">10.1016/j.actaastro.2025.07.033</w:t>
        </w:r>
      </w:hyperlink>
    </w:p>
    <w:p>
      <w:pPr>
        <w:pStyle w:val="BodyText"/>
        <w:spacing w:line="480" w:lineRule="auto"/>
        <w:ind w:firstLine="720"/>
      </w:pPr>
      <w:bookmarkStart w:id="166" w:name="ref-10"/>
      <w:bookmarkEnd w:id="166"/>
      <w:r>
        <w:t xml:space="preserve">10. J. Robinot, S. Rodat, S. Abanades, A. Paillet, and A. Cowley,</w:t>
      </w:r>
      <w:r>
        <w:t xml:space="preserve"> </w:t>
      </w:r>
      <w:r>
        <w:t xml:space="preserve">“Review of in-situ oxygen extraction from lunar regolith with focus on solar thermal and laser vacuum pyrolysis,”</w:t>
      </w:r>
      <w:r>
        <w:t xml:space="preserve"> </w:t>
      </w:r>
      <w:r>
        <w:t xml:space="preserve">Acta Astronautica, vol. 234, 2025. doi:</w:t>
      </w:r>
      <w:r>
        <w:t xml:space="preserve"> </w:t>
      </w:r>
      <w:hyperlink r:id="rId158">
        <w:r>
          <w:rPr>
            <w:rStyle w:val="Hyperlink"/>
          </w:rPr>
          <w:t xml:space="preserve">10.1016/j.actaastro.2025.05.008</w:t>
        </w:r>
      </w:hyperlink>
    </w:p>
    <w:p>
      <w:pPr>
        <w:pStyle w:val="BodyText"/>
        <w:spacing w:line="480" w:lineRule="auto"/>
        <w:ind w:firstLine="720"/>
      </w:pPr>
      <w:bookmarkStart w:id="167" w:name="ref-11"/>
      <w:bookmarkEnd w:id="167"/>
      <w:r>
        <w:t xml:space="preserve">11. K. Ikeya, M.-A. Cardin, J. J. Cilliers, S. Starr, and K. Hadler,</w:t>
      </w:r>
      <w:r>
        <w:t xml:space="preserve"> </w:t>
      </w:r>
      <w:r>
        <w:t xml:space="preserve">“Multi-objective decision-making for flexible design and planning of oxygen production facilities in an uncertain lunar environment,”</w:t>
      </w:r>
      <w:r>
        <w:t xml:space="preserve"> </w:t>
      </w:r>
      <w:r>
        <w:t xml:space="preserve">Acta Astronautica, vol. 236, 2025. doi:</w:t>
      </w:r>
      <w:r>
        <w:t xml:space="preserve"> </w:t>
      </w:r>
      <w:hyperlink r:id="rId160">
        <w:r>
          <w:rPr>
            <w:rStyle w:val="Hyperlink"/>
          </w:rPr>
          <w:t xml:space="preserve">10.1016/j.actaastro.2025.07.014</w:t>
        </w:r>
      </w:hyperlink>
    </w:p>
    <w:p>
      <w:pPr>
        <w:pStyle w:val="BodyText"/>
        <w:spacing w:line="480" w:lineRule="auto"/>
        <w:ind w:firstLine="720"/>
      </w:pPr>
      <w:bookmarkStart w:id="168" w:name="ref-12"/>
      <w:bookmarkEnd w:id="168"/>
      <w:r>
        <w:t xml:space="preserve">12. L. Malone, M.-A. Cardin, J. J. Cilliers, S. Starr, and K. Hadler,</w:t>
      </w:r>
      <w:r>
        <w:t xml:space="preserve"> </w:t>
      </w:r>
      <w:r>
        <w:t xml:space="preserve">“Controlled user study on the role of situational awareness in design decisions for future lunar In-situ resource utilization systems,”</w:t>
      </w:r>
      <w:r>
        <w:t xml:space="preserve"> </w:t>
      </w:r>
      <w:r>
        <w:t xml:space="preserve">Acta Astronautica, vol. 246, 2026. doi:</w:t>
      </w:r>
      <w:r>
        <w:t xml:space="preserve"> </w:t>
      </w:r>
      <w:hyperlink r:id="rId163">
        <w:r>
          <w:rPr>
            <w:rStyle w:val="Hyperlink"/>
          </w:rPr>
          <w:t xml:space="preserve">10.1016/j.actaastro.2026.04.012</w:t>
        </w:r>
      </w:hyperlink>
    </w:p>
    <w:p>
      <w:pPr>
        <w:pStyle w:val="BodyText"/>
        <w:spacing w:line="480" w:lineRule="auto"/>
        <w:ind w:firstLine="720"/>
      </w:pPr>
      <w:bookmarkStart w:id="169" w:name="ref-13"/>
      <w:bookmarkEnd w:id="169"/>
      <w:r>
        <w:t xml:space="preserve">13. J. J. Cilliers, J. Rasera, and K. Hadler,</w:t>
      </w:r>
      <w:r>
        <w:t xml:space="preserve"> </w:t>
      </w:r>
      <w:r>
        <w:t xml:space="preserve">“Estimating the scale of Space Resource Utilisation operations to satisfy lunar oxygen demand,”</w:t>
      </w:r>
      <w:r>
        <w:t xml:space="preserve"> </w:t>
      </w:r>
      <w:r>
        <w:t xml:space="preserve">Planetary and Space Science, vol. 180, 2020, 104749. doi:</w:t>
      </w:r>
      <w:r>
        <w:t xml:space="preserve"> </w:t>
      </w:r>
      <w:hyperlink r:id="rId170">
        <w:r>
          <w:rPr>
            <w:rStyle w:val="Hyperlink"/>
          </w:rPr>
          <w:t xml:space="preserve">10.1016/j.pss.2019.104749</w:t>
        </w:r>
      </w:hyperlink>
    </w:p>
    <w:p>
      <w:pPr>
        <w:pStyle w:val="BodyText"/>
        <w:spacing w:line="480" w:lineRule="auto"/>
        <w:ind w:firstLine="720"/>
      </w:pPr>
      <w:bookmarkStart w:id="171" w:name="ref-14"/>
      <w:bookmarkEnd w:id="171"/>
      <w:r>
        <w:t xml:space="preserve">14. Harvey Reed, MITRE; Nick Tsamis, MITRE; Nathaniel Dailey, MITRE. Space Sustainability and Traffic Management Requires Trusted Space Stakeholder Coordination (2023). doi:</w:t>
      </w:r>
      <w:r>
        <w:t xml:space="preserve"> </w:t>
      </w:r>
      <w:hyperlink r:id="rId172">
        <w:r>
          <w:rPr>
            <w:rStyle w:val="Hyperlink"/>
          </w:rPr>
          <w:t xml:space="preserve">10.64861/MVHC2799</w:t>
        </w:r>
      </w:hyperlink>
    </w:p>
    <w:p>
      <w:pPr>
        <w:pStyle w:val="BodyText"/>
        <w:spacing w:line="480" w:lineRule="auto"/>
        <w:ind w:firstLine="720"/>
      </w:pPr>
      <w:bookmarkStart w:id="173" w:name="ref-15"/>
      <w:bookmarkEnd w:id="173"/>
      <w:r>
        <w:t xml:space="preserve">15. Aman Chandra, University of Arizona; Mostafa Lutfi, University of Arizona; David Gross, University of Arizona. Leveraging the Emerging CubeSat Reference Model for Space Situational Awareness (2018).</w:t>
      </w:r>
    </w:p>
    <w:p>
      <w:pPr>
        <w:pStyle w:val="BodyText"/>
        <w:spacing w:line="480" w:lineRule="auto"/>
        <w:ind w:firstLine="720"/>
      </w:pPr>
      <w:bookmarkStart w:id="174" w:name="ref-16"/>
      <w:bookmarkEnd w:id="174"/>
      <w:r>
        <w:t xml:space="preserve">16. Kristin Shahady, University of North Dakota. The Future Risk of Space Debris and Contested Environments Increases the Intrinsic and Actual Cost of GEO Slots (2023). doi:</w:t>
      </w:r>
      <w:r>
        <w:t xml:space="preserve"> </w:t>
      </w:r>
      <w:hyperlink r:id="rId175">
        <w:r>
          <w:rPr>
            <w:rStyle w:val="Hyperlink"/>
          </w:rPr>
          <w:t xml:space="preserve">10.64861/DYBG6563</w:t>
        </w:r>
      </w:hyperlink>
    </w:p>
    <w:p>
      <w:pPr>
        <w:pStyle w:val="BodyText"/>
        <w:spacing w:line="480" w:lineRule="auto"/>
        <w:ind w:firstLine="720"/>
      </w:pPr>
      <w:bookmarkStart w:id="176" w:name="ref-17"/>
      <w:bookmarkEnd w:id="176"/>
      <w:r>
        <w:t xml:space="preserve">17. Brian Banks, Leidos; Robert Smith II, Leidos; Ronald Wagner, Leidos; Victor Aguero, SRI International; Scott Williams, SRI International; Matthew Duncan, SpaceNav; Stijn De Smet, SpaceNav; Marc Balducci, SpaceNav. A Sensor-Rich Solution for Lunar/Cislunar Space Domain Awareness (2020).</w:t>
      </w:r>
    </w:p>
    <w:p>
      <w:pPr>
        <w:pStyle w:val="BodyText"/>
        <w:spacing w:line="480" w:lineRule="auto"/>
        <w:ind w:firstLine="720"/>
      </w:pPr>
      <w:bookmarkStart w:id="177" w:name="ref-18"/>
      <w:bookmarkEnd w:id="177"/>
      <w:r>
        <w:t xml:space="preserve">18. Grant Thomas, Air Force Institute of Technology; Richard Cobb, Air Force Institute of Technology. Ground-Based, Daytime Modeling and Observations in SWIR for Satellite Custody (2019).</w:t>
      </w:r>
    </w:p>
    <w:p>
      <w:pPr>
        <w:pStyle w:val="BodyText"/>
        <w:spacing w:line="480" w:lineRule="auto"/>
        <w:ind w:firstLine="720"/>
      </w:pPr>
      <w:bookmarkStart w:id="178" w:name="ref-19"/>
      <w:bookmarkEnd w:id="178"/>
      <w:r>
        <w:t xml:space="preserve">19. Dick Stottler, Stottler Henke Associates, Inc.. Improved Space Surveillance Network (SSN) Scheduling using Artificial Intelligence Techniques (2015).</w:t>
      </w:r>
    </w:p>
    <w:p>
      <w:pPr>
        <w:pStyle w:val="BodyText"/>
        <w:spacing w:line="480" w:lineRule="auto"/>
        <w:ind w:firstLine="720"/>
      </w:pPr>
      <w:bookmarkStart w:id="179" w:name="ref-20"/>
      <w:bookmarkEnd w:id="179"/>
      <w:r>
        <w:t xml:space="preserve">20. Dick Stottler, Stottler Henke Associates, Inc.H, Kyle Mahan, Stottler Henke Associates, Inc.. Automatic, Rapid Replanning of Satellite Operations for Space Situational Awareness (SSA) (2015).</w:t>
      </w:r>
    </w:p>
    <w:p>
      <w:pPr>
        <w:pStyle w:val="BodyText"/>
        <w:spacing w:line="480" w:lineRule="auto"/>
        <w:ind w:firstLine="720"/>
      </w:pPr>
      <w:bookmarkStart w:id="180" w:name="ref-21"/>
      <w:bookmarkEnd w:id="180"/>
      <w:r>
        <w:t xml:space="preserve">21. Dan Oltrogge (Analytical Graphics Inc.), Patrick North (Analytical Graphics Inc.), Michael Nicolls (SRI). Multi-phenomenology Observation Network Evaluation Tool (MONET) (2014).</w:t>
      </w:r>
    </w:p>
    <w:p>
      <w:pPr>
        <w:pStyle w:val="BodyText"/>
        <w:spacing w:line="480" w:lineRule="auto"/>
        <w:ind w:firstLine="720"/>
      </w:pPr>
      <w:bookmarkStart w:id="181" w:name="ref-22"/>
      <w:bookmarkEnd w:id="181"/>
      <w:r>
        <w:t xml:space="preserve">22. Timon Schild; Bethany A. Lomax; Melchiorre Conti; Gwenaëlle Aridon; Dennis Harries; Kathryn Hadler. Characterization of metal products from the molten salt electrolysis of lunar highland regolith simulants (2025). doi:</w:t>
      </w:r>
      <w:r>
        <w:t xml:space="preserve"> </w:t>
      </w:r>
      <w:hyperlink r:id="rId182">
        <w:r>
          <w:rPr>
            <w:rStyle w:val="Hyperlink"/>
          </w:rPr>
          <w:t xml:space="preserve">10.1016/j.actaastro.2025.02.021</w:t>
        </w:r>
      </w:hyperlink>
    </w:p>
    <w:p>
      <w:pPr>
        <w:pStyle w:val="BodyText"/>
        <w:spacing w:line="480" w:lineRule="auto"/>
        <w:ind w:firstLine="720"/>
      </w:pPr>
      <w:bookmarkStart w:id="183" w:name="ref-23"/>
      <w:bookmarkEnd w:id="183"/>
      <w:r>
        <w:t xml:space="preserve">23. Hao Chen; Tristan Sarton du Jonchay; Linyi Hou; Koki Ho. Integrated in-situ resource utilization system design and logistics for Mars exploration (2020). doi:</w:t>
      </w:r>
      <w:r>
        <w:t xml:space="preserve"> </w:t>
      </w:r>
      <w:hyperlink r:id="rId184">
        <w:r>
          <w:rPr>
            <w:rStyle w:val="Hyperlink"/>
          </w:rPr>
          <w:t xml:space="preserve">10.1016/j.actaastro.2020.01.031</w:t>
        </w:r>
      </w:hyperlink>
    </w:p>
    <w:p>
      <w:pPr>
        <w:pStyle w:val="BodyText"/>
        <w:spacing w:line="480" w:lineRule="auto"/>
        <w:ind w:firstLine="720"/>
      </w:pPr>
      <w:bookmarkStart w:id="185" w:name="ref-24"/>
      <w:bookmarkEnd w:id="185"/>
      <w:r>
        <w:t xml:space="preserve">24. Jack Robinot; Sylvain Rodat; Stéphane Abanades; Alexis Paillet; Aidan Cowley. Review of in-situ oxygen extraction from lunar regolith with focus on solar thermal and laser vacuum pyrolysis (2025). doi:</w:t>
      </w:r>
      <w:r>
        <w:t xml:space="preserve"> </w:t>
      </w:r>
      <w:hyperlink r:id="rId158">
        <w:r>
          <w:rPr>
            <w:rStyle w:val="Hyperlink"/>
          </w:rPr>
          <w:t xml:space="preserve">10.1016/j.actaastro.2025.05.008</w:t>
        </w:r>
      </w:hyperlink>
    </w:p>
    <w:p>
      <w:pPr>
        <w:pStyle w:val="BodyText"/>
        <w:spacing w:line="480" w:lineRule="auto"/>
        <w:ind w:firstLine="720"/>
      </w:pPr>
      <w:bookmarkStart w:id="186" w:name="ref-25"/>
      <w:bookmarkEnd w:id="186"/>
      <w:r>
        <w:t xml:space="preserve">25. Luka Malone; Michel‐Alexandre Cardin; J.J. Cilliers; Stanley Starr; Kathryn Hadler. Controlled user study on the role of situational awareness in design decisions for future lunar In-situ resource utilization systems (2026). doi:</w:t>
      </w:r>
      <w:r>
        <w:t xml:space="preserve"> </w:t>
      </w:r>
      <w:hyperlink r:id="rId163">
        <w:r>
          <w:rPr>
            <w:rStyle w:val="Hyperlink"/>
          </w:rPr>
          <w:t xml:space="preserve">10.1016/j.actaastro.2026.04.012</w:t>
        </w:r>
      </w:hyperlink>
    </w:p>
    <w:p>
      <w:pPr>
        <w:pStyle w:val="BodyText"/>
        <w:spacing w:line="480" w:lineRule="auto"/>
        <w:ind w:firstLine="720"/>
      </w:pPr>
      <w:bookmarkStart w:id="187" w:name="ref-26"/>
      <w:bookmarkEnd w:id="187"/>
      <w:r>
        <w:t xml:space="preserve">26. Eric Tucker; M. N. Abedin; Russell A. Wincheski; Douglas L. Rickman. Raman characterization of lunar highlands simulants for in-situ resource utilization in a lunar setting (2024). doi:</w:t>
      </w:r>
      <w:r>
        <w:t xml:space="preserve"> </w:t>
      </w:r>
      <w:hyperlink r:id="rId188">
        <w:r>
          <w:rPr>
            <w:rStyle w:val="Hyperlink"/>
          </w:rPr>
          <w:t xml:space="preserve">10.1016/j.actaastro.2024.09.016</w:t>
        </w:r>
      </w:hyperlink>
    </w:p>
    <w:p>
      <w:pPr>
        <w:pStyle w:val="BodyText"/>
        <w:spacing w:line="480" w:lineRule="auto"/>
        <w:ind w:firstLine="720"/>
      </w:pPr>
      <w:bookmarkStart w:id="189" w:name="ref-27"/>
      <w:bookmarkEnd w:id="189"/>
      <w:r>
        <w:t xml:space="preserve">27. Kosuke Ikeya; Francisco J. Guerrero-Gonzalez; Luca Kiewiet; Michel‐Alexandre Cardin; J.J. Cilliers; Stanley Starr; Kathryn Hadler. Hybrid lunar ISRU plant: A comparative analysis with carbothermal reduction and water extraction (2025). doi:</w:t>
      </w:r>
      <w:r>
        <w:t xml:space="preserve"> </w:t>
      </w:r>
      <w:hyperlink r:id="rId152">
        <w:r>
          <w:rPr>
            <w:rStyle w:val="Hyperlink"/>
          </w:rPr>
          <w:t xml:space="preserve">10.1016/j.actaastro.2025.02.004</w:t>
        </w:r>
      </w:hyperlink>
    </w:p>
    <w:p>
      <w:pPr>
        <w:pStyle w:val="BodyText"/>
        <w:spacing w:line="480" w:lineRule="auto"/>
        <w:ind w:firstLine="720"/>
      </w:pPr>
      <w:bookmarkStart w:id="190" w:name="ref-28"/>
      <w:bookmarkEnd w:id="190"/>
      <w:r>
        <w:t xml:space="preserve">28. John McClean; Jeffrey A. Hoffman; M. H. Hecht; Asad M. Aboobaker; Koorosh R. Araghi; S. Elangovan; Christopher Graves; Joseph Hartvigsen; Eric D. Hinterman; Andrew Liu; Forrest Meyen; Maya Nasr; Adrian Ponce; Donald Rapp; Jason Soohoo; John Swoboda; Gerald E. Voecks. Pre-landing plans for Mars Oxygen In-Situ Resource Utilization Experiment (MOXIE) science operations (2021). doi:</w:t>
      </w:r>
      <w:r>
        <w:t xml:space="preserve"> </w:t>
      </w:r>
      <w:hyperlink r:id="rId191">
        <w:r>
          <w:rPr>
            <w:rStyle w:val="Hyperlink"/>
          </w:rPr>
          <w:t xml:space="preserve">10.1016/j.actaastro.2021.12.003</w:t>
        </w:r>
      </w:hyperlink>
    </w:p>
    <w:p>
      <w:pPr>
        <w:pStyle w:val="BodyText"/>
        <w:spacing w:line="480" w:lineRule="auto"/>
        <w:ind w:firstLine="720"/>
      </w:pPr>
      <w:bookmarkStart w:id="192" w:name="ref-29"/>
      <w:bookmarkEnd w:id="192"/>
      <w:r>
        <w:t xml:space="preserve">29. Shanmurugan Selvamurgan; E. Glenn Lightsey; Koki Ho. Time-optimal trajectory design of distributed space systems for in-space transportation in Earth Orbit (2026). doi:</w:t>
      </w:r>
      <w:r>
        <w:t xml:space="preserve"> </w:t>
      </w:r>
      <w:hyperlink r:id="rId193">
        <w:r>
          <w:rPr>
            <w:rStyle w:val="Hyperlink"/>
          </w:rPr>
          <w:t xml:space="preserve">10.1016/j.actaastro.2026.05.056</w:t>
        </w:r>
      </w:hyperlink>
    </w:p>
    <w:bookmarkEnd w:id="194"/>
    <w:bookmarkEnd w:id="195"/>
    <w:bookmarkStart w:id="212"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03" w:name="X0cc747d2cd5eb661d266d97afa1eb206fc6a386"/>
    <w:p>
      <w:pPr>
        <w:pStyle w:val="Heading2"/>
        <w:spacing w:line="480" w:lineRule="auto"/>
      </w:pPr>
      <w:r>
        <w:t xml:space="preserve">A.1 Mass Payback and Energy Efficiency in Lunar Oxygen Facility Strategies</w:t>
      </w:r>
    </w:p>
    <w:p>
      <w:pPr>
        <w:pStyle w:val="FirstParagraph"/>
        <w:spacing w:line="480" w:lineRule="auto"/>
      </w:pPr>
      <m:oMathPara>
        <m:oMathParaPr>
          <m:jc m:val="center"/>
        </m:oMathParaPr>
        <m:oMath>
          <m:sSub>
            <m:e>
              <m:r>
                <m:t>E</m:t>
              </m:r>
            </m:e>
            <m:sub>
              <m:r>
                <m:t>i</m:t>
              </m:r>
            </m:sub>
          </m:sSub>
          <m:r>
            <m:rPr>
              <m:sty m:val="p"/>
            </m:rPr>
            <m:t>=</m:t>
          </m:r>
          <m:r>
            <m:t>α</m:t>
          </m:r>
          <m:r>
            <m:rPr>
              <m:sty m:val="p"/>
            </m:rPr>
            <m:t>+</m:t>
          </m:r>
          <m:sSub>
            <m:e>
              <m:r>
                <m:t>β</m:t>
              </m:r>
            </m:e>
            <m:sub>
              <m:r>
                <m:t>1</m:t>
              </m:r>
            </m:sub>
          </m:sSub>
          <m:sSub>
            <m:e>
              <m:r>
                <m:t>Y</m:t>
              </m:r>
            </m:e>
            <m:sub>
              <m:r>
                <m:t>i</m:t>
              </m:r>
            </m:sub>
          </m:sSub>
          <m:r>
            <m:rPr>
              <m:sty m:val="p"/>
            </m:rPr>
            <m:t>+</m:t>
          </m:r>
          <m:sSub>
            <m:e>
              <m:r>
                <m:t>β</m:t>
              </m:r>
            </m:e>
            <m:sub>
              <m:r>
                <m:t>2</m:t>
              </m:r>
            </m:sub>
          </m:sSub>
          <m:sSub>
            <m:e>
              <m:r>
                <m:t>P</m:t>
              </m:r>
            </m:e>
            <m:sub>
              <m:r>
                <m:t>i</m:t>
              </m:r>
            </m:sub>
          </m:sSub>
          <m:r>
            <m:rPr>
              <m:sty m:val="p"/>
            </m:rPr>
            <m:t>+</m:t>
          </m:r>
          <m:sSub>
            <m:e>
              <m:r>
                <m:t>β</m:t>
              </m:r>
            </m:e>
            <m:sub>
              <m:r>
                <m:t>3</m:t>
              </m:r>
            </m:sub>
          </m:sSub>
          <m:sSubSup>
            <m:e>
              <m:r>
                <m:t>H</m:t>
              </m:r>
            </m:e>
            <m:sub>
              <m:r>
                <m:t>i</m:t>
              </m:r>
            </m:sub>
            <m:sup>
              <m:r>
                <m:t>P</m:t>
              </m:r>
            </m:sup>
          </m:sSubSup>
          <m:r>
            <m:rPr>
              <m:sty m:val="p"/>
            </m:rPr>
            <m:t>+</m:t>
          </m:r>
          <m:sSub>
            <m:e>
              <m:r>
                <m:t>β</m:t>
              </m:r>
            </m:e>
            <m:sub>
              <m:r>
                <m:t>4</m:t>
              </m:r>
            </m:sub>
          </m:sSub>
          <m:sSubSup>
            <m:e>
              <m:r>
                <m:t>H</m:t>
              </m:r>
            </m:e>
            <m:sub>
              <m:r>
                <m:t>i</m:t>
              </m:r>
            </m:sub>
            <m:sup>
              <m:r>
                <m:t>S</m:t>
              </m:r>
            </m:sup>
          </m:sSubSup>
          <m:r>
            <m:rPr>
              <m:sty m:val="p"/>
            </m:rPr>
            <m:t>+</m:t>
          </m:r>
          <m:sSub>
            <m:e>
              <m:r>
                <m:t>ε</m:t>
              </m:r>
            </m:e>
            <m:sub>
              <m:r>
                <m:t>i</m:t>
              </m:r>
            </m:sub>
          </m:sSub>
        </m:oMath>
      </m:oMathPara>
    </w:p>
    <w:bookmarkStart w:id="196"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0.4299</w:t>
            </w:r>
          </w:p>
        </w:tc>
        <w:tc>
          <w:tcPr>
            <w:tcW w:w="0" w:type="auto"/>
          </w:tcPr>
          <w:p>
            <w:pPr>
              <w:spacing w:line="240" w:lineRule="auto" w:before="0" w:after="0"/>
              <w:pStyle w:val="Compact"/>
            </w:pPr>
            <w:r>
              <w:rPr>
                <w:sz w:val="20"/>
                <w:szCs w:val="20"/>
              </w:rPr>
              <w:t xml:space="preserve">0.3382</w:t>
            </w:r>
          </w:p>
        </w:tc>
        <w:tc>
          <w:tcPr>
            <w:tcW w:w="0" w:type="auto"/>
          </w:tcPr>
          <w:p>
            <w:pPr>
              <w:spacing w:line="240" w:lineRule="auto" w:before="0" w:after="0"/>
              <w:pStyle w:val="Compact"/>
            </w:pPr>
            <w:r>
              <w:rPr>
                <w:sz w:val="20"/>
                <w:szCs w:val="20"/>
              </w:rPr>
              <w:t xml:space="preserve">1.2713</w:t>
            </w:r>
          </w:p>
        </w:tc>
        <w:tc>
          <w:tcPr>
            <w:tcW w:w="0" w:type="auto"/>
          </w:tcPr>
          <w:p>
            <w:pPr>
              <w:spacing w:line="240" w:lineRule="auto" w:before="0" w:after="0"/>
              <w:pStyle w:val="Compact"/>
            </w:pPr>
            <w:r>
              <w:rPr>
                <w:sz w:val="20"/>
                <w:szCs w:val="20"/>
              </w:rPr>
              <w:t xml:space="preserve">0.2036</w:t>
            </w:r>
          </w:p>
        </w:tc>
        <w:tc>
          <w:tcPr>
            <w:tcW w:w="0" w:type="auto"/>
          </w:tcPr>
          <w:p>
            <w:pPr>
              <w:spacing w:line="240" w:lineRule="auto" w:before="0" w:after="0"/>
              <w:pStyle w:val="Compact"/>
            </w:pPr>
            <w:r>
              <w:rPr>
                <w:sz w:val="20"/>
                <w:szCs w:val="20"/>
              </w:rPr>
              <w:t xml:space="preserve">[-0.2329, 1.0928]</w:t>
            </w:r>
          </w:p>
        </w:tc>
      </w:tr>
      <w:tr>
        <w:tc>
          <w:tcPr>
            <w:tcW w:w="0" w:type="auto"/>
          </w:tcPr>
          <w:p>
            <w:pPr>
              <w:spacing w:line="240" w:lineRule="auto" w:before="0" w:after="0"/>
              <w:pStyle w:val="Compact"/>
            </w:pPr>
            <w:r>
              <w:rPr>
                <w:sz w:val="20"/>
                <w:szCs w:val="20"/>
              </w:rPr>
              <w:t xml:space="preserve">oxygen_yield_pct</w:t>
            </w:r>
          </w:p>
        </w:tc>
        <w:tc>
          <w:tcPr>
            <w:tcW w:w="0" w:type="auto"/>
          </w:tcPr>
          <w:p>
            <w:pPr>
              <w:spacing w:line="240" w:lineRule="auto" w:before="0" w:after="0"/>
              <w:pStyle w:val="Compact"/>
            </w:pPr>
            <w:r>
              <w:rPr>
                <w:sz w:val="20"/>
                <w:szCs w:val="20"/>
              </w:rPr>
              <w:t xml:space="preserve">0.0087</w:t>
            </w:r>
          </w:p>
        </w:tc>
        <w:tc>
          <w:tcPr>
            <w:tcW w:w="0" w:type="auto"/>
          </w:tcPr>
          <w:p>
            <w:pPr>
              <w:spacing w:line="240" w:lineRule="auto" w:before="0" w:after="0"/>
              <w:pStyle w:val="Compact"/>
            </w:pPr>
            <w:r>
              <w:rPr>
                <w:sz w:val="20"/>
                <w:szCs w:val="20"/>
              </w:rPr>
              <w:t xml:space="preserve">0.0262</w:t>
            </w:r>
          </w:p>
        </w:tc>
        <w:tc>
          <w:tcPr>
            <w:tcW w:w="0" w:type="auto"/>
          </w:tcPr>
          <w:p>
            <w:pPr>
              <w:spacing w:line="240" w:lineRule="auto" w:before="0" w:after="0"/>
              <w:pStyle w:val="Compact"/>
            </w:pPr>
            <w:r>
              <w:rPr>
                <w:sz w:val="20"/>
                <w:szCs w:val="20"/>
              </w:rPr>
              <w:t xml:space="preserve">0.3306</w:t>
            </w:r>
          </w:p>
        </w:tc>
        <w:tc>
          <w:tcPr>
            <w:tcW w:w="0" w:type="auto"/>
          </w:tcPr>
          <w:p>
            <w:pPr>
              <w:spacing w:line="240" w:lineRule="auto" w:before="0" w:after="0"/>
              <w:pStyle w:val="Compact"/>
            </w:pPr>
            <w:r>
              <w:rPr>
                <w:sz w:val="20"/>
                <w:szCs w:val="20"/>
              </w:rPr>
              <w:t xml:space="preserve">0.7409</w:t>
            </w:r>
          </w:p>
        </w:tc>
        <w:tc>
          <w:tcPr>
            <w:tcW w:w="0" w:type="auto"/>
          </w:tcPr>
          <w:p>
            <w:pPr>
              <w:spacing w:line="240" w:lineRule="auto" w:before="0" w:after="0"/>
              <w:pStyle w:val="Compact"/>
            </w:pPr>
            <w:r>
              <w:rPr>
                <w:sz w:val="20"/>
                <w:szCs w:val="20"/>
              </w:rPr>
              <w:t xml:space="preserve">[-0.0426, 0.0599]</w:t>
            </w:r>
          </w:p>
        </w:tc>
      </w:tr>
      <w:tr>
        <w:tc>
          <w:tcPr>
            <w:tcW w:w="0" w:type="auto"/>
          </w:tcPr>
          <w:p>
            <w:pPr>
              <w:spacing w:line="240" w:lineRule="auto" w:before="0" w:after="0"/>
              <w:pStyle w:val="Compact"/>
            </w:pPr>
            <w:r>
              <w:rPr>
                <w:sz w:val="20"/>
                <w:szCs w:val="20"/>
              </w:rPr>
              <w:t xml:space="preserve">mass_payback</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0.0239</w:t>
            </w:r>
          </w:p>
        </w:tc>
        <w:tc>
          <w:tcPr>
            <w:tcW w:w="0" w:type="auto"/>
          </w:tcPr>
          <w:p>
            <w:pPr>
              <w:spacing w:line="240" w:lineRule="auto" w:before="0" w:after="0"/>
              <w:pStyle w:val="Compact"/>
            </w:pPr>
            <w:r>
              <w:rPr>
                <w:sz w:val="20"/>
                <w:szCs w:val="20"/>
              </w:rPr>
              <w:t xml:space="preserve">16.7276</w:t>
            </w:r>
          </w:p>
        </w:tc>
        <w:tc>
          <w:tcPr>
            <w:tcW w:w="0" w:type="auto"/>
          </w:tcPr>
          <w:p>
            <w:pPr>
              <w:spacing w:line="240" w:lineRule="auto" w:before="0" w:after="0"/>
              <w:pStyle w:val="Compact"/>
            </w:pPr>
            <w:r>
              <w:rPr>
                <w:sz w:val="20"/>
                <w:szCs w:val="20"/>
              </w:rPr>
              <w:t xml:space="preserve">8.251e-63</w:t>
            </w:r>
          </w:p>
        </w:tc>
        <w:tc>
          <w:tcPr>
            <w:tcW w:w="0" w:type="auto"/>
          </w:tcPr>
          <w:p>
            <w:pPr>
              <w:spacing w:line="240" w:lineRule="auto" w:before="0" w:after="0"/>
              <w:pStyle w:val="Compact"/>
            </w:pPr>
            <w:r>
              <w:rPr>
                <w:sz w:val="20"/>
                <w:szCs w:val="20"/>
              </w:rPr>
              <w:t xml:space="preserve">[0.3532, 0.4469]</w:t>
            </w:r>
          </w:p>
        </w:tc>
      </w:tr>
      <w:tr>
        <w:tc>
          <w:tcPr>
            <w:tcW w:w="0" w:type="auto"/>
          </w:tcPr>
          <w:p>
            <w:pPr>
              <w:spacing w:line="240" w:lineRule="auto" w:before="0" w:after="0"/>
              <w:pStyle w:val="Compact"/>
            </w:pPr>
            <w:r>
              <w:rPr>
                <w:sz w:val="20"/>
                <w:szCs w:val="20"/>
              </w:rPr>
              <w:t xml:space="preserve">is_parallel_strategy</w:t>
            </w:r>
          </w:p>
        </w:tc>
        <w:tc>
          <w:tcPr>
            <w:tcW w:w="0" w:type="auto"/>
          </w:tcPr>
          <w:p>
            <w:pPr>
              <w:spacing w:line="240" w:lineRule="auto" w:before="0" w:after="0"/>
              <w:pStyle w:val="Compact"/>
            </w:pPr>
            <w:r>
              <w:rPr>
                <w:sz w:val="20"/>
                <w:szCs w:val="20"/>
              </w:rPr>
              <w:t xml:space="preserve">0.1925</w:t>
            </w:r>
          </w:p>
        </w:tc>
        <w:tc>
          <w:tcPr>
            <w:tcW w:w="0" w:type="auto"/>
          </w:tcPr>
          <w:p>
            <w:pPr>
              <w:spacing w:line="240" w:lineRule="auto" w:before="0" w:after="0"/>
              <w:pStyle w:val="Compact"/>
            </w:pPr>
            <w:r>
              <w:rPr>
                <w:sz w:val="20"/>
                <w:szCs w:val="20"/>
              </w:rPr>
              <w:t xml:space="preserve">0.2838</w:t>
            </w:r>
          </w:p>
        </w:tc>
        <w:tc>
          <w:tcPr>
            <w:tcW w:w="0" w:type="auto"/>
          </w:tcPr>
          <w:p>
            <w:pPr>
              <w:spacing w:line="240" w:lineRule="auto" w:before="0" w:after="0"/>
              <w:pStyle w:val="Compact"/>
            </w:pPr>
            <w:r>
              <w:rPr>
                <w:sz w:val="20"/>
                <w:szCs w:val="20"/>
              </w:rPr>
              <w:t xml:space="preserve">0.6781</w:t>
            </w:r>
          </w:p>
        </w:tc>
        <w:tc>
          <w:tcPr>
            <w:tcW w:w="0" w:type="auto"/>
          </w:tcPr>
          <w:p>
            <w:pPr>
              <w:spacing w:line="240" w:lineRule="auto" w:before="0" w:after="0"/>
              <w:pStyle w:val="Compact"/>
            </w:pPr>
            <w:r>
              <w:rPr>
                <w:sz w:val="20"/>
                <w:szCs w:val="20"/>
              </w:rPr>
              <w:t xml:space="preserve">0.4977</w:t>
            </w:r>
          </w:p>
        </w:tc>
        <w:tc>
          <w:tcPr>
            <w:tcW w:w="0" w:type="auto"/>
          </w:tcPr>
          <w:p>
            <w:pPr>
              <w:spacing w:line="240" w:lineRule="auto" w:before="0" w:after="0"/>
              <w:pStyle w:val="Compact"/>
            </w:pPr>
            <w:r>
              <w:rPr>
                <w:sz w:val="20"/>
                <w:szCs w:val="20"/>
              </w:rPr>
              <w:t xml:space="preserve">[-0.3638, 0.7488]</w:t>
            </w:r>
          </w:p>
        </w:tc>
      </w:tr>
      <w:tr>
        <w:tc>
          <w:tcPr>
            <w:tcW w:w="0" w:type="auto"/>
          </w:tcPr>
          <w:p>
            <w:pPr>
              <w:spacing w:line="240" w:lineRule="auto" w:before="0" w:after="0"/>
              <w:pStyle w:val="Compact"/>
            </w:pPr>
            <w:r>
              <w:rPr>
                <w:sz w:val="20"/>
                <w:szCs w:val="20"/>
              </w:rPr>
              <w:t xml:space="preserve">is_series_strategy</w:t>
            </w:r>
          </w:p>
        </w:tc>
        <w:tc>
          <w:tcPr>
            <w:tcW w:w="0" w:type="auto"/>
          </w:tcPr>
          <w:p>
            <w:pPr>
              <w:spacing w:line="240" w:lineRule="auto" w:before="0" w:after="0"/>
              <w:pStyle w:val="Compact"/>
            </w:pPr>
            <w:r>
              <w:rPr>
                <w:sz w:val="20"/>
                <w:szCs w:val="20"/>
              </w:rPr>
              <w:t xml:space="preserve">0.9042</w:t>
            </w:r>
          </w:p>
        </w:tc>
        <w:tc>
          <w:tcPr>
            <w:tcW w:w="0" w:type="auto"/>
          </w:tcPr>
          <w:p>
            <w:pPr>
              <w:spacing w:line="240" w:lineRule="auto" w:before="0" w:after="0"/>
              <w:pStyle w:val="Compact"/>
            </w:pPr>
            <w:r>
              <w:rPr>
                <w:sz w:val="20"/>
                <w:szCs w:val="20"/>
              </w:rPr>
              <w:t xml:space="preserve">0.3089</w:t>
            </w:r>
          </w:p>
        </w:tc>
        <w:tc>
          <w:tcPr>
            <w:tcW w:w="0" w:type="auto"/>
          </w:tcPr>
          <w:p>
            <w:pPr>
              <w:spacing w:line="240" w:lineRule="auto" w:before="0" w:after="0"/>
              <w:pStyle w:val="Compact"/>
            </w:pPr>
            <w:r>
              <w:rPr>
                <w:sz w:val="20"/>
                <w:szCs w:val="20"/>
              </w:rPr>
              <w:t xml:space="preserve">2.9276</w:t>
            </w:r>
          </w:p>
        </w:tc>
        <w:tc>
          <w:tcPr>
            <w:tcW w:w="0" w:type="auto"/>
          </w:tcPr>
          <w:p>
            <w:pPr>
              <w:spacing w:line="240" w:lineRule="auto" w:before="0" w:after="0"/>
              <w:pStyle w:val="Compact"/>
            </w:pPr>
            <w:r>
              <w:rPr>
                <w:sz w:val="20"/>
                <w:szCs w:val="20"/>
              </w:rPr>
              <w:t xml:space="preserve">0.0034</w:t>
            </w:r>
          </w:p>
        </w:tc>
        <w:tc>
          <w:tcPr>
            <w:tcW w:w="0" w:type="auto"/>
          </w:tcPr>
          <w:p>
            <w:pPr>
              <w:spacing w:line="240" w:lineRule="auto" w:before="0" w:after="0"/>
              <w:pStyle w:val="Compact"/>
            </w:pPr>
            <w:r>
              <w:rPr>
                <w:sz w:val="20"/>
                <w:szCs w:val="20"/>
              </w:rPr>
              <w:t xml:space="preserve">[0.2989, 1.5096]</w:t>
            </w:r>
          </w:p>
        </w:tc>
      </w:tr>
    </w:tbl>
    <w:p>
      <w:pPr>
        <w:pStyle w:val="BodyText"/>
        <w:spacing w:line="480" w:lineRule="auto"/>
        <w:ind w:firstLine="720"/>
      </w:pPr>
      <w:r>
        <w:t xml:space="preserve">Fit: N = 36 R2 = 0.9032 R2_adj = 0.8907 F = 88.6552 F_p = 1.637e-16</w:t>
      </w:r>
    </w:p>
    <w:bookmarkEnd w:id="196"/>
    <w:bookmarkStart w:id="200"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Figure 1. Mass payback and mass-energy efficiency across lunar oxygen facility decision strategies." title="" id="198" name="Picture"/>
            <a:graphic>
              <a:graphicData uri="http://schemas.openxmlformats.org/drawingml/2006/picture">
                <pic:pic>
                  <pic:nvPicPr>
                    <pic:cNvPr descr="D:/Claude_Code/brain/collegium/candidates/dissertations/CISLUNAR_DEV_01/research_papers/p1/paper_fig1.png" id="199" name="Picture"/>
                    <pic:cNvPicPr>
                      <a:picLocks noChangeArrowheads="1" noChangeAspect="1"/>
                    </pic:cNvPicPr>
                  </pic:nvPicPr>
                  <pic:blipFill>
                    <a:blip r:embed="rId197"/>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Figure 1. Mass payback and mass-energy efficiency across lunar oxygen facility decision strategies.</w:t>
      </w:r>
    </w:p>
    <w:bookmarkEnd w:id="200"/>
    <w:bookmarkStart w:id="201"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660"/>
        <w:gridCol w:w="660"/>
        <w:gridCol w:w="660"/>
        <w:gridCol w:w="660"/>
        <w:gridCol w:w="660"/>
        <w:gridCol w:w="660"/>
        <w:gridCol w:w="660"/>
        <w:gridCol w:w="660"/>
        <w:gridCol w:w="660"/>
        <w:gridCol w:w="660"/>
        <w:gridCol w:w="660"/>
        <w:gridCol w:w="660"/>
      </w:tblGrid>
      <w:tr>
        <w:trPr>
          <w:tblHeader w:val="on"/>
        </w:trPr>
        <w:tc>
          <w:tcPr>
            <w:tcW w:w="0" w:type="auto"/>
          </w:tcPr>
          <w:p>
            <w:pPr>
              <w:spacing w:line="240" w:lineRule="auto" w:before="0" w:after="0"/>
              <w:pStyle w:val="Compact"/>
            </w:pPr>
            <w:r>
              <w:rPr>
                <w:sz w:val="20"/>
                <w:szCs w:val="20"/>
              </w:rPr>
              <w:t xml:space="preserve">strategy</w:t>
            </w:r>
          </w:p>
        </w:tc>
        <w:tc>
          <w:tcPr>
            <w:tcW w:w="0" w:type="auto"/>
          </w:tcPr>
          <w:p>
            <w:pPr>
              <w:spacing w:line="240" w:lineRule="auto" w:before="0" w:after="0"/>
              <w:pStyle w:val="Compact"/>
            </w:pPr>
            <w:r>
              <w:rPr>
                <w:sz w:val="20"/>
                <w:szCs w:val="20"/>
              </w:rPr>
              <w:t xml:space="preserve">architecture_kind</w:t>
            </w:r>
          </w:p>
        </w:tc>
        <w:tc>
          <w:tcPr>
            <w:tcW w:w="0" w:type="auto"/>
          </w:tcPr>
          <w:p>
            <w:pPr>
              <w:spacing w:line="240" w:lineRule="auto" w:before="0" w:after="0"/>
              <w:pStyle w:val="Compact"/>
            </w:pPr>
            <w:r>
              <w:rPr>
                <w:sz w:val="20"/>
                <w:szCs w:val="20"/>
              </w:rPr>
              <w:t xml:space="preserve">uncertainty_point</w:t>
            </w:r>
          </w:p>
        </w:tc>
        <w:tc>
          <w:tcPr>
            <w:tcW w:w="0" w:type="auto"/>
          </w:tcPr>
          <w:p>
            <w:pPr>
              <w:spacing w:line="240" w:lineRule="auto" w:before="0" w:after="0"/>
              <w:pStyle w:val="Compact"/>
            </w:pPr>
            <w:r>
              <w:rPr>
                <w:sz w:val="20"/>
                <w:szCs w:val="20"/>
              </w:rPr>
              <w:t xml:space="preserve">uncertainty_percentile</w:t>
            </w:r>
          </w:p>
        </w:tc>
        <w:tc>
          <w:tcPr>
            <w:tcW w:w="0" w:type="auto"/>
          </w:tcPr>
          <w:p>
            <w:pPr>
              <w:spacing w:line="240" w:lineRule="auto" w:before="0" w:after="0"/>
              <w:pStyle w:val="Compact"/>
            </w:pPr>
            <w:r>
              <w:rPr>
                <w:sz w:val="20"/>
                <w:szCs w:val="20"/>
              </w:rPr>
              <w:t xml:space="preserve">oxygen_yield_pct</w:t>
            </w:r>
          </w:p>
        </w:tc>
        <w:tc>
          <w:tcPr>
            <w:tcW w:w="0" w:type="auto"/>
          </w:tcPr>
          <w:p>
            <w:pPr>
              <w:spacing w:line="240" w:lineRule="auto" w:before="0" w:after="0"/>
              <w:pStyle w:val="Compact"/>
            </w:pPr>
            <w:r>
              <w:rPr>
                <w:sz w:val="20"/>
                <w:szCs w:val="20"/>
              </w:rPr>
              <w:t xml:space="preserve">mass_payback</w:t>
            </w:r>
          </w:p>
        </w:tc>
        <w:tc>
          <w:tcPr>
            <w:tcW w:w="0" w:type="auto"/>
          </w:tcPr>
          <w:p>
            <w:pPr>
              <w:spacing w:line="240" w:lineRule="auto" w:before="0" w:after="0"/>
              <w:pStyle w:val="Compact"/>
            </w:pPr>
            <w:r>
              <w:rPr>
                <w:sz w:val="20"/>
                <w:szCs w:val="20"/>
              </w:rPr>
              <w:t xml:space="preserve">mass_energy_efficiency</w:t>
            </w:r>
          </w:p>
        </w:tc>
        <w:tc>
          <w:tcPr>
            <w:tcW w:w="0" w:type="auto"/>
          </w:tcPr>
          <w:p>
            <w:pPr>
              <w:spacing w:line="240" w:lineRule="auto" w:before="0" w:after="0"/>
              <w:pStyle w:val="Compact"/>
            </w:pPr>
            <w:r>
              <w:rPr>
                <w:sz w:val="20"/>
                <w:szCs w:val="20"/>
              </w:rPr>
              <w:t xml:space="preserve">is_hybrid_strategy</w:t>
            </w:r>
          </w:p>
        </w:tc>
        <w:tc>
          <w:tcPr>
            <w:tcW w:w="0" w:type="auto"/>
          </w:tcPr>
          <w:p>
            <w:pPr>
              <w:spacing w:line="240" w:lineRule="auto" w:before="0" w:after="0"/>
              <w:pStyle w:val="Compact"/>
            </w:pPr>
            <w:r>
              <w:rPr>
                <w:sz w:val="20"/>
                <w:szCs w:val="20"/>
              </w:rPr>
              <w:t xml:space="preserve">is_parallel_strategy</w:t>
            </w:r>
          </w:p>
        </w:tc>
        <w:tc>
          <w:tcPr>
            <w:tcW w:w="0" w:type="auto"/>
          </w:tcPr>
          <w:p>
            <w:pPr>
              <w:spacing w:line="240" w:lineRule="auto" w:before="0" w:after="0"/>
              <w:pStyle w:val="Compact"/>
            </w:pPr>
            <w:r>
              <w:rPr>
                <w:sz w:val="20"/>
                <w:szCs w:val="20"/>
              </w:rPr>
              <w:t xml:space="preserve">is_series_strategy</w:t>
            </w:r>
          </w:p>
        </w:tc>
        <w:tc>
          <w:tcPr>
            <w:tcW w:w="0" w:type="auto"/>
          </w:tcPr>
          <w:p>
            <w:pPr>
              <w:spacing w:line="240" w:lineRule="auto" w:before="0" w:after="0"/>
              <w:pStyle w:val="Compact"/>
            </w:pPr>
            <w:r>
              <w:rPr>
                <w:sz w:val="20"/>
                <w:szCs w:val="20"/>
              </w:rPr>
              <w:t xml:space="preserve">high_payback</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CR</w:t>
            </w:r>
          </w:p>
        </w:tc>
        <w:tc>
          <w:tcPr>
            <w:tcW w:w="0" w:type="auto"/>
          </w:tcPr>
          <w:p>
            <w:pPr>
              <w:spacing w:line="240" w:lineRule="auto" w:before="0" w:after="0"/>
              <w:pStyle w:val="Compact"/>
            </w:pPr>
            <w:r>
              <w:rPr>
                <w:sz w:val="20"/>
                <w:szCs w:val="20"/>
              </w:rPr>
              <w:t xml:space="preserve">carbothermal</w:t>
            </w:r>
          </w:p>
        </w:tc>
        <w:tc>
          <w:tcPr>
            <w:tcW w:w="0" w:type="auto"/>
          </w:tcPr>
          <w:p>
            <w:pPr>
              <w:spacing w:line="240" w:lineRule="auto" w:before="0" w:after="0"/>
              <w:pStyle w:val="Compact"/>
            </w:pPr>
            <w:r>
              <w:rPr>
                <w:sz w:val="20"/>
                <w:szCs w:val="20"/>
              </w:rPr>
              <w:t xml:space="preserve">expected</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CR</w:t>
            </w:r>
          </w:p>
        </w:tc>
        <w:tc>
          <w:tcPr>
            <w:tcW w:w="0" w:type="auto"/>
          </w:tcPr>
          <w:p>
            <w:pPr>
              <w:spacing w:line="240" w:lineRule="auto" w:before="0" w:after="0"/>
              <w:pStyle w:val="Compact"/>
            </w:pPr>
            <w:r>
              <w:rPr>
                <w:sz w:val="20"/>
                <w:szCs w:val="20"/>
              </w:rPr>
              <w:t xml:space="preserve">carbothermal</w:t>
            </w:r>
          </w:p>
        </w:tc>
        <w:tc>
          <w:tcPr>
            <w:tcW w:w="0" w:type="auto"/>
          </w:tcPr>
          <w:p>
            <w:pPr>
              <w:spacing w:line="240" w:lineRule="auto" w:before="0" w:after="0"/>
              <w:pStyle w:val="Compact"/>
            </w:pPr>
            <w:r>
              <w:rPr>
                <w:sz w:val="20"/>
                <w:szCs w:val="20"/>
              </w:rPr>
              <w:t xml:space="preserve">p05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CR</w:t>
            </w:r>
          </w:p>
        </w:tc>
        <w:tc>
          <w:tcPr>
            <w:tcW w:w="0" w:type="auto"/>
          </w:tcPr>
          <w:p>
            <w:pPr>
              <w:spacing w:line="240" w:lineRule="auto" w:before="0" w:after="0"/>
              <w:pStyle w:val="Compact"/>
            </w:pPr>
            <w:r>
              <w:rPr>
                <w:sz w:val="20"/>
                <w:szCs w:val="20"/>
              </w:rPr>
              <w:t xml:space="preserve">carbothermal</w:t>
            </w:r>
          </w:p>
        </w:tc>
        <w:tc>
          <w:tcPr>
            <w:tcW w:w="0" w:type="auto"/>
          </w:tcPr>
          <w:p>
            <w:pPr>
              <w:spacing w:line="240" w:lineRule="auto" w:before="0" w:after="0"/>
              <w:pStyle w:val="Compact"/>
            </w:pPr>
            <w:r>
              <w:rPr>
                <w:sz w:val="20"/>
                <w:szCs w:val="20"/>
              </w:rPr>
              <w:t xml:space="preserve">p95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14.1</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WE</w:t>
            </w:r>
          </w:p>
        </w:tc>
        <w:tc>
          <w:tcPr>
            <w:tcW w:w="0" w:type="auto"/>
          </w:tcPr>
          <w:p>
            <w:pPr>
              <w:spacing w:line="240" w:lineRule="auto" w:before="0" w:after="0"/>
              <w:pStyle w:val="Compact"/>
            </w:pPr>
            <w:r>
              <w:rPr>
                <w:sz w:val="20"/>
                <w:szCs w:val="20"/>
              </w:rPr>
              <w:t xml:space="preserve">water_extraction</w:t>
            </w:r>
          </w:p>
        </w:tc>
        <w:tc>
          <w:tcPr>
            <w:tcW w:w="0" w:type="auto"/>
          </w:tcPr>
          <w:p>
            <w:pPr>
              <w:spacing w:line="240" w:lineRule="auto" w:before="0" w:after="0"/>
              <w:pStyle w:val="Compact"/>
            </w:pPr>
            <w:r>
              <w:rPr>
                <w:sz w:val="20"/>
                <w:szCs w:val="20"/>
              </w:rPr>
              <w:t xml:space="preserve">expected</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16.3</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WE</w:t>
            </w:r>
          </w:p>
        </w:tc>
        <w:tc>
          <w:tcPr>
            <w:tcW w:w="0" w:type="auto"/>
          </w:tcPr>
          <w:p>
            <w:pPr>
              <w:spacing w:line="240" w:lineRule="auto" w:before="0" w:after="0"/>
              <w:pStyle w:val="Compact"/>
            </w:pPr>
            <w:r>
              <w:rPr>
                <w:sz w:val="20"/>
                <w:szCs w:val="20"/>
              </w:rPr>
              <w:t xml:space="preserve">water_extraction</w:t>
            </w:r>
          </w:p>
        </w:tc>
        <w:tc>
          <w:tcPr>
            <w:tcW w:w="0" w:type="auto"/>
          </w:tcPr>
          <w:p>
            <w:pPr>
              <w:spacing w:line="240" w:lineRule="auto" w:before="0" w:after="0"/>
              <w:pStyle w:val="Compact"/>
            </w:pPr>
            <w:r>
              <w:rPr>
                <w:sz w:val="20"/>
                <w:szCs w:val="20"/>
              </w:rPr>
              <w:t xml:space="preserve">p05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14.5</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WE</w:t>
            </w:r>
          </w:p>
        </w:tc>
        <w:tc>
          <w:tcPr>
            <w:tcW w:w="0" w:type="auto"/>
          </w:tcPr>
          <w:p>
            <w:pPr>
              <w:spacing w:line="240" w:lineRule="auto" w:before="0" w:after="0"/>
              <w:pStyle w:val="Compact"/>
            </w:pPr>
            <w:r>
              <w:rPr>
                <w:sz w:val="20"/>
                <w:szCs w:val="20"/>
              </w:rPr>
              <w:t xml:space="preserve">water_extraction</w:t>
            </w:r>
          </w:p>
        </w:tc>
        <w:tc>
          <w:tcPr>
            <w:tcW w:w="0" w:type="auto"/>
          </w:tcPr>
          <w:p>
            <w:pPr>
              <w:spacing w:line="240" w:lineRule="auto" w:before="0" w:after="0"/>
              <w:pStyle w:val="Compact"/>
            </w:pPr>
            <w:r>
              <w:rPr>
                <w:sz w:val="20"/>
                <w:szCs w:val="20"/>
              </w:rPr>
              <w:t xml:space="preserve">p95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18.1</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P.0</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expected</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P.0</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p05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P.0</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p95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13.9</w:t>
            </w:r>
          </w:p>
        </w:tc>
        <w:tc>
          <w:tcPr>
            <w:tcW w:w="0" w:type="auto"/>
          </w:tcPr>
          <w:p>
            <w:pPr>
              <w:spacing w:line="240" w:lineRule="auto" w:before="0" w:after="0"/>
              <w:pStyle w:val="Compact"/>
            </w:pPr>
            <w:r>
              <w:rPr>
                <w:sz w:val="20"/>
                <w:szCs w:val="20"/>
              </w:rPr>
              <w:t xml:space="preserve">14.9</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P.1</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expected</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10.4</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P.1</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p05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P.1</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p95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13.9</w:t>
            </w:r>
          </w:p>
        </w:tc>
        <w:tc>
          <w:tcPr>
            <w:tcW w:w="0" w:type="auto"/>
          </w:tcPr>
          <w:p>
            <w:pPr>
              <w:spacing w:line="240" w:lineRule="auto" w:before="0" w:after="0"/>
              <w:pStyle w:val="Compact"/>
            </w:pPr>
            <w:r>
              <w:rPr>
                <w:sz w:val="20"/>
                <w:szCs w:val="20"/>
              </w:rPr>
              <w:t xml:space="preserve">15.9</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P.2</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expected</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11.3</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P.2</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p05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P.2</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p95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13.9</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P.3</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expected</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14.6</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P.3</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p05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P.3</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p95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13.2</w:t>
            </w:r>
          </w:p>
        </w:tc>
        <w:tc>
          <w:tcPr>
            <w:tcW w:w="0" w:type="auto"/>
          </w:tcPr>
          <w:p>
            <w:pPr>
              <w:spacing w:line="240" w:lineRule="auto" w:before="0" w:after="0"/>
              <w:pStyle w:val="Compact"/>
            </w:pPr>
            <w:r>
              <w:rPr>
                <w:sz w:val="20"/>
                <w:szCs w:val="20"/>
              </w:rPr>
              <w:t xml:space="preserve">17.2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P.4</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expected</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P.4</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p05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P.4</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p95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17.2</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S.0</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expected</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S.0</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p05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S.0</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p95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S.1</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expected</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S.1</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p05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S.1</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p95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S.2</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expected</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S.2</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p05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S.2</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p95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16.3</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S.3</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expected</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S.3</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p05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S.3</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p95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14.1</w:t>
            </w:r>
          </w:p>
        </w:tc>
        <w:tc>
          <w:tcPr>
            <w:tcW w:w="0" w:type="auto"/>
          </w:tcPr>
          <w:p>
            <w:pPr>
              <w:spacing w:line="240" w:lineRule="auto" w:before="0" w:after="0"/>
              <w:pStyle w:val="Compact"/>
            </w:pPr>
            <w:r>
              <w:rPr>
                <w:sz w:val="20"/>
                <w:szCs w:val="20"/>
              </w:rPr>
              <w:t xml:space="preserve">16.3</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S.4</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expected</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13.1</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S.4</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p05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S.4</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p95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14.1</w:t>
            </w:r>
          </w:p>
        </w:tc>
        <w:tc>
          <w:tcPr>
            <w:tcW w:w="0" w:type="auto"/>
          </w:tcPr>
          <w:p>
            <w:pPr>
              <w:spacing w:line="240" w:lineRule="auto" w:before="0" w:after="0"/>
              <w:pStyle w:val="Compact"/>
            </w:pPr>
            <w:r>
              <w:rPr>
                <w:sz w:val="20"/>
                <w:szCs w:val="20"/>
              </w:rPr>
              <w:t xml:space="preserve">16.9</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bl>
    <w:bookmarkEnd w:id="201"/>
    <w:bookmarkStart w:id="202"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mass_energy_efficiency</w:t>
            </w:r>
          </w:p>
        </w:tc>
        <w:tc>
          <w:tcPr>
            <w:tcW w:w="0" w:type="auto"/>
          </w:tcPr>
          <w:p>
            <w:pPr>
              <w:spacing w:line="240" w:lineRule="auto" w:before="0" w:after="0"/>
              <w:pStyle w:val="Compact"/>
            </w:pPr>
            <w:r>
              <w:rPr>
                <w:sz w:val="20"/>
                <w:szCs w:val="20"/>
              </w:rPr>
              <w:t xml:space="preserve">Oxygen produced per total energy, in Table 7 units of 1e-5 t per kWh</w:t>
            </w:r>
          </w:p>
        </w:tc>
        <w:tc>
          <w:tcPr>
            <w:tcW w:w="0" w:type="auto"/>
          </w:tcPr>
          <w:p>
            <w:pPr>
              <w:spacing w:line="240" w:lineRule="auto" w:before="0" w:after="0"/>
              <w:pStyle w:val="Compact"/>
            </w:pPr>
            <w:r>
              <w:rPr>
                <w:sz w:val="20"/>
                <w:szCs w:val="20"/>
              </w:rPr>
              <w:t xml:space="preserve">Copied from Ikeya et al. 2025 Table 7(c)</w:t>
            </w:r>
          </w:p>
        </w:tc>
      </w:tr>
      <w:tr>
        <w:tc>
          <w:tcPr>
            <w:tcW w:w="0" w:type="auto"/>
          </w:tcPr>
          <w:p>
            <w:pPr>
              <w:spacing w:line="240" w:lineRule="auto" w:before="0" w:after="0"/>
              <w:pStyle w:val="Compact"/>
            </w:pPr>
            <w:r>
              <w:rPr>
                <w:sz w:val="20"/>
                <w:szCs w:val="20"/>
              </w:rPr>
              <w:t xml:space="preserve">oxygen_yield_pct</w:t>
            </w:r>
          </w:p>
        </w:tc>
        <w:tc>
          <w:tcPr>
            <w:tcW w:w="0" w:type="auto"/>
          </w:tcPr>
          <w:p>
            <w:pPr>
              <w:spacing w:line="240" w:lineRule="auto" w:before="0" w:after="0"/>
              <w:pStyle w:val="Compact"/>
            </w:pPr>
            <w:r>
              <w:rPr>
                <w:sz w:val="20"/>
                <w:szCs w:val="20"/>
              </w:rPr>
              <w:t xml:space="preserve">Oxygen yield as percent of processed regolith mass</w:t>
            </w:r>
          </w:p>
        </w:tc>
        <w:tc>
          <w:tcPr>
            <w:tcW w:w="0" w:type="auto"/>
          </w:tcPr>
          <w:p>
            <w:pPr>
              <w:spacing w:line="240" w:lineRule="auto" w:before="0" w:after="0"/>
              <w:pStyle w:val="Compact"/>
            </w:pPr>
            <w:r>
              <w:rPr>
                <w:sz w:val="20"/>
                <w:szCs w:val="20"/>
              </w:rPr>
              <w:t xml:space="preserve">Copied from Ikeya et al. 2025 Table 7(a)</w:t>
            </w:r>
          </w:p>
        </w:tc>
      </w:tr>
      <w:tr>
        <w:tc>
          <w:tcPr>
            <w:tcW w:w="0" w:type="auto"/>
          </w:tcPr>
          <w:p>
            <w:pPr>
              <w:spacing w:line="240" w:lineRule="auto" w:before="0" w:after="0"/>
              <w:pStyle w:val="Compact"/>
            </w:pPr>
            <w:r>
              <w:rPr>
                <w:sz w:val="20"/>
                <w:szCs w:val="20"/>
              </w:rPr>
              <w:t xml:space="preserve">mass_payback</w:t>
            </w:r>
          </w:p>
        </w:tc>
        <w:tc>
          <w:tcPr>
            <w:tcW w:w="0" w:type="auto"/>
          </w:tcPr>
          <w:p>
            <w:pPr>
              <w:spacing w:line="240" w:lineRule="auto" w:before="0" w:after="0"/>
              <w:pStyle w:val="Compact"/>
            </w:pPr>
            <w:r>
              <w:rPr>
                <w:sz w:val="20"/>
                <w:szCs w:val="20"/>
              </w:rPr>
              <w:t xml:space="preserve">Oxygen produced per landed system mass</w:t>
            </w:r>
          </w:p>
        </w:tc>
        <w:tc>
          <w:tcPr>
            <w:tcW w:w="0" w:type="auto"/>
          </w:tcPr>
          <w:p>
            <w:pPr>
              <w:spacing w:line="240" w:lineRule="auto" w:before="0" w:after="0"/>
              <w:pStyle w:val="Compact"/>
            </w:pPr>
            <w:r>
              <w:rPr>
                <w:sz w:val="20"/>
                <w:szCs w:val="20"/>
              </w:rPr>
              <w:t xml:space="preserve">Copied from Ikeya et al. 2025 Table 7(b)</w:t>
            </w:r>
          </w:p>
        </w:tc>
      </w:tr>
      <w:tr>
        <w:tc>
          <w:tcPr>
            <w:tcW w:w="0" w:type="auto"/>
          </w:tcPr>
          <w:p>
            <w:pPr>
              <w:spacing w:line="240" w:lineRule="auto" w:before="0" w:after="0"/>
              <w:pStyle w:val="Compact"/>
            </w:pPr>
            <w:r>
              <w:rPr>
                <w:sz w:val="20"/>
                <w:szCs w:val="20"/>
              </w:rPr>
              <w:t xml:space="preserve">is_parallel_strategy</w:t>
            </w:r>
          </w:p>
        </w:tc>
        <w:tc>
          <w:tcPr>
            <w:tcW w:w="0" w:type="auto"/>
          </w:tcPr>
          <w:p>
            <w:pPr>
              <w:spacing w:line="240" w:lineRule="auto" w:before="0" w:after="0"/>
              <w:pStyle w:val="Compact"/>
            </w:pPr>
            <w:r>
              <w:rPr>
                <w:sz w:val="20"/>
                <w:szCs w:val="20"/>
              </w:rPr>
              <w:t xml:space="preserve">Indicator for a parallel hybrid decision strategy</w:t>
            </w:r>
          </w:p>
        </w:tc>
        <w:tc>
          <w:tcPr>
            <w:tcW w:w="0" w:type="auto"/>
          </w:tcPr>
          <w:p>
            <w:pPr>
              <w:spacing w:line="240" w:lineRule="auto" w:before="0" w:after="0"/>
              <w:pStyle w:val="Compact"/>
            </w:pPr>
            <w:r>
              <w:rPr>
                <w:sz w:val="20"/>
                <w:szCs w:val="20"/>
              </w:rPr>
              <w:t xml:space="preserve">Coded from Table 7 strategy labels P.0 through P.4</w:t>
            </w:r>
          </w:p>
        </w:tc>
      </w:tr>
      <w:tr>
        <w:tc>
          <w:tcPr>
            <w:tcW w:w="0" w:type="auto"/>
          </w:tcPr>
          <w:p>
            <w:pPr>
              <w:spacing w:line="240" w:lineRule="auto" w:before="0" w:after="0"/>
              <w:pStyle w:val="Compact"/>
            </w:pPr>
            <w:r>
              <w:rPr>
                <w:sz w:val="20"/>
                <w:szCs w:val="20"/>
              </w:rPr>
              <w:t xml:space="preserve">is_series_strategy</w:t>
            </w:r>
          </w:p>
        </w:tc>
        <w:tc>
          <w:tcPr>
            <w:tcW w:w="0" w:type="auto"/>
          </w:tcPr>
          <w:p>
            <w:pPr>
              <w:spacing w:line="240" w:lineRule="auto" w:before="0" w:after="0"/>
              <w:pStyle w:val="Compact"/>
            </w:pPr>
            <w:r>
              <w:rPr>
                <w:sz w:val="20"/>
                <w:szCs w:val="20"/>
              </w:rPr>
              <w:t xml:space="preserve">Indicator for a series hybrid decision strategy</w:t>
            </w:r>
          </w:p>
        </w:tc>
        <w:tc>
          <w:tcPr>
            <w:tcW w:w="0" w:type="auto"/>
          </w:tcPr>
          <w:p>
            <w:pPr>
              <w:spacing w:line="240" w:lineRule="auto" w:before="0" w:after="0"/>
              <w:pStyle w:val="Compact"/>
            </w:pPr>
            <w:r>
              <w:rPr>
                <w:sz w:val="20"/>
                <w:szCs w:val="20"/>
              </w:rPr>
              <w:t xml:space="preserve">Coded from Table 7 strategy labels S.0 through S.4</w:t>
            </w:r>
          </w:p>
        </w:tc>
      </w:tr>
    </w:tbl>
    <w:bookmarkEnd w:id="202"/>
    <w:bookmarkEnd w:id="203"/>
    <w:bookmarkStart w:id="211" w:name="Xfa25072caff59dcc861a7467a849fa492b9a4b7"/>
    <w:p>
      <w:pPr>
        <w:pStyle w:val="Heading2"/>
        <w:spacing w:line="480" w:lineRule="auto"/>
      </w:pPr>
      <w:r>
        <w:t xml:space="preserve">A.2 Scale Elasticity of Mass Payback in Lunar Oxygen Facility Strategies</w:t>
      </w:r>
    </w:p>
    <w:p>
      <w:pPr>
        <w:pStyle w:val="FirstParagraph"/>
        <w:spacing w:line="480" w:lineRule="auto"/>
      </w:pPr>
      <m:oMathPara>
        <m:oMathParaPr>
          <m:jc m:val="center"/>
        </m:oMathParaPr>
        <m:oMath>
          <m:r>
            <m:rPr>
              <m:sty m:val="p"/>
            </m:rPr>
            <m:t>ln</m:t>
          </m:r>
          <m:r>
            <m:rPr>
              <m:sty m:val="p"/>
            </m:rPr>
            <m:t>(</m:t>
          </m:r>
          <m:sSub>
            <m:e>
              <m:r>
                <m:t>P</m:t>
              </m:r>
            </m:e>
            <m:sub>
              <m:r>
                <m:t>i</m:t>
              </m:r>
            </m:sub>
          </m:sSub>
          <m:r>
            <m:rPr>
              <m:sty m:val="p"/>
            </m:rPr>
            <m:t>)</m:t>
          </m:r>
          <m:r>
            <m:rPr>
              <m:sty m:val="p"/>
            </m:rPr>
            <m:t>=</m:t>
          </m:r>
          <m:r>
            <m:t>α</m:t>
          </m:r>
          <m:r>
            <m:rPr>
              <m:sty m:val="p"/>
            </m:rPr>
            <m:t>+</m:t>
          </m:r>
          <m:r>
            <m:t>β</m:t>
          </m:r>
          <m:r>
            <m:rPr>
              <m:sty m:val="p"/>
            </m:rPr>
            <m:t>ln</m:t>
          </m:r>
          <m:r>
            <m:rPr>
              <m:sty m:val="p"/>
            </m:rPr>
            <m:t>(</m:t>
          </m:r>
          <m:sSub>
            <m:e>
              <m:r>
                <m:t>E</m:t>
              </m:r>
            </m:e>
            <m:sub>
              <m:r>
                <m:t>i</m:t>
              </m:r>
            </m:sub>
          </m:sSub>
          <m:r>
            <m:rPr>
              <m:sty m:val="p"/>
            </m:rPr>
            <m:t>)</m:t>
          </m:r>
          <m:r>
            <m:rPr>
              <m:sty m:val="p"/>
            </m:rPr>
            <m:t>+</m:t>
          </m:r>
          <m:sSub>
            <m:e>
              <m:r>
                <m:t>ε</m:t>
              </m:r>
            </m:e>
            <m:sub>
              <m:r>
                <m:t>i</m:t>
              </m:r>
            </m:sub>
          </m:sSub>
        </m:oMath>
      </m:oMathPara>
    </w:p>
    <w:bookmarkStart w:id="204"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0.4502</w:t>
            </w:r>
          </w:p>
        </w:tc>
        <w:tc>
          <w:tcPr>
            <w:tcW w:w="0" w:type="auto"/>
          </w:tcPr>
          <w:p>
            <w:pPr>
              <w:spacing w:line="240" w:lineRule="auto" w:before="0" w:after="0"/>
              <w:pStyle w:val="Compact"/>
            </w:pPr>
            <w:r>
              <w:rPr>
                <w:sz w:val="20"/>
                <w:szCs w:val="20"/>
              </w:rPr>
              <w:t xml:space="preserve">0.1914</w:t>
            </w:r>
          </w:p>
        </w:tc>
        <w:tc>
          <w:tcPr>
            <w:tcW w:w="0" w:type="auto"/>
          </w:tcPr>
          <w:p>
            <w:pPr>
              <w:spacing w:line="240" w:lineRule="auto" w:before="0" w:after="0"/>
              <w:pStyle w:val="Compact"/>
            </w:pPr>
            <w:r>
              <w:rPr>
                <w:sz w:val="20"/>
                <w:szCs w:val="20"/>
              </w:rPr>
              <w:t xml:space="preserve">2.3517</w:t>
            </w:r>
          </w:p>
        </w:tc>
        <w:tc>
          <w:tcPr>
            <w:tcW w:w="0" w:type="auto"/>
          </w:tcPr>
          <w:p>
            <w:pPr>
              <w:spacing w:line="240" w:lineRule="auto" w:before="0" w:after="0"/>
              <w:pStyle w:val="Compact"/>
            </w:pPr>
            <w:r>
              <w:rPr>
                <w:sz w:val="20"/>
                <w:szCs w:val="20"/>
              </w:rPr>
              <w:t xml:space="preserve">0.0187</w:t>
            </w:r>
          </w:p>
        </w:tc>
        <w:tc>
          <w:tcPr>
            <w:tcW w:w="0" w:type="auto"/>
          </w:tcPr>
          <w:p>
            <w:pPr>
              <w:spacing w:line="240" w:lineRule="auto" w:before="0" w:after="0"/>
              <w:pStyle w:val="Compact"/>
            </w:pPr>
            <w:r>
              <w:rPr>
                <w:sz w:val="20"/>
                <w:szCs w:val="20"/>
              </w:rPr>
              <w:t xml:space="preserve">[0.075, 0.8253]</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1.1261</w:t>
            </w:r>
          </w:p>
        </w:tc>
        <w:tc>
          <w:tcPr>
            <w:tcW w:w="0" w:type="auto"/>
          </w:tcPr>
          <w:p>
            <w:pPr>
              <w:spacing w:line="240" w:lineRule="auto" w:before="0" w:after="0"/>
              <w:pStyle w:val="Compact"/>
            </w:pPr>
            <w:r>
              <w:rPr>
                <w:sz w:val="20"/>
                <w:szCs w:val="20"/>
              </w:rPr>
              <w:t xml:space="preserve">0.095</w:t>
            </w:r>
          </w:p>
        </w:tc>
        <w:tc>
          <w:tcPr>
            <w:tcW w:w="0" w:type="auto"/>
          </w:tcPr>
          <w:p>
            <w:pPr>
              <w:spacing w:line="240" w:lineRule="auto" w:before="0" w:after="0"/>
              <w:pStyle w:val="Compact"/>
            </w:pPr>
            <w:r>
              <w:rPr>
                <w:sz w:val="20"/>
                <w:szCs w:val="20"/>
              </w:rPr>
              <w:t xml:space="preserve">11.8587</w:t>
            </w:r>
          </w:p>
        </w:tc>
        <w:tc>
          <w:tcPr>
            <w:tcW w:w="0" w:type="auto"/>
          </w:tcPr>
          <w:p>
            <w:pPr>
              <w:spacing w:line="240" w:lineRule="auto" w:before="0" w:after="0"/>
              <w:pStyle w:val="Compact"/>
            </w:pPr>
            <w:r>
              <w:rPr>
                <w:sz w:val="20"/>
                <w:szCs w:val="20"/>
              </w:rPr>
              <w:t xml:space="preserve">1.94e-32</w:t>
            </w:r>
          </w:p>
        </w:tc>
        <w:tc>
          <w:tcPr>
            <w:tcW w:w="0" w:type="auto"/>
          </w:tcPr>
          <w:p>
            <w:pPr>
              <w:spacing w:line="240" w:lineRule="auto" w:before="0" w:after="0"/>
              <w:pStyle w:val="Compact"/>
            </w:pPr>
            <w:r>
              <w:rPr>
                <w:sz w:val="20"/>
                <w:szCs w:val="20"/>
              </w:rPr>
              <w:t xml:space="preserve">[0.9399, 1.3122]</w:t>
            </w:r>
          </w:p>
        </w:tc>
      </w:tr>
    </w:tbl>
    <w:p>
      <w:pPr>
        <w:pStyle w:val="BodyText"/>
        <w:spacing w:line="480" w:lineRule="auto"/>
        <w:ind w:firstLine="720"/>
      </w:pPr>
      <w:r>
        <w:t xml:space="preserve">Fit: N = 36 R2 = 0.6907 elasticity_b = 1.1261 progress_ratio_2^b = 2.1826</w:t>
      </w:r>
    </w:p>
    <w:bookmarkEnd w:id="204"/>
    <w:bookmarkStart w:id="208"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Figure 1. Log-log relationship between mass-energy efficiency and mass payback." title="" id="206" name="Picture"/>
            <a:graphic>
              <a:graphicData uri="http://schemas.openxmlformats.org/drawingml/2006/picture">
                <pic:pic>
                  <pic:nvPicPr>
                    <pic:cNvPr descr="D:/Claude_Code/brain/collegium/candidates/dissertations/CISLUNAR_DEV_01/research_papers/p2/paper_fig1.png" id="207" name="Picture"/>
                    <pic:cNvPicPr>
                      <a:picLocks noChangeArrowheads="1" noChangeAspect="1"/>
                    </pic:cNvPicPr>
                  </pic:nvPicPr>
                  <pic:blipFill>
                    <a:blip r:embed="rId20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Figure 1. Log-log relationship between mass-energy efficiency and mass payback.</w:t>
      </w:r>
    </w:p>
    <w:bookmarkEnd w:id="208"/>
    <w:bookmarkStart w:id="209"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660"/>
        <w:gridCol w:w="660"/>
        <w:gridCol w:w="660"/>
        <w:gridCol w:w="660"/>
        <w:gridCol w:w="660"/>
        <w:gridCol w:w="660"/>
        <w:gridCol w:w="660"/>
        <w:gridCol w:w="660"/>
        <w:gridCol w:w="660"/>
        <w:gridCol w:w="660"/>
        <w:gridCol w:w="660"/>
        <w:gridCol w:w="660"/>
      </w:tblGrid>
      <w:tr>
        <w:trPr>
          <w:tblHeader w:val="on"/>
        </w:trPr>
        <w:tc>
          <w:tcPr>
            <w:tcW w:w="0" w:type="auto"/>
          </w:tcPr>
          <w:p>
            <w:pPr>
              <w:spacing w:line="240" w:lineRule="auto" w:before="0" w:after="0"/>
              <w:pStyle w:val="Compact"/>
            </w:pPr>
            <w:r>
              <w:rPr>
                <w:sz w:val="20"/>
                <w:szCs w:val="20"/>
              </w:rPr>
              <w:t xml:space="preserve">strategy</w:t>
            </w:r>
          </w:p>
        </w:tc>
        <w:tc>
          <w:tcPr>
            <w:tcW w:w="0" w:type="auto"/>
          </w:tcPr>
          <w:p>
            <w:pPr>
              <w:spacing w:line="240" w:lineRule="auto" w:before="0" w:after="0"/>
              <w:pStyle w:val="Compact"/>
            </w:pPr>
            <w:r>
              <w:rPr>
                <w:sz w:val="20"/>
                <w:szCs w:val="20"/>
              </w:rPr>
              <w:t xml:space="preserve">architecture_kind</w:t>
            </w:r>
          </w:p>
        </w:tc>
        <w:tc>
          <w:tcPr>
            <w:tcW w:w="0" w:type="auto"/>
          </w:tcPr>
          <w:p>
            <w:pPr>
              <w:spacing w:line="240" w:lineRule="auto" w:before="0" w:after="0"/>
              <w:pStyle w:val="Compact"/>
            </w:pPr>
            <w:r>
              <w:rPr>
                <w:sz w:val="20"/>
                <w:szCs w:val="20"/>
              </w:rPr>
              <w:t xml:space="preserve">uncertainty_point</w:t>
            </w:r>
          </w:p>
        </w:tc>
        <w:tc>
          <w:tcPr>
            <w:tcW w:w="0" w:type="auto"/>
          </w:tcPr>
          <w:p>
            <w:pPr>
              <w:spacing w:line="240" w:lineRule="auto" w:before="0" w:after="0"/>
              <w:pStyle w:val="Compact"/>
            </w:pPr>
            <w:r>
              <w:rPr>
                <w:sz w:val="20"/>
                <w:szCs w:val="20"/>
              </w:rPr>
              <w:t xml:space="preserve">uncertainty_percentile</w:t>
            </w:r>
          </w:p>
        </w:tc>
        <w:tc>
          <w:tcPr>
            <w:tcW w:w="0" w:type="auto"/>
          </w:tcPr>
          <w:p>
            <w:pPr>
              <w:spacing w:line="240" w:lineRule="auto" w:before="0" w:after="0"/>
              <w:pStyle w:val="Compact"/>
            </w:pPr>
            <w:r>
              <w:rPr>
                <w:sz w:val="20"/>
                <w:szCs w:val="20"/>
              </w:rPr>
              <w:t xml:space="preserve">oxygen_yield_pct</w:t>
            </w:r>
          </w:p>
        </w:tc>
        <w:tc>
          <w:tcPr>
            <w:tcW w:w="0" w:type="auto"/>
          </w:tcPr>
          <w:p>
            <w:pPr>
              <w:spacing w:line="240" w:lineRule="auto" w:before="0" w:after="0"/>
              <w:pStyle w:val="Compact"/>
            </w:pPr>
            <w:r>
              <w:rPr>
                <w:sz w:val="20"/>
                <w:szCs w:val="20"/>
              </w:rPr>
              <w:t xml:space="preserve">mass_payback</w:t>
            </w:r>
          </w:p>
        </w:tc>
        <w:tc>
          <w:tcPr>
            <w:tcW w:w="0" w:type="auto"/>
          </w:tcPr>
          <w:p>
            <w:pPr>
              <w:spacing w:line="240" w:lineRule="auto" w:before="0" w:after="0"/>
              <w:pStyle w:val="Compact"/>
            </w:pPr>
            <w:r>
              <w:rPr>
                <w:sz w:val="20"/>
                <w:szCs w:val="20"/>
              </w:rPr>
              <w:t xml:space="preserve">mass_energy_efficiency</w:t>
            </w:r>
          </w:p>
        </w:tc>
        <w:tc>
          <w:tcPr>
            <w:tcW w:w="0" w:type="auto"/>
          </w:tcPr>
          <w:p>
            <w:pPr>
              <w:spacing w:line="240" w:lineRule="auto" w:before="0" w:after="0"/>
              <w:pStyle w:val="Compact"/>
            </w:pPr>
            <w:r>
              <w:rPr>
                <w:sz w:val="20"/>
                <w:szCs w:val="20"/>
              </w:rPr>
              <w:t xml:space="preserve">is_hybrid_strategy</w:t>
            </w:r>
          </w:p>
        </w:tc>
        <w:tc>
          <w:tcPr>
            <w:tcW w:w="0" w:type="auto"/>
          </w:tcPr>
          <w:p>
            <w:pPr>
              <w:spacing w:line="240" w:lineRule="auto" w:before="0" w:after="0"/>
              <w:pStyle w:val="Compact"/>
            </w:pPr>
            <w:r>
              <w:rPr>
                <w:sz w:val="20"/>
                <w:szCs w:val="20"/>
              </w:rPr>
              <w:t xml:space="preserve">is_parallel_strategy</w:t>
            </w:r>
          </w:p>
        </w:tc>
        <w:tc>
          <w:tcPr>
            <w:tcW w:w="0" w:type="auto"/>
          </w:tcPr>
          <w:p>
            <w:pPr>
              <w:spacing w:line="240" w:lineRule="auto" w:before="0" w:after="0"/>
              <w:pStyle w:val="Compact"/>
            </w:pPr>
            <w:r>
              <w:rPr>
                <w:sz w:val="20"/>
                <w:szCs w:val="20"/>
              </w:rPr>
              <w:t xml:space="preserve">is_series_strategy</w:t>
            </w:r>
          </w:p>
        </w:tc>
        <w:tc>
          <w:tcPr>
            <w:tcW w:w="0" w:type="auto"/>
          </w:tcPr>
          <w:p>
            <w:pPr>
              <w:spacing w:line="240" w:lineRule="auto" w:before="0" w:after="0"/>
              <w:pStyle w:val="Compact"/>
            </w:pPr>
            <w:r>
              <w:rPr>
                <w:sz w:val="20"/>
                <w:szCs w:val="20"/>
              </w:rPr>
              <w:t xml:space="preserve">high_payback</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CR</w:t>
            </w:r>
          </w:p>
        </w:tc>
        <w:tc>
          <w:tcPr>
            <w:tcW w:w="0" w:type="auto"/>
          </w:tcPr>
          <w:p>
            <w:pPr>
              <w:spacing w:line="240" w:lineRule="auto" w:before="0" w:after="0"/>
              <w:pStyle w:val="Compact"/>
            </w:pPr>
            <w:r>
              <w:rPr>
                <w:sz w:val="20"/>
                <w:szCs w:val="20"/>
              </w:rPr>
              <w:t xml:space="preserve">carbothermal</w:t>
            </w:r>
          </w:p>
        </w:tc>
        <w:tc>
          <w:tcPr>
            <w:tcW w:w="0" w:type="auto"/>
          </w:tcPr>
          <w:p>
            <w:pPr>
              <w:spacing w:line="240" w:lineRule="auto" w:before="0" w:after="0"/>
              <w:pStyle w:val="Compact"/>
            </w:pPr>
            <w:r>
              <w:rPr>
                <w:sz w:val="20"/>
                <w:szCs w:val="20"/>
              </w:rPr>
              <w:t xml:space="preserve">expected</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11.7</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CR</w:t>
            </w:r>
          </w:p>
        </w:tc>
        <w:tc>
          <w:tcPr>
            <w:tcW w:w="0" w:type="auto"/>
          </w:tcPr>
          <w:p>
            <w:pPr>
              <w:spacing w:line="240" w:lineRule="auto" w:before="0" w:after="0"/>
              <w:pStyle w:val="Compact"/>
            </w:pPr>
            <w:r>
              <w:rPr>
                <w:sz w:val="20"/>
                <w:szCs w:val="20"/>
              </w:rPr>
              <w:t xml:space="preserve">carbothermal</w:t>
            </w:r>
          </w:p>
        </w:tc>
        <w:tc>
          <w:tcPr>
            <w:tcW w:w="0" w:type="auto"/>
          </w:tcPr>
          <w:p>
            <w:pPr>
              <w:spacing w:line="240" w:lineRule="auto" w:before="0" w:after="0"/>
              <w:pStyle w:val="Compact"/>
            </w:pPr>
            <w:r>
              <w:rPr>
                <w:sz w:val="20"/>
                <w:szCs w:val="20"/>
              </w:rPr>
              <w:t xml:space="preserve">p05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CR</w:t>
            </w:r>
          </w:p>
        </w:tc>
        <w:tc>
          <w:tcPr>
            <w:tcW w:w="0" w:type="auto"/>
          </w:tcPr>
          <w:p>
            <w:pPr>
              <w:spacing w:line="240" w:lineRule="auto" w:before="0" w:after="0"/>
              <w:pStyle w:val="Compact"/>
            </w:pPr>
            <w:r>
              <w:rPr>
                <w:sz w:val="20"/>
                <w:szCs w:val="20"/>
              </w:rPr>
              <w:t xml:space="preserve">carbothermal</w:t>
            </w:r>
          </w:p>
        </w:tc>
        <w:tc>
          <w:tcPr>
            <w:tcW w:w="0" w:type="auto"/>
          </w:tcPr>
          <w:p>
            <w:pPr>
              <w:spacing w:line="240" w:lineRule="auto" w:before="0" w:after="0"/>
              <w:pStyle w:val="Compact"/>
            </w:pPr>
            <w:r>
              <w:rPr>
                <w:sz w:val="20"/>
                <w:szCs w:val="20"/>
              </w:rPr>
              <w:t xml:space="preserve">p95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14.1</w:t>
            </w:r>
          </w:p>
        </w:tc>
        <w:tc>
          <w:tcPr>
            <w:tcW w:w="0" w:type="auto"/>
          </w:tcPr>
          <w:p>
            <w:pPr>
              <w:spacing w:line="240" w:lineRule="auto" w:before="0" w:after="0"/>
              <w:pStyle w:val="Compact"/>
            </w:pPr>
            <w:r>
              <w:rPr>
                <w:sz w:val="20"/>
                <w:szCs w:val="20"/>
              </w:rPr>
              <w:t xml:space="preserve">6.7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WE</w:t>
            </w:r>
          </w:p>
        </w:tc>
        <w:tc>
          <w:tcPr>
            <w:tcW w:w="0" w:type="auto"/>
          </w:tcPr>
          <w:p>
            <w:pPr>
              <w:spacing w:line="240" w:lineRule="auto" w:before="0" w:after="0"/>
              <w:pStyle w:val="Compact"/>
            </w:pPr>
            <w:r>
              <w:rPr>
                <w:sz w:val="20"/>
                <w:szCs w:val="20"/>
              </w:rPr>
              <w:t xml:space="preserve">water_extraction</w:t>
            </w:r>
          </w:p>
        </w:tc>
        <w:tc>
          <w:tcPr>
            <w:tcW w:w="0" w:type="auto"/>
          </w:tcPr>
          <w:p>
            <w:pPr>
              <w:spacing w:line="240" w:lineRule="auto" w:before="0" w:after="0"/>
              <w:pStyle w:val="Compact"/>
            </w:pPr>
            <w:r>
              <w:rPr>
                <w:sz w:val="20"/>
                <w:szCs w:val="20"/>
              </w:rPr>
              <w:t xml:space="preserve">expected</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16.3</w:t>
            </w:r>
          </w:p>
        </w:tc>
        <w:tc>
          <w:tcPr>
            <w:tcW w:w="0" w:type="auto"/>
          </w:tcPr>
          <w:p>
            <w:pPr>
              <w:spacing w:line="240" w:lineRule="auto" w:before="0" w:after="0"/>
              <w:pStyle w:val="Compact"/>
            </w:pPr>
            <w:r>
              <w:rPr>
                <w:sz w:val="20"/>
                <w:szCs w:val="20"/>
              </w:rPr>
              <w:t xml:space="preserve">7.3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WE</w:t>
            </w:r>
          </w:p>
        </w:tc>
        <w:tc>
          <w:tcPr>
            <w:tcW w:w="0" w:type="auto"/>
          </w:tcPr>
          <w:p>
            <w:pPr>
              <w:spacing w:line="240" w:lineRule="auto" w:before="0" w:after="0"/>
              <w:pStyle w:val="Compact"/>
            </w:pPr>
            <w:r>
              <w:rPr>
                <w:sz w:val="20"/>
                <w:szCs w:val="20"/>
              </w:rPr>
              <w:t xml:space="preserve">water_extraction</w:t>
            </w:r>
          </w:p>
        </w:tc>
        <w:tc>
          <w:tcPr>
            <w:tcW w:w="0" w:type="auto"/>
          </w:tcPr>
          <w:p>
            <w:pPr>
              <w:spacing w:line="240" w:lineRule="auto" w:before="0" w:after="0"/>
              <w:pStyle w:val="Compact"/>
            </w:pPr>
            <w:r>
              <w:rPr>
                <w:sz w:val="20"/>
                <w:szCs w:val="20"/>
              </w:rPr>
              <w:t xml:space="preserve">p05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14.5</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WE</w:t>
            </w:r>
          </w:p>
        </w:tc>
        <w:tc>
          <w:tcPr>
            <w:tcW w:w="0" w:type="auto"/>
          </w:tcPr>
          <w:p>
            <w:pPr>
              <w:spacing w:line="240" w:lineRule="auto" w:before="0" w:after="0"/>
              <w:pStyle w:val="Compact"/>
            </w:pPr>
            <w:r>
              <w:rPr>
                <w:sz w:val="20"/>
                <w:szCs w:val="20"/>
              </w:rPr>
              <w:t xml:space="preserve">water_extraction</w:t>
            </w:r>
          </w:p>
        </w:tc>
        <w:tc>
          <w:tcPr>
            <w:tcW w:w="0" w:type="auto"/>
          </w:tcPr>
          <w:p>
            <w:pPr>
              <w:spacing w:line="240" w:lineRule="auto" w:before="0" w:after="0"/>
              <w:pStyle w:val="Compact"/>
            </w:pPr>
            <w:r>
              <w:rPr>
                <w:sz w:val="20"/>
                <w:szCs w:val="20"/>
              </w:rPr>
              <w:t xml:space="preserve">p95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18.1</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P.0</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expected</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10.9</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P.0</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p05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P.0</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p95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13.9</w:t>
            </w:r>
          </w:p>
        </w:tc>
        <w:tc>
          <w:tcPr>
            <w:tcW w:w="0" w:type="auto"/>
          </w:tcPr>
          <w:p>
            <w:pPr>
              <w:spacing w:line="240" w:lineRule="auto" w:before="0" w:after="0"/>
              <w:pStyle w:val="Compact"/>
            </w:pPr>
            <w:r>
              <w:rPr>
                <w:sz w:val="20"/>
                <w:szCs w:val="20"/>
              </w:rPr>
              <w:t xml:space="preserve">14.9</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P.1</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expected</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10.4</w:t>
            </w:r>
          </w:p>
        </w:tc>
        <w:tc>
          <w:tcPr>
            <w:tcW w:w="0" w:type="auto"/>
          </w:tcPr>
          <w:p>
            <w:pPr>
              <w:spacing w:line="240" w:lineRule="auto" w:before="0" w:after="0"/>
              <w:pStyle w:val="Compact"/>
            </w:pPr>
            <w:r>
              <w:rPr>
                <w:sz w:val="20"/>
                <w:szCs w:val="20"/>
              </w:rPr>
              <w:t xml:space="preserve">7.6</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P.1</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p05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P.1</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p95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13.9</w:t>
            </w:r>
          </w:p>
        </w:tc>
        <w:tc>
          <w:tcPr>
            <w:tcW w:w="0" w:type="auto"/>
          </w:tcPr>
          <w:p>
            <w:pPr>
              <w:spacing w:line="240" w:lineRule="auto" w:before="0" w:after="0"/>
              <w:pStyle w:val="Compact"/>
            </w:pPr>
            <w:r>
              <w:rPr>
                <w:sz w:val="20"/>
                <w:szCs w:val="20"/>
              </w:rPr>
              <w:t xml:space="preserve">15.9</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P.2</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expected</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6.9</w:t>
            </w:r>
          </w:p>
        </w:tc>
        <w:tc>
          <w:tcPr>
            <w:tcW w:w="0" w:type="auto"/>
          </w:tcPr>
          <w:p>
            <w:pPr>
              <w:spacing w:line="240" w:lineRule="auto" w:before="0" w:after="0"/>
              <w:pStyle w:val="Compact"/>
            </w:pPr>
            <w:r>
              <w:rPr>
                <w:sz w:val="20"/>
                <w:szCs w:val="20"/>
              </w:rPr>
              <w:t xml:space="preserve">11.3</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P.2</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p05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P.2</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p95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13.9</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P.3</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expected</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14.6</w:t>
            </w:r>
          </w:p>
        </w:tc>
        <w:tc>
          <w:tcPr>
            <w:tcW w:w="0" w:type="auto"/>
          </w:tcPr>
          <w:p>
            <w:pPr>
              <w:spacing w:line="240" w:lineRule="auto" w:before="0" w:after="0"/>
              <w:pStyle w:val="Compact"/>
            </w:pPr>
            <w:r>
              <w:rPr>
                <w:sz w:val="20"/>
                <w:szCs w:val="20"/>
              </w:rPr>
              <w:t xml:space="preserve">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P.3</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p05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6.5</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P.3</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p95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13.2</w:t>
            </w:r>
          </w:p>
        </w:tc>
        <w:tc>
          <w:tcPr>
            <w:tcW w:w="0" w:type="auto"/>
          </w:tcPr>
          <w:p>
            <w:pPr>
              <w:spacing w:line="240" w:lineRule="auto" w:before="0" w:after="0"/>
              <w:pStyle w:val="Compact"/>
            </w:pPr>
            <w:r>
              <w:rPr>
                <w:sz w:val="20"/>
                <w:szCs w:val="20"/>
              </w:rPr>
              <w:t xml:space="preserve">17.2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P.4</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expected</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P.4</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p05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P.4</w:t>
            </w:r>
          </w:p>
        </w:tc>
        <w:tc>
          <w:tcPr>
            <w:tcW w:w="0" w:type="auto"/>
          </w:tcPr>
          <w:p>
            <w:pPr>
              <w:spacing w:line="240" w:lineRule="auto" w:before="0" w:after="0"/>
              <w:pStyle w:val="Compact"/>
            </w:pPr>
            <w:r>
              <w:rPr>
                <w:sz w:val="20"/>
                <w:szCs w:val="20"/>
              </w:rPr>
              <w:t xml:space="preserve">parallel_hybrid</w:t>
            </w:r>
          </w:p>
        </w:tc>
        <w:tc>
          <w:tcPr>
            <w:tcW w:w="0" w:type="auto"/>
          </w:tcPr>
          <w:p>
            <w:pPr>
              <w:spacing w:line="240" w:lineRule="auto" w:before="0" w:after="0"/>
              <w:pStyle w:val="Compact"/>
            </w:pPr>
            <w:r>
              <w:rPr>
                <w:sz w:val="20"/>
                <w:szCs w:val="20"/>
              </w:rPr>
              <w:t xml:space="preserve">p95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17.2</w:t>
            </w:r>
          </w:p>
        </w:tc>
        <w:tc>
          <w:tcPr>
            <w:tcW w:w="0" w:type="auto"/>
          </w:tcPr>
          <w:p>
            <w:pPr>
              <w:spacing w:line="240" w:lineRule="auto" w:before="0" w:after="0"/>
              <w:pStyle w:val="Compact"/>
            </w:pPr>
            <w:r>
              <w:rPr>
                <w:sz w:val="20"/>
                <w:szCs w:val="20"/>
              </w:rPr>
              <w:t xml:space="preserve">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S.0</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expected</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11.5</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S.0</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p05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9.3</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S.0</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p95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3.7</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S.1</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expected</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4.1</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S.1</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p05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S.1</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p95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S.2</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expected</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8.7</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S.2</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p05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S.2</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p95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16.3</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S.3</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expected</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S.3</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p05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S.3</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p95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14.1</w:t>
            </w:r>
          </w:p>
        </w:tc>
        <w:tc>
          <w:tcPr>
            <w:tcW w:w="0" w:type="auto"/>
          </w:tcPr>
          <w:p>
            <w:pPr>
              <w:spacing w:line="240" w:lineRule="auto" w:before="0" w:after="0"/>
              <w:pStyle w:val="Compact"/>
            </w:pPr>
            <w:r>
              <w:rPr>
                <w:sz w:val="20"/>
                <w:szCs w:val="20"/>
              </w:rPr>
              <w:t xml:space="preserve">16.3</w:t>
            </w:r>
          </w:p>
        </w:tc>
        <w:tc>
          <w:tcPr>
            <w:tcW w:w="0" w:type="auto"/>
          </w:tcPr>
          <w:p>
            <w:pPr>
              <w:spacing w:line="240" w:lineRule="auto" w:before="0" w:after="0"/>
              <w:pStyle w:val="Compact"/>
            </w:pPr>
            <w:r>
              <w:rPr>
                <w:sz w:val="20"/>
                <w:szCs w:val="20"/>
              </w:rPr>
              <w:t xml:space="preserve">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S.4</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expected</w:t>
            </w:r>
          </w:p>
        </w:tc>
        <w:tc>
          <w:tcPr>
            <w:tcW w:w="0" w:type="auto"/>
          </w:tcPr>
          <w:p>
            <w:pPr>
              <w:spacing w:line="240" w:lineRule="auto" w:before="0" w:after="0"/>
              <w:pStyle w:val="Compact"/>
            </w:pPr>
            <w:r>
              <w:rPr>
                <w:sz w:val="20"/>
                <w:szCs w:val="20"/>
              </w:rPr>
              <w:t xml:space="preserve">50</w:t>
            </w:r>
          </w:p>
        </w:tc>
        <w:tc>
          <w:tcPr>
            <w:tcW w:w="0" w:type="auto"/>
          </w:tcPr>
          <w:p>
            <w:pPr>
              <w:spacing w:line="240" w:lineRule="auto" w:before="0" w:after="0"/>
              <w:pStyle w:val="Compact"/>
            </w:pPr>
            <w:r>
              <w:rPr>
                <w:sz w:val="20"/>
                <w:szCs w:val="20"/>
              </w:rPr>
              <w:t xml:space="preserve">5.1</w:t>
            </w:r>
          </w:p>
        </w:tc>
        <w:tc>
          <w:tcPr>
            <w:tcW w:w="0" w:type="auto"/>
          </w:tcPr>
          <w:p>
            <w:pPr>
              <w:spacing w:line="240" w:lineRule="auto" w:before="0" w:after="0"/>
              <w:pStyle w:val="Compact"/>
            </w:pPr>
            <w:r>
              <w:rPr>
                <w:sz w:val="20"/>
                <w:szCs w:val="20"/>
              </w:rPr>
              <w:t xml:space="preserve">13.1</w:t>
            </w:r>
          </w:p>
        </w:tc>
        <w:tc>
          <w:tcPr>
            <w:tcW w:w="0" w:type="auto"/>
          </w:tcPr>
          <w:p>
            <w:pPr>
              <w:spacing w:line="240" w:lineRule="auto" w:before="0" w:after="0"/>
              <w:pStyle w:val="Compact"/>
            </w:pPr>
            <w:r>
              <w:rPr>
                <w:sz w:val="20"/>
                <w:szCs w:val="20"/>
              </w:rPr>
              <w:t xml:space="preserve">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S.4</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p05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r>
        <w:tc>
          <w:tcPr>
            <w:tcW w:w="0" w:type="auto"/>
          </w:tcPr>
          <w:p>
            <w:pPr>
              <w:spacing w:line="240" w:lineRule="auto" w:before="0" w:after="0"/>
              <w:pStyle w:val="Compact"/>
            </w:pPr>
            <w:r>
              <w:rPr>
                <w:sz w:val="20"/>
                <w:szCs w:val="20"/>
              </w:rPr>
              <w:t xml:space="preserve">S.4</w:t>
            </w:r>
          </w:p>
        </w:tc>
        <w:tc>
          <w:tcPr>
            <w:tcW w:w="0" w:type="auto"/>
          </w:tcPr>
          <w:p>
            <w:pPr>
              <w:spacing w:line="240" w:lineRule="auto" w:before="0" w:after="0"/>
              <w:pStyle w:val="Compact"/>
            </w:pPr>
            <w:r>
              <w:rPr>
                <w:sz w:val="20"/>
                <w:szCs w:val="20"/>
              </w:rPr>
              <w:t xml:space="preserve">series_hybrid</w:t>
            </w:r>
          </w:p>
        </w:tc>
        <w:tc>
          <w:tcPr>
            <w:tcW w:w="0" w:type="auto"/>
          </w:tcPr>
          <w:p>
            <w:pPr>
              <w:spacing w:line="240" w:lineRule="auto" w:before="0" w:after="0"/>
              <w:pStyle w:val="Compact"/>
            </w:pPr>
            <w:r>
              <w:rPr>
                <w:sz w:val="20"/>
                <w:szCs w:val="20"/>
              </w:rPr>
              <w:t xml:space="preserve">p95</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14.1</w:t>
            </w:r>
          </w:p>
        </w:tc>
        <w:tc>
          <w:tcPr>
            <w:tcW w:w="0" w:type="auto"/>
          </w:tcPr>
          <w:p>
            <w:pPr>
              <w:spacing w:line="240" w:lineRule="auto" w:before="0" w:after="0"/>
              <w:pStyle w:val="Compact"/>
            </w:pPr>
            <w:r>
              <w:rPr>
                <w:sz w:val="20"/>
                <w:szCs w:val="20"/>
              </w:rPr>
              <w:t xml:space="preserve">16.9</w:t>
            </w:r>
          </w:p>
        </w:tc>
        <w:tc>
          <w:tcPr>
            <w:tcW w:w="0" w:type="auto"/>
          </w:tcPr>
          <w:p>
            <w:pPr>
              <w:spacing w:line="240" w:lineRule="auto" w:before="0" w:after="0"/>
              <w:pStyle w:val="Compact"/>
            </w:pPr>
            <w:r>
              <w:rPr>
                <w:sz w:val="20"/>
                <w:szCs w:val="20"/>
              </w:rPr>
              <w:t xml:space="preserve">8.1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Ikeya et al. 2025 Acta Astronautica 236 Table 7 multi criteria table for lunar oxygen facility strategies</w:t>
            </w:r>
          </w:p>
        </w:tc>
      </w:tr>
    </w:tbl>
    <w:bookmarkEnd w:id="209"/>
    <w:bookmarkStart w:id="210"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mass_payback</w:t>
            </w:r>
          </w:p>
        </w:tc>
        <w:tc>
          <w:tcPr>
            <w:tcW w:w="0" w:type="auto"/>
          </w:tcPr>
          <w:p>
            <w:pPr>
              <w:spacing w:line="240" w:lineRule="auto" w:before="0" w:after="0"/>
              <w:pStyle w:val="Compact"/>
            </w:pPr>
            <w:r>
              <w:rPr>
                <w:sz w:val="20"/>
                <w:szCs w:val="20"/>
              </w:rPr>
              <w:t xml:space="preserve">Mass payback ratio from the Acta multi-criteria table.</w:t>
            </w:r>
          </w:p>
        </w:tc>
        <w:tc>
          <w:tcPr>
            <w:tcW w:w="0" w:type="auto"/>
          </w:tcPr>
          <w:p>
            <w:pPr>
              <w:spacing w:line="240" w:lineRule="auto" w:before="0" w:after="0"/>
              <w:pStyle w:val="Compact"/>
            </w:pPr>
            <w:r>
              <w:rPr>
                <w:sz w:val="20"/>
                <w:szCs w:val="20"/>
              </w:rPr>
              <w:t xml:space="preserve">Ikeya et al. 2025 Acta Astronautica 236 Table 7.</w:t>
            </w:r>
          </w:p>
        </w:tc>
      </w:tr>
      <w:tr>
        <w:tc>
          <w:tcPr>
            <w:tcW w:w="0" w:type="auto"/>
          </w:tcPr>
          <w:p>
            <w:pPr>
              <w:spacing w:line="240" w:lineRule="auto" w:before="0" w:after="0"/>
              <w:pStyle w:val="Compact"/>
            </w:pPr>
            <w:r>
              <w:rPr>
                <w:sz w:val="20"/>
                <w:szCs w:val="20"/>
              </w:rPr>
              <w:t xml:space="preserve">mass_energy_efficiency</w:t>
            </w:r>
          </w:p>
        </w:tc>
        <w:tc>
          <w:tcPr>
            <w:tcW w:w="0" w:type="auto"/>
          </w:tcPr>
          <w:p>
            <w:pPr>
              <w:spacing w:line="240" w:lineRule="auto" w:before="0" w:after="0"/>
              <w:pStyle w:val="Compact"/>
            </w:pPr>
            <w:r>
              <w:rPr>
                <w:sz w:val="20"/>
                <w:szCs w:val="20"/>
              </w:rPr>
              <w:t xml:space="preserve">Mass of oxygen per unit total energy, reported in the Acta table as 10^-5 t per kWh.</w:t>
            </w:r>
          </w:p>
        </w:tc>
        <w:tc>
          <w:tcPr>
            <w:tcW w:w="0" w:type="auto"/>
          </w:tcPr>
          <w:p>
            <w:pPr>
              <w:spacing w:line="240" w:lineRule="auto" w:before="0" w:after="0"/>
              <w:pStyle w:val="Compact"/>
            </w:pPr>
            <w:r>
              <w:rPr>
                <w:sz w:val="20"/>
                <w:szCs w:val="20"/>
              </w:rPr>
              <w:t xml:space="preserve">Ikeya et al. 2025 Acta Astronautica 236 Table 7.</w:t>
            </w:r>
          </w:p>
        </w:tc>
      </w:tr>
      <w:tr>
        <w:tc>
          <w:tcPr>
            <w:tcW w:w="0" w:type="auto"/>
          </w:tcPr>
          <w:p>
            <w:pPr>
              <w:spacing w:line="240" w:lineRule="auto" w:before="0" w:after="0"/>
              <w:pStyle w:val="Compact"/>
            </w:pPr>
            <w:r>
              <w:rPr>
                <w:sz w:val="20"/>
                <w:szCs w:val="20"/>
              </w:rPr>
              <w:t xml:space="preserve">source</w:t>
            </w:r>
          </w:p>
        </w:tc>
        <w:tc>
          <w:tcPr>
            <w:tcW w:w="0" w:type="auto"/>
          </w:tcPr>
          <w:p>
            <w:pPr>
              <w:spacing w:line="240" w:lineRule="auto" w:before="0" w:after="0"/>
              <w:pStyle w:val="Compact"/>
            </w:pPr>
            <w:r>
              <w:rPr>
                <w:sz w:val="20"/>
                <w:szCs w:val="20"/>
              </w:rPr>
              <w:t xml:space="preserve">Observation source note.</w:t>
            </w:r>
          </w:p>
        </w:tc>
        <w:tc>
          <w:tcPr>
            <w:tcW w:w="0" w:type="auto"/>
          </w:tcPr>
          <w:p>
            <w:pPr>
              <w:spacing w:line="240" w:lineRule="auto" w:before="0" w:after="0"/>
              <w:pStyle w:val="Compact"/>
            </w:pPr>
            <w:r>
              <w:rPr>
                <w:sz w:val="20"/>
                <w:szCs w:val="20"/>
              </w:rPr>
              <w:t xml:space="preserve">Last column from the compiled data CSV.</w:t>
            </w:r>
          </w:p>
        </w:tc>
      </w:tr>
    </w:tbl>
    <w:bookmarkEnd w:id="210"/>
    <w:bookmarkEnd w:id="211"/>
    <w:bookmarkEnd w:id="212"/>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197" Type="http://schemas.openxmlformats.org/officeDocument/2006/relationships/image" Target="media/rId197.png"/><Relationship Id="rId205" Type="http://schemas.openxmlformats.org/officeDocument/2006/relationships/image" Target="media/rId205.png"/><Relationship Id="rId184" Type="http://schemas.openxmlformats.org/officeDocument/2006/relationships/hyperlink" Target="https://doi.org/10.1016/j.actaastro.2020.01.031" TargetMode="External"/><Relationship Id="rId191" Type="http://schemas.openxmlformats.org/officeDocument/2006/relationships/hyperlink" Target="https://doi.org/10.1016/j.actaastro.2021.12.003" TargetMode="External"/><Relationship Id="rId188" Type="http://schemas.openxmlformats.org/officeDocument/2006/relationships/hyperlink" Target="https://doi.org/10.1016/j.actaastro.2024.09.016" TargetMode="External"/><Relationship Id="rId152" Type="http://schemas.openxmlformats.org/officeDocument/2006/relationships/hyperlink" Target="https://doi.org/10.1016/j.actaastro.2025.02.004" TargetMode="External"/><Relationship Id="rId182" Type="http://schemas.openxmlformats.org/officeDocument/2006/relationships/hyperlink" Target="https://doi.org/10.1016/j.actaastro.2025.02.021" TargetMode="External"/><Relationship Id="rId154" Type="http://schemas.openxmlformats.org/officeDocument/2006/relationships/hyperlink" Target="https://doi.org/10.1016/j.actaastro.2025.04.041" TargetMode="External"/><Relationship Id="rId158" Type="http://schemas.openxmlformats.org/officeDocument/2006/relationships/hyperlink" Target="https://doi.org/10.1016/j.actaastro.2025.05.008" TargetMode="External"/><Relationship Id="rId160" Type="http://schemas.openxmlformats.org/officeDocument/2006/relationships/hyperlink" Target="https://doi.org/10.1016/j.actaastro.2025.07.014" TargetMode="External"/><Relationship Id="rId156" Type="http://schemas.openxmlformats.org/officeDocument/2006/relationships/hyperlink" Target="https://doi.org/10.1016/j.actaastro.2025.07.033" TargetMode="External"/><Relationship Id="rId163" Type="http://schemas.openxmlformats.org/officeDocument/2006/relationships/hyperlink" Target="https://doi.org/10.1016/j.actaastro.2026.04.012" TargetMode="External"/><Relationship Id="rId193" Type="http://schemas.openxmlformats.org/officeDocument/2006/relationships/hyperlink" Target="https://doi.org/10.1016/j.actaastro.2026.05.056" TargetMode="External"/><Relationship Id="rId170" Type="http://schemas.openxmlformats.org/officeDocument/2006/relationships/hyperlink" Target="https://doi.org/10.1016/j.pss.2019.104749" TargetMode="External"/><Relationship Id="rId175" Type="http://schemas.openxmlformats.org/officeDocument/2006/relationships/hyperlink" Target="https://doi.org/10.64861/DYBG6563" TargetMode="External"/><Relationship Id="rId172" Type="http://schemas.openxmlformats.org/officeDocument/2006/relationships/hyperlink" Target="https://doi.org/10.64861/MVHC2799" TargetMode="External"/></Relationships>
</file>

<file path=word/_rels/footnotes.xml.rels><?xml version='1.0' encoding='UTF-8' standalone='yes'?>
<Relationships xmlns="http://schemas.openxmlformats.org/package/2006/relationships"><Relationship Id="rId184" Type="http://schemas.openxmlformats.org/officeDocument/2006/relationships/hyperlink" Target="https://doi.org/10.1016/j.actaastro.2020.01.031" TargetMode="External"/><Relationship Id="rId191" Type="http://schemas.openxmlformats.org/officeDocument/2006/relationships/hyperlink" Target="https://doi.org/10.1016/j.actaastro.2021.12.003" TargetMode="External"/><Relationship Id="rId188" Type="http://schemas.openxmlformats.org/officeDocument/2006/relationships/hyperlink" Target="https://doi.org/10.1016/j.actaastro.2024.09.016" TargetMode="External"/><Relationship Id="rId152" Type="http://schemas.openxmlformats.org/officeDocument/2006/relationships/hyperlink" Target="https://doi.org/10.1016/j.actaastro.2025.02.004" TargetMode="External"/><Relationship Id="rId182" Type="http://schemas.openxmlformats.org/officeDocument/2006/relationships/hyperlink" Target="https://doi.org/10.1016/j.actaastro.2025.02.021" TargetMode="External"/><Relationship Id="rId154" Type="http://schemas.openxmlformats.org/officeDocument/2006/relationships/hyperlink" Target="https://doi.org/10.1016/j.actaastro.2025.04.041" TargetMode="External"/><Relationship Id="rId158" Type="http://schemas.openxmlformats.org/officeDocument/2006/relationships/hyperlink" Target="https://doi.org/10.1016/j.actaastro.2025.05.008" TargetMode="External"/><Relationship Id="rId160" Type="http://schemas.openxmlformats.org/officeDocument/2006/relationships/hyperlink" Target="https://doi.org/10.1016/j.actaastro.2025.07.014" TargetMode="External"/><Relationship Id="rId156" Type="http://schemas.openxmlformats.org/officeDocument/2006/relationships/hyperlink" Target="https://doi.org/10.1016/j.actaastro.2025.07.033" TargetMode="External"/><Relationship Id="rId163" Type="http://schemas.openxmlformats.org/officeDocument/2006/relationships/hyperlink" Target="https://doi.org/10.1016/j.actaastro.2026.04.012" TargetMode="External"/><Relationship Id="rId193" Type="http://schemas.openxmlformats.org/officeDocument/2006/relationships/hyperlink" Target="https://doi.org/10.1016/j.actaastro.2026.05.056" TargetMode="External"/><Relationship Id="rId170" Type="http://schemas.openxmlformats.org/officeDocument/2006/relationships/hyperlink" Target="https://doi.org/10.1016/j.pss.2019.104749" TargetMode="External"/><Relationship Id="rId175" Type="http://schemas.openxmlformats.org/officeDocument/2006/relationships/hyperlink" Target="https://doi.org/10.64861/DYBG6563" TargetMode="External"/><Relationship Id="rId172" Type="http://schemas.openxmlformats.org/officeDocument/2006/relationships/hyperlink" Target="https://doi.org/10.64861/MVHC27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Does In-Situ Resource Utilization Actually Lower Landed Cost? A Break-Even Mass</dc:title>
  <dc:creator>Joon Voss (1B-LUN-140)</dc:creator>
  <cp:keywords/>
  <dcterms:created xsi:type="dcterms:W3CDTF">2026-07-03T20:44:11Z</dcterms:created>
  <dcterms:modified xsi:type="dcterms:W3CDTF">2026-07-03T20:44:11Z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